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A9" w:rsidRDefault="00B24DA9">
      <w:pPr>
        <w:spacing w:line="0" w:lineRule="atLeast"/>
        <w:jc w:val="center"/>
        <w:rPr>
          <w:rFonts w:ascii="Arial" w:hAnsi="Arial"/>
          <w:b/>
          <w:spacing w:val="-3"/>
          <w:lang w:val="pl-PL"/>
        </w:rPr>
      </w:pPr>
    </w:p>
    <w:p w:rsidR="00B24DA9" w:rsidRPr="00765C97" w:rsidRDefault="00B24DA9">
      <w:pPr>
        <w:spacing w:line="0" w:lineRule="atLeast"/>
        <w:ind w:right="23"/>
        <w:jc w:val="center"/>
        <w:rPr>
          <w:rFonts w:ascii="Arial" w:hAnsi="Arial"/>
          <w:b/>
          <w:spacing w:val="-3"/>
          <w:lang w:val="pl-PL"/>
        </w:rPr>
      </w:pPr>
      <w:r w:rsidRPr="00765C97">
        <w:rPr>
          <w:rFonts w:ascii="Arial" w:hAnsi="Arial"/>
          <w:b/>
          <w:spacing w:val="-3"/>
          <w:lang w:val="pl-PL"/>
        </w:rPr>
        <w:t>Spis treści</w:t>
      </w:r>
    </w:p>
    <w:p w:rsidR="00B24DA9" w:rsidRPr="00765C97" w:rsidRDefault="00B24DA9">
      <w:pPr>
        <w:spacing w:line="0" w:lineRule="atLeast"/>
        <w:ind w:right="23"/>
        <w:jc w:val="center"/>
        <w:rPr>
          <w:rFonts w:ascii="Arial" w:hAnsi="Arial"/>
          <w:b/>
          <w:spacing w:val="-3"/>
          <w:lang w:val="pl-PL"/>
        </w:rPr>
      </w:pPr>
    </w:p>
    <w:bookmarkStart w:id="0" w:name="_Toc115093946"/>
    <w:bookmarkStart w:id="1" w:name="_Toc115094323"/>
    <w:p w:rsidR="00C3372A" w:rsidRPr="00765C97" w:rsidRDefault="004D4147">
      <w:pPr>
        <w:pStyle w:val="Spistreci1"/>
        <w:rPr>
          <w:rFonts w:ascii="Arial" w:eastAsiaTheme="minorEastAsia" w:hAnsi="Arial" w:cs="Arial"/>
          <w:noProof/>
          <w:sz w:val="20"/>
          <w:szCs w:val="20"/>
          <w:lang w:val="pl-PL" w:eastAsia="pl-PL"/>
        </w:rPr>
      </w:pPr>
      <w:r w:rsidRPr="004D4147">
        <w:rPr>
          <w:rFonts w:ascii="Arial" w:hAnsi="Arial" w:cs="Arial"/>
          <w:sz w:val="18"/>
          <w:szCs w:val="18"/>
          <w:lang w:val="pl-PL"/>
        </w:rPr>
        <w:fldChar w:fldCharType="begin"/>
      </w:r>
      <w:r w:rsidR="00B24DA9" w:rsidRPr="00765C97">
        <w:rPr>
          <w:rFonts w:ascii="Arial" w:hAnsi="Arial" w:cs="Arial"/>
          <w:sz w:val="18"/>
          <w:szCs w:val="18"/>
          <w:lang w:val="pl-PL"/>
        </w:rPr>
        <w:instrText xml:space="preserve"> TOC \o "1-3" \h \z \u </w:instrText>
      </w:r>
      <w:r w:rsidRPr="004D4147">
        <w:rPr>
          <w:rFonts w:ascii="Arial" w:hAnsi="Arial" w:cs="Arial"/>
          <w:sz w:val="18"/>
          <w:szCs w:val="18"/>
          <w:lang w:val="pl-PL"/>
        </w:rPr>
        <w:fldChar w:fldCharType="separate"/>
      </w:r>
      <w:hyperlink w:anchor="_Toc353973192" w:history="1">
        <w:r w:rsidR="00C3372A" w:rsidRPr="00765C97">
          <w:rPr>
            <w:rStyle w:val="Hipercze"/>
            <w:rFonts w:ascii="Arial" w:hAnsi="Arial" w:cs="Arial"/>
            <w:noProof/>
            <w:spacing w:val="16"/>
            <w:sz w:val="20"/>
            <w:szCs w:val="20"/>
            <w:lang w:val="pl-PL"/>
          </w:rPr>
          <w:t>I.</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Skonsolidowany bilans</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_Toc353973192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- 2 -</w:t>
        </w:r>
        <w:r w:rsidRPr="00765C97">
          <w:rPr>
            <w:rFonts w:ascii="Arial" w:hAnsi="Arial" w:cs="Arial"/>
            <w:noProof/>
            <w:webHidden/>
            <w:sz w:val="20"/>
            <w:szCs w:val="20"/>
          </w:rPr>
          <w:fldChar w:fldCharType="end"/>
        </w:r>
      </w:hyperlink>
    </w:p>
    <w:p w:rsidR="00C3372A" w:rsidRPr="00765C97" w:rsidRDefault="004D4147">
      <w:pPr>
        <w:pStyle w:val="Spistreci1"/>
        <w:rPr>
          <w:rFonts w:ascii="Arial" w:eastAsiaTheme="minorEastAsia" w:hAnsi="Arial" w:cs="Arial"/>
          <w:noProof/>
          <w:sz w:val="20"/>
          <w:szCs w:val="20"/>
          <w:lang w:val="pl-PL" w:eastAsia="pl-PL"/>
        </w:rPr>
      </w:pPr>
      <w:hyperlink w:anchor="_Toc353973193" w:history="1">
        <w:r w:rsidR="00C3372A" w:rsidRPr="00765C97">
          <w:rPr>
            <w:rStyle w:val="Hipercze"/>
            <w:rFonts w:ascii="Arial" w:hAnsi="Arial" w:cs="Arial"/>
            <w:noProof/>
            <w:spacing w:val="16"/>
            <w:sz w:val="20"/>
            <w:szCs w:val="20"/>
            <w:lang w:val="pl-PL"/>
          </w:rPr>
          <w:t>II.</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Skonsolidowany rachunek zysków i strat</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_Toc353973193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- 3 -</w:t>
        </w:r>
        <w:r w:rsidRPr="00765C97">
          <w:rPr>
            <w:rFonts w:ascii="Arial" w:hAnsi="Arial" w:cs="Arial"/>
            <w:noProof/>
            <w:webHidden/>
            <w:sz w:val="20"/>
            <w:szCs w:val="20"/>
          </w:rPr>
          <w:fldChar w:fldCharType="end"/>
        </w:r>
      </w:hyperlink>
    </w:p>
    <w:p w:rsidR="00C3372A" w:rsidRPr="00765C97" w:rsidRDefault="004D4147">
      <w:pPr>
        <w:pStyle w:val="Spistreci1"/>
        <w:rPr>
          <w:rFonts w:ascii="Arial" w:eastAsiaTheme="minorEastAsia" w:hAnsi="Arial" w:cs="Arial"/>
          <w:noProof/>
          <w:sz w:val="20"/>
          <w:szCs w:val="20"/>
          <w:lang w:val="pl-PL" w:eastAsia="pl-PL"/>
        </w:rPr>
      </w:pPr>
      <w:hyperlink w:anchor="_Toc353973194" w:history="1">
        <w:r w:rsidR="00C3372A" w:rsidRPr="00765C97">
          <w:rPr>
            <w:rStyle w:val="Hipercze"/>
            <w:rFonts w:ascii="Arial" w:hAnsi="Arial" w:cs="Arial"/>
            <w:noProof/>
            <w:spacing w:val="16"/>
            <w:sz w:val="20"/>
            <w:szCs w:val="20"/>
            <w:lang w:val="pl-PL"/>
          </w:rPr>
          <w:t>III.</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Skonsolidowane sprawozdanie z całkowitych dochodów</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_Toc353973194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- 3 -</w:t>
        </w:r>
        <w:r w:rsidRPr="00765C97">
          <w:rPr>
            <w:rFonts w:ascii="Arial" w:hAnsi="Arial" w:cs="Arial"/>
            <w:noProof/>
            <w:webHidden/>
            <w:sz w:val="20"/>
            <w:szCs w:val="20"/>
          </w:rPr>
          <w:fldChar w:fldCharType="end"/>
        </w:r>
      </w:hyperlink>
    </w:p>
    <w:p w:rsidR="00C3372A" w:rsidRPr="00765C97" w:rsidRDefault="004D4147">
      <w:pPr>
        <w:pStyle w:val="Spistreci1"/>
        <w:rPr>
          <w:rFonts w:ascii="Arial" w:eastAsiaTheme="minorEastAsia" w:hAnsi="Arial" w:cs="Arial"/>
          <w:noProof/>
          <w:sz w:val="20"/>
          <w:szCs w:val="20"/>
          <w:lang w:val="pl-PL" w:eastAsia="pl-PL"/>
        </w:rPr>
      </w:pPr>
      <w:hyperlink w:anchor="_Toc353973195" w:history="1">
        <w:r w:rsidR="00C3372A" w:rsidRPr="00765C97">
          <w:rPr>
            <w:rStyle w:val="Hipercze"/>
            <w:rFonts w:ascii="Arial" w:hAnsi="Arial" w:cs="Arial"/>
            <w:noProof/>
            <w:spacing w:val="16"/>
            <w:sz w:val="20"/>
            <w:szCs w:val="20"/>
            <w:lang w:val="pl-PL"/>
          </w:rPr>
          <w:t>IV.</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Skonsolidowane zestawienie zmian w kapitale własnym</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_Toc353973195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- 4 -</w:t>
        </w:r>
        <w:r w:rsidRPr="00765C97">
          <w:rPr>
            <w:rFonts w:ascii="Arial" w:hAnsi="Arial" w:cs="Arial"/>
            <w:noProof/>
            <w:webHidden/>
            <w:sz w:val="20"/>
            <w:szCs w:val="20"/>
          </w:rPr>
          <w:fldChar w:fldCharType="end"/>
        </w:r>
      </w:hyperlink>
    </w:p>
    <w:p w:rsidR="00C3372A" w:rsidRPr="00765C97" w:rsidRDefault="004D4147">
      <w:pPr>
        <w:pStyle w:val="Spistreci1"/>
        <w:rPr>
          <w:rFonts w:ascii="Arial" w:eastAsiaTheme="minorEastAsia" w:hAnsi="Arial" w:cs="Arial"/>
          <w:noProof/>
          <w:sz w:val="20"/>
          <w:szCs w:val="20"/>
          <w:lang w:val="pl-PL" w:eastAsia="pl-PL"/>
        </w:rPr>
      </w:pPr>
      <w:hyperlink w:anchor="_Toc353973196" w:history="1">
        <w:r w:rsidR="00C3372A" w:rsidRPr="00765C97">
          <w:rPr>
            <w:rStyle w:val="Hipercze"/>
            <w:rFonts w:ascii="Arial" w:hAnsi="Arial" w:cs="Arial"/>
            <w:noProof/>
            <w:spacing w:val="16"/>
            <w:sz w:val="20"/>
            <w:szCs w:val="20"/>
            <w:lang w:val="pl-PL"/>
          </w:rPr>
          <w:t>V.</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Skonsolidowany rachunek przepływów pieniężnych</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_Toc353973196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- 5 -</w:t>
        </w:r>
        <w:r w:rsidRPr="00765C97">
          <w:rPr>
            <w:rFonts w:ascii="Arial" w:hAnsi="Arial" w:cs="Arial"/>
            <w:noProof/>
            <w:webHidden/>
            <w:sz w:val="20"/>
            <w:szCs w:val="20"/>
          </w:rPr>
          <w:fldChar w:fldCharType="end"/>
        </w:r>
      </w:hyperlink>
    </w:p>
    <w:p w:rsidR="00C3372A" w:rsidRPr="00765C97" w:rsidRDefault="004D4147">
      <w:pPr>
        <w:pStyle w:val="Spistreci1"/>
        <w:rPr>
          <w:rFonts w:ascii="Arial" w:eastAsiaTheme="minorEastAsia" w:hAnsi="Arial" w:cs="Arial"/>
          <w:noProof/>
          <w:sz w:val="20"/>
          <w:szCs w:val="20"/>
          <w:lang w:val="pl-PL" w:eastAsia="pl-PL"/>
        </w:rPr>
      </w:pPr>
      <w:hyperlink w:anchor="_Toc353973197" w:history="1">
        <w:r w:rsidR="00C3372A" w:rsidRPr="00765C97">
          <w:rPr>
            <w:rStyle w:val="Hipercze"/>
            <w:rFonts w:ascii="Arial" w:hAnsi="Arial" w:cs="Arial"/>
            <w:noProof/>
            <w:spacing w:val="16"/>
            <w:sz w:val="20"/>
            <w:szCs w:val="20"/>
            <w:lang w:val="pl-PL"/>
          </w:rPr>
          <w:t>VI.</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pacing w:val="16"/>
            <w:sz w:val="20"/>
            <w:szCs w:val="20"/>
            <w:lang w:val="pl-PL"/>
          </w:rPr>
          <w:t>Informacja dodatkowa</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_Toc353973197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- 6 -</w:t>
        </w:r>
        <w:r w:rsidRPr="00765C97">
          <w:rPr>
            <w:rFonts w:ascii="Arial" w:hAnsi="Arial" w:cs="Arial"/>
            <w:noProof/>
            <w:webHidden/>
            <w:sz w:val="20"/>
            <w:szCs w:val="20"/>
          </w:rPr>
          <w:fldChar w:fldCharType="end"/>
        </w:r>
      </w:hyperlink>
    </w:p>
    <w:p w:rsidR="00C3372A" w:rsidRPr="00765C97" w:rsidRDefault="004D4147">
      <w:pPr>
        <w:pStyle w:val="Spistreci2"/>
        <w:rPr>
          <w:rFonts w:ascii="Arial" w:eastAsiaTheme="minorEastAsia" w:hAnsi="Arial" w:cs="Arial"/>
          <w:noProof/>
          <w:sz w:val="20"/>
          <w:szCs w:val="20"/>
          <w:lang w:val="pl-PL" w:eastAsia="pl-PL"/>
        </w:rPr>
      </w:pPr>
      <w:hyperlink w:anchor="_Toc353973198" w:history="1">
        <w:r w:rsidR="00C3372A" w:rsidRPr="00765C97">
          <w:rPr>
            <w:rStyle w:val="Hipercze"/>
            <w:rFonts w:ascii="Arial" w:hAnsi="Arial" w:cs="Arial"/>
            <w:noProof/>
            <w:spacing w:val="16"/>
            <w:kern w:val="32"/>
            <w:sz w:val="20"/>
            <w:szCs w:val="20"/>
            <w:lang w:val="pl-PL"/>
          </w:rPr>
          <w:t>1.</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Informacje o strukturze i działalności Grupy</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_Toc353973198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199" w:history="1">
        <w:r w:rsidR="00C3372A" w:rsidRPr="00765C97">
          <w:rPr>
            <w:rStyle w:val="Hipercze"/>
            <w:rFonts w:ascii="Arial" w:hAnsi="Arial" w:cs="Arial"/>
            <w:noProof/>
            <w:sz w:val="20"/>
            <w:szCs w:val="20"/>
            <w:lang w:val="pl-PL"/>
          </w:rPr>
          <w:t>1.1</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Struktura organizacyjna Grupy Comarch</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_Toc353973199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00" w:history="1">
        <w:r w:rsidR="00C3372A" w:rsidRPr="00765C97">
          <w:rPr>
            <w:rStyle w:val="Hipercze"/>
            <w:rFonts w:ascii="Arial" w:hAnsi="Arial" w:cs="Arial"/>
            <w:noProof/>
            <w:sz w:val="20"/>
            <w:szCs w:val="20"/>
            <w:lang w:val="pl-PL"/>
          </w:rPr>
          <w:t>1.2</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Zmiany właścicielskie i zmiany w strukturze organizacyjnej w 2012 roku</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_Toc353973200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- 7 -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01" w:history="1">
        <w:r w:rsidR="00C3372A" w:rsidRPr="00765C97">
          <w:rPr>
            <w:rStyle w:val="Hipercze"/>
            <w:rFonts w:ascii="Arial" w:hAnsi="Arial" w:cs="Arial"/>
            <w:noProof/>
            <w:sz w:val="20"/>
            <w:szCs w:val="20"/>
            <w:lang w:val="pl-PL"/>
          </w:rPr>
          <w:t>1.3</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Zmiany właścicielskie i zmiany w strukturze organizacyjnej po dacie bilansu</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_Toc353973201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- 9 -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02" w:history="1">
        <w:r w:rsidR="00C3372A" w:rsidRPr="00765C97">
          <w:rPr>
            <w:rStyle w:val="Hipercze"/>
            <w:rFonts w:ascii="Arial" w:hAnsi="Arial" w:cs="Arial"/>
            <w:noProof/>
            <w:sz w:val="20"/>
            <w:szCs w:val="20"/>
            <w:lang w:val="pl-PL"/>
          </w:rPr>
          <w:t>1.4</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Struktura działania Grupy Comarch</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_Toc353973202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- 10 -</w:t>
        </w:r>
        <w:r w:rsidRPr="00765C97">
          <w:rPr>
            <w:rFonts w:ascii="Arial" w:hAnsi="Arial" w:cs="Arial"/>
            <w:noProof/>
            <w:webHidden/>
            <w:sz w:val="20"/>
            <w:szCs w:val="20"/>
          </w:rPr>
          <w:fldChar w:fldCharType="end"/>
        </w:r>
      </w:hyperlink>
    </w:p>
    <w:p w:rsidR="00C3372A" w:rsidRPr="00765C97" w:rsidRDefault="004D4147">
      <w:pPr>
        <w:pStyle w:val="Spistreci2"/>
        <w:rPr>
          <w:rFonts w:ascii="Arial" w:eastAsiaTheme="minorEastAsia" w:hAnsi="Arial" w:cs="Arial"/>
          <w:noProof/>
          <w:sz w:val="20"/>
          <w:szCs w:val="20"/>
          <w:lang w:val="pl-PL" w:eastAsia="pl-PL"/>
        </w:rPr>
      </w:pPr>
      <w:hyperlink w:anchor="_Toc353973203" w:history="1">
        <w:r w:rsidR="00C3372A" w:rsidRPr="00765C97">
          <w:rPr>
            <w:rStyle w:val="Hipercze"/>
            <w:rFonts w:ascii="Arial" w:hAnsi="Arial" w:cs="Arial"/>
            <w:noProof/>
            <w:spacing w:val="16"/>
            <w:kern w:val="32"/>
            <w:sz w:val="20"/>
            <w:szCs w:val="20"/>
            <w:lang w:val="pl-PL"/>
          </w:rPr>
          <w:t>2.</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Opis stosowanych zasad rachunkowości</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_Toc353973203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- 11 -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04" w:history="1">
        <w:r w:rsidR="00C3372A" w:rsidRPr="00765C97">
          <w:rPr>
            <w:rStyle w:val="Hipercze"/>
            <w:rFonts w:ascii="Arial" w:hAnsi="Arial" w:cs="Arial"/>
            <w:noProof/>
            <w:sz w:val="20"/>
            <w:szCs w:val="20"/>
            <w:lang w:val="pl-PL"/>
          </w:rPr>
          <w:t>2.1</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Zasady wyceny aktywów i pasywów oraz ustalania wyniku finansowego</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_Toc353973204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- 13 -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05" w:history="1">
        <w:r w:rsidR="00C3372A" w:rsidRPr="00765C97">
          <w:rPr>
            <w:rStyle w:val="Hipercze"/>
            <w:rFonts w:ascii="Arial" w:hAnsi="Arial" w:cs="Arial"/>
            <w:noProof/>
            <w:sz w:val="20"/>
            <w:szCs w:val="20"/>
            <w:lang w:val="pl-PL"/>
          </w:rPr>
          <w:t>2.2</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Rozpoznawanie przychodów i kosztów</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_Toc353973205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- 23 -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06" w:history="1">
        <w:r w:rsidR="00C3372A" w:rsidRPr="00765C97">
          <w:rPr>
            <w:rStyle w:val="Hipercze"/>
            <w:rFonts w:ascii="Arial" w:hAnsi="Arial" w:cs="Arial"/>
            <w:noProof/>
            <w:sz w:val="20"/>
            <w:szCs w:val="20"/>
            <w:lang w:val="pl-PL"/>
          </w:rPr>
          <w:t>2.3</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Zarządzanie ryzykiem finansowym</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_Toc353973206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- 24 -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07" w:history="1">
        <w:r w:rsidR="00C3372A" w:rsidRPr="00765C97">
          <w:rPr>
            <w:rStyle w:val="Hipercze"/>
            <w:rFonts w:ascii="Arial" w:hAnsi="Arial" w:cs="Arial"/>
            <w:noProof/>
            <w:sz w:val="20"/>
            <w:szCs w:val="20"/>
            <w:lang w:val="pl-PL"/>
          </w:rPr>
          <w:t>2.4</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Nowe standardy rachunkowości i interpretacje KIMSF</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_Toc353973207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- 27 -</w:t>
        </w:r>
        <w:r w:rsidRPr="00765C97">
          <w:rPr>
            <w:rFonts w:ascii="Arial" w:hAnsi="Arial" w:cs="Arial"/>
            <w:noProof/>
            <w:webHidden/>
            <w:sz w:val="20"/>
            <w:szCs w:val="20"/>
          </w:rPr>
          <w:fldChar w:fldCharType="end"/>
        </w:r>
      </w:hyperlink>
    </w:p>
    <w:p w:rsidR="00C3372A" w:rsidRPr="00765C97" w:rsidRDefault="004D4147">
      <w:pPr>
        <w:pStyle w:val="Spistreci2"/>
        <w:rPr>
          <w:rFonts w:ascii="Arial" w:eastAsiaTheme="minorEastAsia" w:hAnsi="Arial" w:cs="Arial"/>
          <w:noProof/>
          <w:sz w:val="20"/>
          <w:szCs w:val="20"/>
          <w:lang w:val="pl-PL" w:eastAsia="pl-PL"/>
        </w:rPr>
      </w:pPr>
      <w:hyperlink w:anchor="_Toc353973208" w:history="1">
        <w:r w:rsidR="00C3372A" w:rsidRPr="00765C97">
          <w:rPr>
            <w:rStyle w:val="Hipercze"/>
            <w:rFonts w:ascii="Arial" w:hAnsi="Arial" w:cs="Arial"/>
            <w:noProof/>
            <w:spacing w:val="16"/>
            <w:kern w:val="32"/>
            <w:sz w:val="20"/>
            <w:szCs w:val="20"/>
            <w:lang w:val="pl-PL"/>
          </w:rPr>
          <w:t>3.</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Noty do skonsolidowanego sprawozdania finansowego</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_Toc353973208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- 29 -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09" w:history="1">
        <w:r w:rsidR="00C3372A" w:rsidRPr="00765C97">
          <w:rPr>
            <w:rStyle w:val="Hipercze"/>
            <w:rFonts w:ascii="Arial" w:hAnsi="Arial" w:cs="Arial"/>
            <w:noProof/>
            <w:sz w:val="20"/>
            <w:szCs w:val="20"/>
            <w:lang w:val="pl-PL"/>
          </w:rPr>
          <w:t>3.1</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Zatwierdzenie sprawozdania finansowego za 2011 rok</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_Toc353973209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- 29 -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10" w:history="1">
        <w:r w:rsidR="00C3372A" w:rsidRPr="00765C97">
          <w:rPr>
            <w:rStyle w:val="Hipercze"/>
            <w:rFonts w:ascii="Arial" w:hAnsi="Arial" w:cs="Arial"/>
            <w:noProof/>
            <w:sz w:val="20"/>
            <w:szCs w:val="20"/>
            <w:lang w:val="pl-PL"/>
          </w:rPr>
          <w:t>3.2</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Sprawozdawczość wg segmentów</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_Toc353973210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- 29 -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11" w:history="1">
        <w:r w:rsidR="00C3372A" w:rsidRPr="00765C97">
          <w:rPr>
            <w:rStyle w:val="Hipercze"/>
            <w:rFonts w:ascii="Arial" w:hAnsi="Arial" w:cs="Arial"/>
            <w:noProof/>
            <w:spacing w:val="8"/>
            <w:sz w:val="20"/>
            <w:szCs w:val="20"/>
            <w:lang w:val="pl-PL"/>
          </w:rPr>
          <w:t>3.3</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Rzeczowe</w:t>
        </w:r>
        <w:r w:rsidR="00C3372A" w:rsidRPr="00765C97">
          <w:rPr>
            <w:rStyle w:val="Hipercze"/>
            <w:rFonts w:ascii="Arial" w:hAnsi="Arial" w:cs="Arial"/>
            <w:noProof/>
            <w:spacing w:val="8"/>
            <w:sz w:val="20"/>
            <w:szCs w:val="20"/>
            <w:lang w:val="pl-PL"/>
          </w:rPr>
          <w:t xml:space="preserve"> aktywa trwałe</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_Toc353973211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- 34 -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12" w:history="1">
        <w:r w:rsidR="00C3372A" w:rsidRPr="00765C97">
          <w:rPr>
            <w:rStyle w:val="Hipercze"/>
            <w:rFonts w:ascii="Arial" w:hAnsi="Arial" w:cs="Arial"/>
            <w:noProof/>
            <w:sz w:val="20"/>
            <w:szCs w:val="20"/>
            <w:lang w:val="pl-PL"/>
          </w:rPr>
          <w:t>3.4</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Wartość firmy</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_Toc353973212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- 36 -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13" w:history="1">
        <w:r w:rsidR="00C3372A" w:rsidRPr="00765C97">
          <w:rPr>
            <w:rStyle w:val="Hipercze"/>
            <w:rFonts w:ascii="Arial" w:hAnsi="Arial" w:cs="Arial"/>
            <w:noProof/>
            <w:sz w:val="20"/>
            <w:szCs w:val="20"/>
            <w:lang w:val="pl-PL"/>
          </w:rPr>
          <w:t>3.5</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Pozostałe wartości niematerialne</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_Toc353973213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- 39 -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14" w:history="1">
        <w:r w:rsidR="00C3372A" w:rsidRPr="00765C97">
          <w:rPr>
            <w:rStyle w:val="Hipercze"/>
            <w:rFonts w:ascii="Arial" w:hAnsi="Arial" w:cs="Arial"/>
            <w:noProof/>
            <w:sz w:val="20"/>
            <w:szCs w:val="20"/>
            <w:lang w:val="pl-PL"/>
          </w:rPr>
          <w:t>3.6</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Długoterminowe rozliczenia międzyokresowe</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_Toc353973214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- 41 -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15" w:history="1">
        <w:r w:rsidR="00C3372A" w:rsidRPr="00765C97">
          <w:rPr>
            <w:rStyle w:val="Hipercze"/>
            <w:rFonts w:ascii="Arial" w:hAnsi="Arial" w:cs="Arial"/>
            <w:noProof/>
            <w:sz w:val="20"/>
            <w:szCs w:val="20"/>
            <w:lang w:val="pl-PL"/>
          </w:rPr>
          <w:t>3.7</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Inwestycje w jednostkach stowarzyszonych</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_Toc353973215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- 41 -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16" w:history="1">
        <w:r w:rsidR="00C3372A" w:rsidRPr="00765C97">
          <w:rPr>
            <w:rStyle w:val="Hipercze"/>
            <w:rFonts w:ascii="Arial" w:hAnsi="Arial" w:cs="Arial"/>
            <w:noProof/>
            <w:sz w:val="20"/>
            <w:szCs w:val="20"/>
            <w:lang w:val="pl-PL"/>
          </w:rPr>
          <w:t>3.8</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Zapasy</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_Toc353973216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- 41 -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17" w:history="1">
        <w:r w:rsidR="00C3372A" w:rsidRPr="00765C97">
          <w:rPr>
            <w:rStyle w:val="Hipercze"/>
            <w:rFonts w:ascii="Arial" w:hAnsi="Arial" w:cs="Arial"/>
            <w:noProof/>
            <w:sz w:val="20"/>
            <w:szCs w:val="20"/>
            <w:lang w:val="pl-PL"/>
          </w:rPr>
          <w:t>3.9</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Kategorie i klasy instrumentów finansowych</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_Toc353973217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- 42 -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18" w:history="1">
        <w:r w:rsidR="00C3372A" w:rsidRPr="00765C97">
          <w:rPr>
            <w:rStyle w:val="Hipercze"/>
            <w:rFonts w:ascii="Arial" w:hAnsi="Arial" w:cs="Arial"/>
            <w:noProof/>
            <w:sz w:val="20"/>
            <w:szCs w:val="20"/>
            <w:lang w:val="pl-PL"/>
          </w:rPr>
          <w:t>3.10</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Aktywa finansowe dostępne do sprzedaży</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_Toc353973218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- 45 -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19" w:history="1">
        <w:r w:rsidR="00C3372A" w:rsidRPr="00765C97">
          <w:rPr>
            <w:rStyle w:val="Hipercze"/>
            <w:rFonts w:ascii="Arial" w:hAnsi="Arial" w:cs="Arial"/>
            <w:noProof/>
            <w:sz w:val="20"/>
            <w:szCs w:val="20"/>
            <w:lang w:val="pl-PL"/>
          </w:rPr>
          <w:t>3.11</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Pochodne instrumenty finansowe</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_Toc353973219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- 45 -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20" w:history="1">
        <w:r w:rsidR="00C3372A" w:rsidRPr="00765C97">
          <w:rPr>
            <w:rStyle w:val="Hipercze"/>
            <w:rFonts w:ascii="Arial" w:hAnsi="Arial" w:cs="Arial"/>
            <w:noProof/>
            <w:spacing w:val="-1"/>
            <w:sz w:val="20"/>
            <w:szCs w:val="20"/>
            <w:lang w:val="pl-PL"/>
          </w:rPr>
          <w:t>3.12</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Należności handlowe oraz pozostałe należności</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_Toc353973220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- 46 -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21" w:history="1">
        <w:r w:rsidR="00C3372A" w:rsidRPr="00765C97">
          <w:rPr>
            <w:rStyle w:val="Hipercze"/>
            <w:rFonts w:ascii="Arial" w:hAnsi="Arial" w:cs="Arial"/>
            <w:noProof/>
            <w:sz w:val="20"/>
            <w:szCs w:val="20"/>
            <w:lang w:val="pl-PL"/>
          </w:rPr>
          <w:t>3.13</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Środki pieniężne i ich ekwiwalenty</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_Toc353973221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- 46 -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22" w:history="1">
        <w:r w:rsidR="00C3372A" w:rsidRPr="00765C97">
          <w:rPr>
            <w:rStyle w:val="Hipercze"/>
            <w:rFonts w:ascii="Arial" w:hAnsi="Arial" w:cs="Arial"/>
            <w:noProof/>
            <w:sz w:val="20"/>
            <w:szCs w:val="20"/>
            <w:lang w:val="pl-PL"/>
          </w:rPr>
          <w:t>3.14</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Kapitał zakładowy</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_Toc353973222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- 46 -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23" w:history="1">
        <w:r w:rsidR="00C3372A" w:rsidRPr="00765C97">
          <w:rPr>
            <w:rStyle w:val="Hipercze"/>
            <w:rFonts w:ascii="Arial" w:hAnsi="Arial" w:cs="Arial"/>
            <w:noProof/>
            <w:sz w:val="20"/>
            <w:szCs w:val="20"/>
            <w:lang w:val="pl-PL"/>
          </w:rPr>
          <w:t>3.15</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Pozostałe kapitały</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_Toc353973223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- 49 -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24" w:history="1">
        <w:r w:rsidR="00C3372A" w:rsidRPr="00765C97">
          <w:rPr>
            <w:rStyle w:val="Hipercze"/>
            <w:rFonts w:ascii="Arial" w:hAnsi="Arial" w:cs="Arial"/>
            <w:noProof/>
            <w:sz w:val="20"/>
            <w:szCs w:val="20"/>
            <w:lang w:val="pl-PL"/>
          </w:rPr>
          <w:t>3.16</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Zobowiązania handlowe oraz pozostałe zobowiązania</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_Toc353973224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- 50 -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25" w:history="1">
        <w:r w:rsidR="00C3372A" w:rsidRPr="00765C97">
          <w:rPr>
            <w:rStyle w:val="Hipercze"/>
            <w:rFonts w:ascii="Arial" w:hAnsi="Arial" w:cs="Arial"/>
            <w:noProof/>
            <w:sz w:val="20"/>
            <w:szCs w:val="20"/>
            <w:lang w:val="pl-PL"/>
          </w:rPr>
          <w:t>3.17</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Kontrakty długoterminowe</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_Toc353973225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- 50 -</w:t>
        </w:r>
        <w:r w:rsidRPr="00765C97">
          <w:rPr>
            <w:rFonts w:ascii="Arial" w:hAnsi="Arial" w:cs="Arial"/>
            <w:noProof/>
            <w:webHidden/>
            <w:sz w:val="20"/>
            <w:szCs w:val="20"/>
          </w:rPr>
          <w:fldChar w:fldCharType="end"/>
        </w:r>
      </w:hyperlink>
    </w:p>
    <w:p w:rsidR="00C3372A" w:rsidRPr="00765C97" w:rsidRDefault="004D4147" w:rsidP="00385BED">
      <w:pPr>
        <w:pStyle w:val="Spistreci3"/>
        <w:rPr>
          <w:rFonts w:ascii="Arial" w:eastAsiaTheme="minorEastAsia" w:hAnsi="Arial" w:cs="Arial"/>
          <w:noProof/>
          <w:sz w:val="20"/>
          <w:szCs w:val="20"/>
          <w:lang w:val="pl-PL" w:eastAsia="pl-PL"/>
        </w:rPr>
      </w:pPr>
      <w:hyperlink w:anchor="_Toc353973226" w:history="1">
        <w:r w:rsidR="00C3372A" w:rsidRPr="00765C97">
          <w:rPr>
            <w:rStyle w:val="Hipercze"/>
            <w:rFonts w:ascii="Arial" w:hAnsi="Arial" w:cs="Arial"/>
            <w:noProof/>
            <w:sz w:val="20"/>
            <w:szCs w:val="20"/>
            <w:lang w:val="pl-PL"/>
          </w:rPr>
          <w:t>3.18</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Kredyty, pożyczki</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_Toc353973226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- 51 -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30" w:history="1">
        <w:r w:rsidR="00C3372A" w:rsidRPr="00765C97">
          <w:rPr>
            <w:rStyle w:val="Hipercze"/>
            <w:rFonts w:ascii="Arial" w:hAnsi="Arial" w:cs="Arial"/>
            <w:noProof/>
            <w:sz w:val="20"/>
            <w:szCs w:val="20"/>
            <w:lang w:val="pl-PL"/>
          </w:rPr>
          <w:t>3.19</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Zobowiązania warunkowe</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_Toc353973230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- 54 -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31" w:history="1">
        <w:r w:rsidR="00C3372A" w:rsidRPr="00765C97">
          <w:rPr>
            <w:rStyle w:val="Hipercze"/>
            <w:rFonts w:ascii="Arial" w:hAnsi="Arial" w:cs="Arial"/>
            <w:noProof/>
            <w:sz w:val="20"/>
            <w:szCs w:val="20"/>
            <w:lang w:val="pl-PL"/>
          </w:rPr>
          <w:t>3.20</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Odroczony podatek dochodowy</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_Toc353973231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- 56 -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32" w:history="1">
        <w:r w:rsidR="00C3372A" w:rsidRPr="00765C97">
          <w:rPr>
            <w:rStyle w:val="Hipercze"/>
            <w:rFonts w:ascii="Arial" w:hAnsi="Arial" w:cs="Arial"/>
            <w:noProof/>
            <w:sz w:val="20"/>
            <w:szCs w:val="20"/>
            <w:lang w:val="pl-PL"/>
          </w:rPr>
          <w:t>3.21</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Rezerwy na pozostałe zobowiązania i obciążenia</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_Toc353973232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- 59 -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33" w:history="1">
        <w:r w:rsidR="00C3372A" w:rsidRPr="00765C97">
          <w:rPr>
            <w:rStyle w:val="Hipercze"/>
            <w:rFonts w:ascii="Arial" w:hAnsi="Arial" w:cs="Arial"/>
            <w:noProof/>
            <w:sz w:val="20"/>
            <w:szCs w:val="20"/>
            <w:lang w:val="pl-PL"/>
          </w:rPr>
          <w:t>3.22</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Przychody ze sprzedaży</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_Toc353973233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- 60 -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34" w:history="1">
        <w:r w:rsidR="00C3372A" w:rsidRPr="00765C97">
          <w:rPr>
            <w:rStyle w:val="Hipercze"/>
            <w:rFonts w:ascii="Arial" w:hAnsi="Arial" w:cs="Arial"/>
            <w:noProof/>
            <w:sz w:val="20"/>
            <w:szCs w:val="20"/>
            <w:lang w:val="pl-PL"/>
          </w:rPr>
          <w:t>3.23</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Koszty sprzedanych produktów, usług, towarów i materiałów</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_Toc353973234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- 60 -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35" w:history="1">
        <w:r w:rsidR="00C3372A" w:rsidRPr="00765C97">
          <w:rPr>
            <w:rStyle w:val="Hipercze"/>
            <w:rFonts w:ascii="Arial" w:hAnsi="Arial" w:cs="Arial"/>
            <w:noProof/>
            <w:sz w:val="20"/>
            <w:szCs w:val="20"/>
            <w:lang w:val="pl-PL"/>
          </w:rPr>
          <w:t>3.24</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Pozostałe przychody operacyjne</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_Toc353973235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- 61 -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36" w:history="1">
        <w:r w:rsidR="00C3372A" w:rsidRPr="00765C97">
          <w:rPr>
            <w:rStyle w:val="Hipercze"/>
            <w:rFonts w:ascii="Arial" w:hAnsi="Arial" w:cs="Arial"/>
            <w:noProof/>
            <w:sz w:val="20"/>
            <w:szCs w:val="20"/>
            <w:lang w:val="pl-PL"/>
          </w:rPr>
          <w:t>3.25</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Pozostałe koszty operacyjne</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_Toc353973236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- 61 -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37" w:history="1">
        <w:r w:rsidR="00C3372A" w:rsidRPr="00765C97">
          <w:rPr>
            <w:rStyle w:val="Hipercze"/>
            <w:rFonts w:ascii="Arial" w:hAnsi="Arial" w:cs="Arial"/>
            <w:noProof/>
            <w:sz w:val="20"/>
            <w:szCs w:val="20"/>
            <w:lang w:val="pl-PL"/>
          </w:rPr>
          <w:t>3.26</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Koszty finansowe – netto</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_Toc353973237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- 61 -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38" w:history="1">
        <w:r w:rsidR="00C3372A" w:rsidRPr="00765C97">
          <w:rPr>
            <w:rStyle w:val="Hipercze"/>
            <w:rFonts w:ascii="Arial" w:hAnsi="Arial" w:cs="Arial"/>
            <w:noProof/>
            <w:sz w:val="20"/>
            <w:szCs w:val="20"/>
            <w:lang w:val="pl-PL"/>
          </w:rPr>
          <w:t>3.27</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Podatek dochodowy</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_Toc353973238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- 62 -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39" w:history="1">
        <w:r w:rsidR="00C3372A" w:rsidRPr="00765C97">
          <w:rPr>
            <w:rStyle w:val="Hipercze"/>
            <w:rFonts w:ascii="Arial" w:hAnsi="Arial" w:cs="Arial"/>
            <w:noProof/>
            <w:sz w:val="20"/>
            <w:szCs w:val="20"/>
            <w:lang w:val="pl-PL"/>
          </w:rPr>
          <w:t>3.28</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Zyski (straty) kursowe – netto</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_Toc353973239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- 63 -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40" w:history="1">
        <w:r w:rsidR="00C3372A" w:rsidRPr="00765C97">
          <w:rPr>
            <w:rStyle w:val="Hipercze"/>
            <w:rFonts w:ascii="Arial" w:hAnsi="Arial" w:cs="Arial"/>
            <w:noProof/>
            <w:sz w:val="20"/>
            <w:szCs w:val="20"/>
            <w:lang w:val="pl-PL"/>
          </w:rPr>
          <w:t>3.29</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Zysk na akcję</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_Toc353973240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- 63 -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41" w:history="1">
        <w:r w:rsidR="00C3372A" w:rsidRPr="00765C97">
          <w:rPr>
            <w:rStyle w:val="Hipercze"/>
            <w:rFonts w:ascii="Arial" w:hAnsi="Arial" w:cs="Arial"/>
            <w:noProof/>
            <w:sz w:val="20"/>
            <w:szCs w:val="20"/>
            <w:lang w:val="pl-PL"/>
          </w:rPr>
          <w:t>3.30</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Transakcje z podmiotami powiązanymi</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_Toc353973241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- 63 -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42" w:history="1">
        <w:r w:rsidR="00C3372A" w:rsidRPr="00765C97">
          <w:rPr>
            <w:rStyle w:val="Hipercze"/>
            <w:rFonts w:ascii="Arial" w:hAnsi="Arial" w:cs="Arial"/>
            <w:noProof/>
            <w:sz w:val="20"/>
            <w:szCs w:val="20"/>
            <w:lang w:val="pl-PL"/>
          </w:rPr>
          <w:t>3.31</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Wynagrodzenia osób zarządzających i nadzorujących w 2012 i w 2011 roku</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_Toc353973242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- 64 -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43" w:history="1">
        <w:r w:rsidR="00C3372A" w:rsidRPr="00765C97">
          <w:rPr>
            <w:rStyle w:val="Hipercze"/>
            <w:rFonts w:ascii="Arial" w:hAnsi="Arial" w:cs="Arial"/>
            <w:noProof/>
            <w:sz w:val="20"/>
            <w:szCs w:val="20"/>
            <w:lang w:val="pl-PL"/>
          </w:rPr>
          <w:t>3.32</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Informacje o akcjonariuszach oraz akcjach posiadanych przez osoby zarządzające i nadzorujące</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_Toc353973243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- 66 -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44" w:history="1">
        <w:r w:rsidR="00C3372A" w:rsidRPr="00765C97">
          <w:rPr>
            <w:rStyle w:val="Hipercze"/>
            <w:rFonts w:ascii="Arial" w:hAnsi="Arial" w:cs="Arial"/>
            <w:noProof/>
            <w:sz w:val="20"/>
            <w:szCs w:val="20"/>
            <w:lang w:val="pl-PL"/>
          </w:rPr>
          <w:t>3.33</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Czynniki i zdarzenia o nietypowym charakterze, mające znaczący wpływ na osiągnięte wyniki finansowe</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_Toc353973244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- 67 -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45" w:history="1">
        <w:r w:rsidR="00C3372A" w:rsidRPr="00765C97">
          <w:rPr>
            <w:rStyle w:val="Hipercze"/>
            <w:rFonts w:ascii="Arial" w:hAnsi="Arial" w:cs="Arial"/>
            <w:noProof/>
            <w:sz w:val="20"/>
            <w:szCs w:val="20"/>
            <w:lang w:val="pl-PL"/>
          </w:rPr>
          <w:t>3.34</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Zdarzenia po dacie bilansu</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_Toc353973245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- 67 -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46" w:history="1">
        <w:r w:rsidR="00C3372A" w:rsidRPr="00765C97">
          <w:rPr>
            <w:rStyle w:val="Hipercze"/>
            <w:rFonts w:ascii="Arial" w:hAnsi="Arial" w:cs="Arial"/>
            <w:noProof/>
            <w:sz w:val="20"/>
            <w:szCs w:val="20"/>
            <w:lang w:val="pl-PL"/>
          </w:rPr>
          <w:t>3.35</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Istotne postępowania toczące się przed sądem, organem właściwym dla postępowań arbitrażowych lub organem administracji publicznej</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_Toc353973246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- 68 -</w:t>
        </w:r>
        <w:r w:rsidRPr="00765C97">
          <w:rPr>
            <w:rFonts w:ascii="Arial" w:hAnsi="Arial" w:cs="Arial"/>
            <w:noProof/>
            <w:webHidden/>
            <w:sz w:val="20"/>
            <w:szCs w:val="20"/>
          </w:rPr>
          <w:fldChar w:fldCharType="end"/>
        </w:r>
      </w:hyperlink>
    </w:p>
    <w:p w:rsidR="00C3372A" w:rsidRPr="00765C97" w:rsidRDefault="004D4147">
      <w:pPr>
        <w:pStyle w:val="Spistreci3"/>
        <w:rPr>
          <w:rFonts w:ascii="Arial" w:eastAsiaTheme="minorEastAsia" w:hAnsi="Arial" w:cs="Arial"/>
          <w:noProof/>
          <w:sz w:val="20"/>
          <w:szCs w:val="20"/>
          <w:lang w:val="pl-PL" w:eastAsia="pl-PL"/>
        </w:rPr>
      </w:pPr>
      <w:hyperlink w:anchor="_Toc353973247" w:history="1">
        <w:r w:rsidR="00C3372A" w:rsidRPr="00765C97">
          <w:rPr>
            <w:rStyle w:val="Hipercze"/>
            <w:rFonts w:ascii="Arial" w:hAnsi="Arial" w:cs="Arial"/>
            <w:noProof/>
            <w:sz w:val="20"/>
            <w:szCs w:val="20"/>
            <w:lang w:val="pl-PL"/>
          </w:rPr>
          <w:t>3.36</w:t>
        </w:r>
        <w:r w:rsidR="00C3372A" w:rsidRPr="00765C97">
          <w:rPr>
            <w:rFonts w:ascii="Arial" w:eastAsiaTheme="minorEastAsia" w:hAnsi="Arial" w:cs="Arial"/>
            <w:noProof/>
            <w:sz w:val="20"/>
            <w:szCs w:val="20"/>
            <w:lang w:val="pl-PL" w:eastAsia="pl-PL"/>
          </w:rPr>
          <w:tab/>
        </w:r>
        <w:r w:rsidR="00C3372A" w:rsidRPr="00765C97">
          <w:rPr>
            <w:rStyle w:val="Hipercze"/>
            <w:rFonts w:ascii="Arial" w:hAnsi="Arial" w:cs="Arial"/>
            <w:noProof/>
            <w:sz w:val="20"/>
            <w:szCs w:val="20"/>
            <w:lang w:val="pl-PL"/>
          </w:rPr>
          <w:t>Zarządzanie kapitałem</w:t>
        </w:r>
        <w:r w:rsidR="00C3372A" w:rsidRPr="00765C97">
          <w:rPr>
            <w:rFonts w:ascii="Arial" w:hAnsi="Arial" w:cs="Arial"/>
            <w:noProof/>
            <w:webHidden/>
            <w:sz w:val="20"/>
            <w:szCs w:val="20"/>
          </w:rPr>
          <w:tab/>
        </w:r>
        <w:r w:rsidRPr="00765C97">
          <w:rPr>
            <w:rFonts w:ascii="Arial" w:hAnsi="Arial" w:cs="Arial"/>
            <w:noProof/>
            <w:webHidden/>
            <w:sz w:val="20"/>
            <w:szCs w:val="20"/>
          </w:rPr>
          <w:fldChar w:fldCharType="begin"/>
        </w:r>
        <w:r w:rsidR="00C3372A" w:rsidRPr="00765C97">
          <w:rPr>
            <w:rFonts w:ascii="Arial" w:hAnsi="Arial" w:cs="Arial"/>
            <w:noProof/>
            <w:webHidden/>
            <w:sz w:val="20"/>
            <w:szCs w:val="20"/>
          </w:rPr>
          <w:instrText xml:space="preserve"> PAGEREF _Toc353973247 \h </w:instrText>
        </w:r>
        <w:r w:rsidRPr="00765C97">
          <w:rPr>
            <w:rFonts w:ascii="Arial" w:hAnsi="Arial" w:cs="Arial"/>
            <w:noProof/>
            <w:webHidden/>
            <w:sz w:val="20"/>
            <w:szCs w:val="20"/>
          </w:rPr>
        </w:r>
        <w:r w:rsidRPr="00765C97">
          <w:rPr>
            <w:rFonts w:ascii="Arial" w:hAnsi="Arial" w:cs="Arial"/>
            <w:noProof/>
            <w:webHidden/>
            <w:sz w:val="20"/>
            <w:szCs w:val="20"/>
          </w:rPr>
          <w:fldChar w:fldCharType="separate"/>
        </w:r>
        <w:r w:rsidR="00E24535">
          <w:rPr>
            <w:rFonts w:ascii="Arial" w:hAnsi="Arial" w:cs="Arial"/>
            <w:noProof/>
            <w:webHidden/>
            <w:sz w:val="20"/>
            <w:szCs w:val="20"/>
          </w:rPr>
          <w:t>- 69 -</w:t>
        </w:r>
        <w:r w:rsidRPr="00765C97">
          <w:rPr>
            <w:rFonts w:ascii="Arial" w:hAnsi="Arial" w:cs="Arial"/>
            <w:noProof/>
            <w:webHidden/>
            <w:sz w:val="20"/>
            <w:szCs w:val="20"/>
          </w:rPr>
          <w:fldChar w:fldCharType="end"/>
        </w:r>
      </w:hyperlink>
    </w:p>
    <w:p w:rsidR="00B24DA9" w:rsidRPr="00765C97" w:rsidRDefault="004D4147">
      <w:pPr>
        <w:pStyle w:val="Nagwek1"/>
        <w:tabs>
          <w:tab w:val="right" w:leader="dot" w:pos="9000"/>
        </w:tabs>
        <w:spacing w:before="480" w:after="240"/>
        <w:ind w:right="23"/>
        <w:rPr>
          <w:sz w:val="24"/>
          <w:lang w:val="pl-PL"/>
        </w:rPr>
      </w:pPr>
      <w:r w:rsidRPr="00765C97">
        <w:rPr>
          <w:kern w:val="0"/>
          <w:sz w:val="18"/>
          <w:szCs w:val="18"/>
          <w:lang w:val="pl-PL"/>
        </w:rPr>
        <w:lastRenderedPageBreak/>
        <w:fldChar w:fldCharType="end"/>
      </w:r>
      <w:bookmarkStart w:id="2" w:name="_Toc353973192"/>
      <w:r w:rsidR="00B24DA9" w:rsidRPr="00765C97">
        <w:rPr>
          <w:sz w:val="24"/>
          <w:lang w:val="pl-PL"/>
        </w:rPr>
        <w:t>Skonsolidowany bilans</w:t>
      </w:r>
      <w:bookmarkEnd w:id="0"/>
      <w:bookmarkEnd w:id="1"/>
      <w:bookmarkEnd w:id="2"/>
    </w:p>
    <w:tbl>
      <w:tblPr>
        <w:tblW w:w="8278" w:type="dxa"/>
        <w:tblInd w:w="180" w:type="dxa"/>
        <w:tblLayout w:type="fixed"/>
        <w:tblCellMar>
          <w:left w:w="0" w:type="dxa"/>
          <w:right w:w="0" w:type="dxa"/>
        </w:tblCellMar>
        <w:tblLook w:val="0000"/>
      </w:tblPr>
      <w:tblGrid>
        <w:gridCol w:w="3960"/>
        <w:gridCol w:w="720"/>
        <w:gridCol w:w="358"/>
        <w:gridCol w:w="1620"/>
        <w:gridCol w:w="1620"/>
      </w:tblGrid>
      <w:tr w:rsidR="003D2589" w:rsidRPr="00765C97" w:rsidTr="003D2589">
        <w:trPr>
          <w:trHeight w:hRule="exact" w:val="377"/>
        </w:trPr>
        <w:tc>
          <w:tcPr>
            <w:tcW w:w="3960" w:type="dxa"/>
            <w:tcBorders>
              <w:top w:val="nil"/>
              <w:left w:val="nil"/>
              <w:bottom w:val="nil"/>
              <w:right w:val="nil"/>
            </w:tcBorders>
            <w:vAlign w:val="center"/>
          </w:tcPr>
          <w:p w:rsidR="003D2589" w:rsidRPr="00765C97" w:rsidRDefault="003D2589">
            <w:pPr>
              <w:ind w:right="180"/>
              <w:rPr>
                <w:rFonts w:ascii="Arial" w:hAnsi="Arial"/>
                <w:b/>
                <w:spacing w:val="-7"/>
                <w:sz w:val="16"/>
                <w:lang w:val="pl-PL"/>
              </w:rPr>
            </w:pPr>
          </w:p>
        </w:tc>
        <w:tc>
          <w:tcPr>
            <w:tcW w:w="720" w:type="dxa"/>
            <w:tcBorders>
              <w:left w:val="nil"/>
              <w:bottom w:val="nil"/>
              <w:right w:val="nil"/>
            </w:tcBorders>
            <w:vAlign w:val="center"/>
          </w:tcPr>
          <w:p w:rsidR="003D2589" w:rsidRPr="00765C97" w:rsidRDefault="003D2589">
            <w:pPr>
              <w:jc w:val="center"/>
              <w:rPr>
                <w:rFonts w:ascii="Arial" w:hAnsi="Arial"/>
                <w:b/>
                <w:sz w:val="16"/>
                <w:lang w:val="pl-PL"/>
              </w:rPr>
            </w:pPr>
            <w:r w:rsidRPr="00765C97">
              <w:rPr>
                <w:rFonts w:ascii="Arial" w:hAnsi="Arial"/>
                <w:b/>
                <w:sz w:val="16"/>
                <w:lang w:val="pl-PL"/>
              </w:rPr>
              <w:t>Nota</w:t>
            </w:r>
          </w:p>
        </w:tc>
        <w:tc>
          <w:tcPr>
            <w:tcW w:w="358" w:type="dxa"/>
            <w:tcBorders>
              <w:left w:val="nil"/>
              <w:bottom w:val="nil"/>
              <w:right w:val="nil"/>
            </w:tcBorders>
            <w:vAlign w:val="center"/>
          </w:tcPr>
          <w:p w:rsidR="003D2589" w:rsidRPr="00765C97" w:rsidRDefault="003D2589">
            <w:pPr>
              <w:ind w:right="182"/>
              <w:jc w:val="right"/>
              <w:rPr>
                <w:rFonts w:ascii="Arial" w:hAnsi="Arial"/>
                <w:b/>
                <w:sz w:val="16"/>
                <w:lang w:val="pl-PL"/>
              </w:rPr>
            </w:pPr>
          </w:p>
        </w:tc>
        <w:tc>
          <w:tcPr>
            <w:tcW w:w="1620" w:type="dxa"/>
            <w:tcBorders>
              <w:left w:val="nil"/>
              <w:bottom w:val="nil"/>
              <w:right w:val="nil"/>
            </w:tcBorders>
            <w:vAlign w:val="center"/>
          </w:tcPr>
          <w:p w:rsidR="003D2589" w:rsidRPr="00765C97" w:rsidRDefault="00F335D5" w:rsidP="00703714">
            <w:pPr>
              <w:ind w:right="178"/>
              <w:jc w:val="right"/>
              <w:rPr>
                <w:rFonts w:ascii="Arial" w:hAnsi="Arial"/>
                <w:b/>
                <w:sz w:val="16"/>
                <w:lang w:val="pl-PL"/>
              </w:rPr>
            </w:pPr>
            <w:r w:rsidRPr="00765C97">
              <w:rPr>
                <w:rFonts w:ascii="Arial" w:hAnsi="Arial"/>
                <w:b/>
                <w:sz w:val="16"/>
                <w:lang w:val="pl-PL"/>
              </w:rPr>
              <w:t>31 grudnia 2012</w:t>
            </w:r>
            <w:r w:rsidR="003D2589" w:rsidRPr="00765C97">
              <w:rPr>
                <w:rFonts w:ascii="Arial" w:hAnsi="Arial"/>
                <w:b/>
                <w:sz w:val="16"/>
                <w:lang w:val="pl-PL"/>
              </w:rPr>
              <w:t xml:space="preserve"> r.</w:t>
            </w:r>
          </w:p>
        </w:tc>
        <w:tc>
          <w:tcPr>
            <w:tcW w:w="1620" w:type="dxa"/>
            <w:tcBorders>
              <w:left w:val="nil"/>
              <w:bottom w:val="nil"/>
              <w:right w:val="nil"/>
            </w:tcBorders>
            <w:vAlign w:val="center"/>
          </w:tcPr>
          <w:p w:rsidR="003D2589" w:rsidRPr="00765C97" w:rsidRDefault="00F335D5" w:rsidP="003A752B">
            <w:pPr>
              <w:ind w:right="178"/>
              <w:jc w:val="right"/>
              <w:rPr>
                <w:rFonts w:ascii="Arial" w:hAnsi="Arial"/>
                <w:b/>
                <w:sz w:val="16"/>
                <w:lang w:val="pl-PL"/>
              </w:rPr>
            </w:pPr>
            <w:r w:rsidRPr="00765C97">
              <w:rPr>
                <w:rFonts w:ascii="Arial" w:hAnsi="Arial"/>
                <w:b/>
                <w:sz w:val="16"/>
                <w:lang w:val="pl-PL"/>
              </w:rPr>
              <w:t>31 grudnia 2011</w:t>
            </w:r>
            <w:r w:rsidR="003D2589" w:rsidRPr="00765C97">
              <w:rPr>
                <w:rFonts w:ascii="Arial" w:hAnsi="Arial"/>
                <w:b/>
                <w:sz w:val="16"/>
                <w:lang w:val="pl-PL"/>
              </w:rPr>
              <w:t xml:space="preserve"> r.</w:t>
            </w:r>
          </w:p>
        </w:tc>
      </w:tr>
      <w:tr w:rsidR="003D2589" w:rsidRPr="00765C97" w:rsidTr="003D2589">
        <w:trPr>
          <w:trHeight w:val="255"/>
        </w:trPr>
        <w:tc>
          <w:tcPr>
            <w:tcW w:w="3960" w:type="dxa"/>
            <w:tcBorders>
              <w:top w:val="nil"/>
              <w:left w:val="nil"/>
              <w:bottom w:val="nil"/>
              <w:right w:val="nil"/>
            </w:tcBorders>
            <w:vAlign w:val="center"/>
          </w:tcPr>
          <w:p w:rsidR="003D2589" w:rsidRPr="00765C97" w:rsidRDefault="003D2589">
            <w:pPr>
              <w:rPr>
                <w:rFonts w:ascii="Arial" w:hAnsi="Arial"/>
                <w:b/>
                <w:sz w:val="16"/>
                <w:lang w:val="pl-PL"/>
              </w:rPr>
            </w:pPr>
            <w:r w:rsidRPr="00765C97">
              <w:rPr>
                <w:rFonts w:ascii="Arial" w:hAnsi="Arial"/>
                <w:b/>
                <w:sz w:val="16"/>
                <w:lang w:val="pl-PL"/>
              </w:rPr>
              <w:t>AKTYWA</w:t>
            </w:r>
          </w:p>
          <w:p w:rsidR="003D2589" w:rsidRPr="00765C97" w:rsidRDefault="003D2589">
            <w:pPr>
              <w:rPr>
                <w:rFonts w:ascii="Arial" w:hAnsi="Arial"/>
                <w:b/>
                <w:sz w:val="16"/>
                <w:lang w:val="pl-PL"/>
              </w:rPr>
            </w:pPr>
            <w:r w:rsidRPr="00765C97">
              <w:rPr>
                <w:rFonts w:ascii="Arial" w:hAnsi="Arial"/>
                <w:b/>
                <w:sz w:val="16"/>
                <w:lang w:val="pl-PL"/>
              </w:rPr>
              <w:t>Aktywa trwałe</w:t>
            </w:r>
          </w:p>
        </w:tc>
        <w:tc>
          <w:tcPr>
            <w:tcW w:w="720" w:type="dxa"/>
            <w:tcBorders>
              <w:top w:val="nil"/>
              <w:left w:val="nil"/>
              <w:bottom w:val="nil"/>
              <w:right w:val="nil"/>
            </w:tcBorders>
            <w:vAlign w:val="center"/>
          </w:tcPr>
          <w:p w:rsidR="003D2589" w:rsidRPr="00765C97" w:rsidRDefault="003D2589">
            <w:pPr>
              <w:ind w:hanging="10"/>
              <w:jc w:val="center"/>
              <w:rPr>
                <w:rFonts w:ascii="Arial" w:hAnsi="Arial"/>
                <w:b/>
                <w:sz w:val="16"/>
                <w:lang w:val="pl-PL"/>
              </w:rPr>
            </w:pPr>
          </w:p>
        </w:tc>
        <w:tc>
          <w:tcPr>
            <w:tcW w:w="358" w:type="dxa"/>
            <w:tcBorders>
              <w:top w:val="nil"/>
              <w:left w:val="nil"/>
              <w:bottom w:val="nil"/>
              <w:right w:val="nil"/>
            </w:tcBorders>
            <w:vAlign w:val="center"/>
          </w:tcPr>
          <w:p w:rsidR="003D2589" w:rsidRPr="00765C97" w:rsidRDefault="003D2589">
            <w:pPr>
              <w:ind w:right="425"/>
              <w:jc w:val="right"/>
              <w:rPr>
                <w:rFonts w:ascii="Arial" w:hAnsi="Arial"/>
                <w:b/>
                <w:sz w:val="16"/>
                <w:lang w:val="pl-PL"/>
              </w:rPr>
            </w:pPr>
          </w:p>
        </w:tc>
        <w:tc>
          <w:tcPr>
            <w:tcW w:w="1620" w:type="dxa"/>
            <w:tcBorders>
              <w:top w:val="nil"/>
              <w:left w:val="nil"/>
              <w:bottom w:val="nil"/>
              <w:right w:val="nil"/>
            </w:tcBorders>
            <w:vAlign w:val="center"/>
          </w:tcPr>
          <w:p w:rsidR="003D2589" w:rsidRPr="00765C97" w:rsidRDefault="003D2589">
            <w:pPr>
              <w:ind w:right="178"/>
              <w:jc w:val="right"/>
              <w:rPr>
                <w:rFonts w:ascii="Arial" w:hAnsi="Arial"/>
                <w:b/>
                <w:sz w:val="16"/>
                <w:lang w:val="pl-PL"/>
              </w:rPr>
            </w:pPr>
          </w:p>
        </w:tc>
        <w:tc>
          <w:tcPr>
            <w:tcW w:w="1620" w:type="dxa"/>
            <w:tcBorders>
              <w:top w:val="nil"/>
              <w:left w:val="nil"/>
              <w:bottom w:val="nil"/>
              <w:right w:val="nil"/>
            </w:tcBorders>
            <w:vAlign w:val="center"/>
          </w:tcPr>
          <w:p w:rsidR="003D2589" w:rsidRPr="00765C97" w:rsidRDefault="003D2589" w:rsidP="003A752B">
            <w:pPr>
              <w:ind w:right="178"/>
              <w:jc w:val="right"/>
              <w:rPr>
                <w:rFonts w:ascii="Arial" w:hAnsi="Arial"/>
                <w:b/>
                <w:sz w:val="16"/>
                <w:lang w:val="pl-PL"/>
              </w:rPr>
            </w:pP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Rzeczowe aktywa trwałe</w:t>
            </w:r>
          </w:p>
        </w:tc>
        <w:tc>
          <w:tcPr>
            <w:tcW w:w="720" w:type="dxa"/>
            <w:tcBorders>
              <w:top w:val="nil"/>
              <w:left w:val="nil"/>
              <w:bottom w:val="nil"/>
              <w:right w:val="nil"/>
            </w:tcBorders>
            <w:vAlign w:val="center"/>
          </w:tcPr>
          <w:p w:rsidR="00F335D5" w:rsidRPr="00765C97" w:rsidRDefault="00F335D5">
            <w:pPr>
              <w:jc w:val="center"/>
              <w:rPr>
                <w:rFonts w:ascii="Arial" w:hAnsi="Arial"/>
                <w:sz w:val="16"/>
                <w:lang w:val="pl-PL"/>
              </w:rPr>
            </w:pPr>
            <w:r w:rsidRPr="00765C97">
              <w:rPr>
                <w:rFonts w:ascii="Arial" w:hAnsi="Arial"/>
                <w:sz w:val="16"/>
                <w:lang w:val="pl-PL"/>
              </w:rPr>
              <w:t>3.3</w:t>
            </w:r>
          </w:p>
        </w:tc>
        <w:tc>
          <w:tcPr>
            <w:tcW w:w="358" w:type="dxa"/>
            <w:tcBorders>
              <w:top w:val="nil"/>
              <w:left w:val="nil"/>
              <w:bottom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nil"/>
              <w:right w:val="nil"/>
            </w:tcBorders>
            <w:vAlign w:val="center"/>
          </w:tcPr>
          <w:p w:rsidR="00F335D5" w:rsidRPr="00765C97" w:rsidRDefault="00E91CA4" w:rsidP="00FF7970">
            <w:pPr>
              <w:ind w:right="178"/>
              <w:jc w:val="right"/>
              <w:rPr>
                <w:rFonts w:ascii="Arial" w:hAnsi="Arial"/>
                <w:sz w:val="16"/>
                <w:lang w:val="pl-PL"/>
              </w:rPr>
            </w:pPr>
            <w:r w:rsidRPr="00765C97">
              <w:rPr>
                <w:rFonts w:ascii="Arial" w:hAnsi="Arial"/>
                <w:sz w:val="16"/>
                <w:lang w:val="pl-PL"/>
              </w:rPr>
              <w:t>357 715</w:t>
            </w:r>
          </w:p>
        </w:tc>
        <w:tc>
          <w:tcPr>
            <w:tcW w:w="1620" w:type="dxa"/>
            <w:tcBorders>
              <w:top w:val="nil"/>
              <w:left w:val="nil"/>
              <w:bottom w:val="nil"/>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sz w:val="16"/>
                <w:szCs w:val="16"/>
                <w:lang w:val="pl-PL"/>
              </w:rPr>
              <w:t>327 971</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Wartość firmy</w:t>
            </w:r>
          </w:p>
        </w:tc>
        <w:tc>
          <w:tcPr>
            <w:tcW w:w="720" w:type="dxa"/>
            <w:tcBorders>
              <w:top w:val="nil"/>
              <w:left w:val="nil"/>
              <w:bottom w:val="nil"/>
              <w:right w:val="nil"/>
            </w:tcBorders>
            <w:vAlign w:val="center"/>
          </w:tcPr>
          <w:p w:rsidR="00F335D5" w:rsidRPr="00765C97" w:rsidRDefault="00F335D5">
            <w:pPr>
              <w:jc w:val="center"/>
              <w:rPr>
                <w:rFonts w:ascii="Arial" w:hAnsi="Arial"/>
                <w:sz w:val="16"/>
                <w:lang w:val="pl-PL"/>
              </w:rPr>
            </w:pPr>
            <w:r w:rsidRPr="00765C97">
              <w:rPr>
                <w:rFonts w:ascii="Arial" w:hAnsi="Arial"/>
                <w:sz w:val="16"/>
                <w:lang w:val="pl-PL"/>
              </w:rPr>
              <w:t>3.4</w:t>
            </w:r>
          </w:p>
        </w:tc>
        <w:tc>
          <w:tcPr>
            <w:tcW w:w="358" w:type="dxa"/>
            <w:tcBorders>
              <w:top w:val="nil"/>
              <w:left w:val="nil"/>
              <w:bottom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nil"/>
              <w:right w:val="nil"/>
            </w:tcBorders>
            <w:vAlign w:val="center"/>
          </w:tcPr>
          <w:p w:rsidR="00F335D5" w:rsidRPr="00765C97" w:rsidRDefault="00E91CA4" w:rsidP="00FF7970">
            <w:pPr>
              <w:ind w:right="178"/>
              <w:jc w:val="right"/>
              <w:rPr>
                <w:rFonts w:ascii="Arial" w:hAnsi="Arial"/>
                <w:sz w:val="16"/>
                <w:lang w:val="pl-PL"/>
              </w:rPr>
            </w:pPr>
            <w:r w:rsidRPr="00765C97">
              <w:rPr>
                <w:rFonts w:ascii="Arial" w:hAnsi="Arial"/>
                <w:sz w:val="16"/>
                <w:lang w:val="pl-PL"/>
              </w:rPr>
              <w:t>44 061</w:t>
            </w:r>
          </w:p>
        </w:tc>
        <w:tc>
          <w:tcPr>
            <w:tcW w:w="1620" w:type="dxa"/>
            <w:tcBorders>
              <w:top w:val="nil"/>
              <w:left w:val="nil"/>
              <w:bottom w:val="nil"/>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sz w:val="16"/>
                <w:szCs w:val="16"/>
                <w:lang w:val="pl-PL"/>
              </w:rPr>
              <w:t>37 155</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Pozostałe wartości niematerialne</w:t>
            </w:r>
          </w:p>
        </w:tc>
        <w:tc>
          <w:tcPr>
            <w:tcW w:w="720" w:type="dxa"/>
            <w:tcBorders>
              <w:top w:val="nil"/>
              <w:left w:val="nil"/>
              <w:bottom w:val="nil"/>
              <w:right w:val="nil"/>
            </w:tcBorders>
            <w:vAlign w:val="center"/>
          </w:tcPr>
          <w:p w:rsidR="00F335D5" w:rsidRPr="00765C97" w:rsidRDefault="00F335D5">
            <w:pPr>
              <w:jc w:val="center"/>
              <w:rPr>
                <w:rFonts w:ascii="Arial" w:hAnsi="Arial"/>
                <w:sz w:val="16"/>
                <w:lang w:val="pl-PL"/>
              </w:rPr>
            </w:pPr>
            <w:r w:rsidRPr="00765C97">
              <w:rPr>
                <w:rFonts w:ascii="Arial" w:hAnsi="Arial"/>
                <w:sz w:val="16"/>
                <w:lang w:val="pl-PL"/>
              </w:rPr>
              <w:t>3.5</w:t>
            </w:r>
          </w:p>
        </w:tc>
        <w:tc>
          <w:tcPr>
            <w:tcW w:w="358" w:type="dxa"/>
            <w:tcBorders>
              <w:top w:val="nil"/>
              <w:left w:val="nil"/>
              <w:bottom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nil"/>
              <w:right w:val="nil"/>
            </w:tcBorders>
            <w:vAlign w:val="center"/>
          </w:tcPr>
          <w:p w:rsidR="00F335D5" w:rsidRPr="00765C97" w:rsidRDefault="00E91CA4" w:rsidP="00FF7970">
            <w:pPr>
              <w:ind w:right="178"/>
              <w:jc w:val="right"/>
              <w:rPr>
                <w:rFonts w:ascii="Arial" w:hAnsi="Arial"/>
                <w:sz w:val="16"/>
                <w:lang w:val="pl-PL"/>
              </w:rPr>
            </w:pPr>
            <w:r w:rsidRPr="00765C97">
              <w:rPr>
                <w:rFonts w:ascii="Arial" w:hAnsi="Arial"/>
                <w:sz w:val="16"/>
                <w:lang w:val="pl-PL"/>
              </w:rPr>
              <w:t>96 401</w:t>
            </w:r>
          </w:p>
        </w:tc>
        <w:tc>
          <w:tcPr>
            <w:tcW w:w="1620" w:type="dxa"/>
            <w:tcBorders>
              <w:top w:val="nil"/>
              <w:left w:val="nil"/>
              <w:bottom w:val="nil"/>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sz w:val="16"/>
                <w:szCs w:val="16"/>
                <w:lang w:val="pl-PL"/>
              </w:rPr>
              <w:t>80 410</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Długoterminowe rozliczenia międzyokresowe</w:t>
            </w:r>
          </w:p>
        </w:tc>
        <w:tc>
          <w:tcPr>
            <w:tcW w:w="720" w:type="dxa"/>
            <w:tcBorders>
              <w:top w:val="nil"/>
              <w:left w:val="nil"/>
              <w:bottom w:val="nil"/>
              <w:right w:val="nil"/>
            </w:tcBorders>
            <w:vAlign w:val="center"/>
          </w:tcPr>
          <w:p w:rsidR="00F335D5" w:rsidRPr="00765C97" w:rsidRDefault="00F335D5">
            <w:pPr>
              <w:jc w:val="center"/>
              <w:rPr>
                <w:rFonts w:ascii="Arial" w:hAnsi="Arial"/>
                <w:sz w:val="16"/>
                <w:lang w:val="pl-PL"/>
              </w:rPr>
            </w:pPr>
            <w:r w:rsidRPr="00765C97">
              <w:rPr>
                <w:rFonts w:ascii="Arial" w:hAnsi="Arial"/>
                <w:sz w:val="16"/>
                <w:lang w:val="pl-PL"/>
              </w:rPr>
              <w:t>3.6</w:t>
            </w:r>
          </w:p>
        </w:tc>
        <w:tc>
          <w:tcPr>
            <w:tcW w:w="358" w:type="dxa"/>
            <w:tcBorders>
              <w:top w:val="nil"/>
              <w:left w:val="nil"/>
              <w:bottom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nil"/>
              <w:right w:val="nil"/>
            </w:tcBorders>
            <w:vAlign w:val="center"/>
          </w:tcPr>
          <w:p w:rsidR="00F335D5" w:rsidRPr="00765C97" w:rsidRDefault="00E91CA4" w:rsidP="0049132F">
            <w:pPr>
              <w:ind w:right="178"/>
              <w:jc w:val="right"/>
              <w:rPr>
                <w:rFonts w:ascii="Arial" w:hAnsi="Arial"/>
                <w:sz w:val="16"/>
                <w:lang w:val="pl-PL"/>
              </w:rPr>
            </w:pPr>
            <w:r w:rsidRPr="00765C97">
              <w:rPr>
                <w:rFonts w:ascii="Arial" w:hAnsi="Arial"/>
                <w:sz w:val="16"/>
                <w:lang w:val="pl-PL"/>
              </w:rPr>
              <w:t>90</w:t>
            </w:r>
            <w:r w:rsidR="0049132F" w:rsidRPr="00765C97">
              <w:rPr>
                <w:rFonts w:ascii="Arial" w:hAnsi="Arial"/>
                <w:sz w:val="16"/>
                <w:lang w:val="pl-PL"/>
              </w:rPr>
              <w:t>4</w:t>
            </w:r>
          </w:p>
        </w:tc>
        <w:tc>
          <w:tcPr>
            <w:tcW w:w="1620" w:type="dxa"/>
            <w:tcBorders>
              <w:top w:val="nil"/>
              <w:left w:val="nil"/>
              <w:bottom w:val="nil"/>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sz w:val="16"/>
                <w:szCs w:val="16"/>
                <w:lang w:val="pl-PL"/>
              </w:rPr>
              <w:t>61</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 xml:space="preserve">Inwestycje w jednostkach stowarzyszonych </w:t>
            </w:r>
          </w:p>
        </w:tc>
        <w:tc>
          <w:tcPr>
            <w:tcW w:w="720" w:type="dxa"/>
            <w:tcBorders>
              <w:top w:val="nil"/>
              <w:left w:val="nil"/>
              <w:bottom w:val="nil"/>
              <w:right w:val="nil"/>
            </w:tcBorders>
            <w:vAlign w:val="center"/>
          </w:tcPr>
          <w:p w:rsidR="00F335D5" w:rsidRPr="00765C97" w:rsidRDefault="00F335D5">
            <w:pPr>
              <w:jc w:val="center"/>
              <w:rPr>
                <w:rFonts w:ascii="Arial" w:hAnsi="Arial"/>
                <w:sz w:val="16"/>
                <w:lang w:val="pl-PL"/>
              </w:rPr>
            </w:pPr>
            <w:r w:rsidRPr="00765C97">
              <w:rPr>
                <w:rFonts w:ascii="Arial" w:hAnsi="Arial"/>
                <w:sz w:val="16"/>
                <w:lang w:val="pl-PL"/>
              </w:rPr>
              <w:t>3.7</w:t>
            </w:r>
          </w:p>
        </w:tc>
        <w:tc>
          <w:tcPr>
            <w:tcW w:w="358" w:type="dxa"/>
            <w:tcBorders>
              <w:top w:val="nil"/>
              <w:left w:val="nil"/>
              <w:bottom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nil"/>
              <w:right w:val="nil"/>
            </w:tcBorders>
            <w:vAlign w:val="center"/>
          </w:tcPr>
          <w:p w:rsidR="00F335D5" w:rsidRPr="00765C97" w:rsidRDefault="00E91CA4" w:rsidP="00CF083E">
            <w:pPr>
              <w:ind w:right="178"/>
              <w:jc w:val="right"/>
              <w:rPr>
                <w:rFonts w:ascii="Arial" w:hAnsi="Arial"/>
                <w:sz w:val="16"/>
                <w:lang w:val="pl-PL"/>
              </w:rPr>
            </w:pPr>
            <w:r w:rsidRPr="00765C97">
              <w:rPr>
                <w:rFonts w:ascii="Arial" w:hAnsi="Arial"/>
                <w:sz w:val="16"/>
                <w:lang w:val="pl-PL"/>
              </w:rPr>
              <w:t>24</w:t>
            </w:r>
            <w:r w:rsidR="00CF083E" w:rsidRPr="00765C97">
              <w:rPr>
                <w:rFonts w:ascii="Arial" w:hAnsi="Arial"/>
                <w:sz w:val="16"/>
                <w:lang w:val="pl-PL"/>
              </w:rPr>
              <w:t>4</w:t>
            </w:r>
          </w:p>
        </w:tc>
        <w:tc>
          <w:tcPr>
            <w:tcW w:w="1620" w:type="dxa"/>
            <w:tcBorders>
              <w:top w:val="nil"/>
              <w:left w:val="nil"/>
              <w:bottom w:val="nil"/>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sz w:val="16"/>
                <w:szCs w:val="16"/>
                <w:lang w:val="pl-PL"/>
              </w:rPr>
              <w:t>28</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bookmarkStart w:id="3" w:name="OLE_LINK7"/>
            <w:bookmarkStart w:id="4" w:name="OLE_LINK8"/>
            <w:r w:rsidRPr="00765C97">
              <w:rPr>
                <w:rFonts w:ascii="Arial" w:hAnsi="Arial"/>
                <w:sz w:val="16"/>
                <w:lang w:val="pl-PL"/>
              </w:rPr>
              <w:t>Inwestycje pozostałe</w:t>
            </w:r>
            <w:bookmarkEnd w:id="3"/>
            <w:bookmarkEnd w:id="4"/>
          </w:p>
        </w:tc>
        <w:tc>
          <w:tcPr>
            <w:tcW w:w="720" w:type="dxa"/>
            <w:tcBorders>
              <w:top w:val="nil"/>
              <w:left w:val="nil"/>
              <w:right w:val="nil"/>
            </w:tcBorders>
            <w:vAlign w:val="center"/>
          </w:tcPr>
          <w:p w:rsidR="00F335D5" w:rsidRPr="00765C97" w:rsidRDefault="00F335D5">
            <w:pPr>
              <w:jc w:val="center"/>
              <w:rPr>
                <w:rFonts w:ascii="Arial" w:hAnsi="Arial"/>
                <w:sz w:val="16"/>
                <w:lang w:val="pl-PL"/>
              </w:rPr>
            </w:pPr>
          </w:p>
        </w:tc>
        <w:tc>
          <w:tcPr>
            <w:tcW w:w="358" w:type="dxa"/>
            <w:tcBorders>
              <w:top w:val="nil"/>
              <w:left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right w:val="nil"/>
            </w:tcBorders>
            <w:vAlign w:val="center"/>
          </w:tcPr>
          <w:p w:rsidR="00F335D5" w:rsidRPr="00765C97" w:rsidRDefault="00E91CA4" w:rsidP="00CF083E">
            <w:pPr>
              <w:ind w:right="178"/>
              <w:jc w:val="right"/>
              <w:rPr>
                <w:rFonts w:ascii="Arial" w:hAnsi="Arial"/>
                <w:sz w:val="16"/>
                <w:lang w:val="pl-PL"/>
              </w:rPr>
            </w:pPr>
            <w:r w:rsidRPr="00765C97">
              <w:rPr>
                <w:rFonts w:ascii="Arial" w:hAnsi="Arial"/>
                <w:sz w:val="16"/>
                <w:lang w:val="pl-PL"/>
              </w:rPr>
              <w:t>4</w:t>
            </w:r>
            <w:r w:rsidR="00CF083E" w:rsidRPr="00765C97">
              <w:rPr>
                <w:rFonts w:ascii="Arial" w:hAnsi="Arial"/>
                <w:sz w:val="16"/>
                <w:lang w:val="pl-PL"/>
              </w:rPr>
              <w:t>8</w:t>
            </w:r>
          </w:p>
        </w:tc>
        <w:tc>
          <w:tcPr>
            <w:tcW w:w="1620" w:type="dxa"/>
            <w:tcBorders>
              <w:top w:val="nil"/>
              <w:left w:val="nil"/>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sz w:val="16"/>
                <w:szCs w:val="16"/>
                <w:lang w:val="pl-PL"/>
              </w:rPr>
              <w:t>1 106</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Aktywa z tytułu odroczonego podatku dochodowego</w:t>
            </w:r>
          </w:p>
        </w:tc>
        <w:tc>
          <w:tcPr>
            <w:tcW w:w="720" w:type="dxa"/>
            <w:tcBorders>
              <w:top w:val="nil"/>
              <w:left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3.20</w:t>
            </w:r>
          </w:p>
        </w:tc>
        <w:tc>
          <w:tcPr>
            <w:tcW w:w="358" w:type="dxa"/>
            <w:tcBorders>
              <w:top w:val="nil"/>
              <w:left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right w:val="nil"/>
            </w:tcBorders>
            <w:vAlign w:val="center"/>
          </w:tcPr>
          <w:p w:rsidR="00F335D5" w:rsidRPr="00765C97" w:rsidRDefault="00E91CA4" w:rsidP="00FF7970">
            <w:pPr>
              <w:ind w:right="178"/>
              <w:jc w:val="right"/>
              <w:rPr>
                <w:rFonts w:ascii="Arial" w:hAnsi="Arial"/>
                <w:sz w:val="16"/>
                <w:lang w:val="pl-PL"/>
              </w:rPr>
            </w:pPr>
            <w:r w:rsidRPr="00765C97">
              <w:rPr>
                <w:rFonts w:ascii="Arial" w:hAnsi="Arial"/>
                <w:sz w:val="16"/>
                <w:lang w:val="pl-PL"/>
              </w:rPr>
              <w:t>27 791</w:t>
            </w:r>
          </w:p>
        </w:tc>
        <w:tc>
          <w:tcPr>
            <w:tcW w:w="1620" w:type="dxa"/>
            <w:tcBorders>
              <w:top w:val="nil"/>
              <w:left w:val="nil"/>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sz w:val="16"/>
                <w:szCs w:val="16"/>
                <w:lang w:val="pl-PL"/>
              </w:rPr>
              <w:t>27 775</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Pozostałe należności</w:t>
            </w:r>
          </w:p>
        </w:tc>
        <w:tc>
          <w:tcPr>
            <w:tcW w:w="720" w:type="dxa"/>
            <w:tcBorders>
              <w:top w:val="nil"/>
              <w:left w:val="nil"/>
              <w:right w:val="nil"/>
            </w:tcBorders>
            <w:vAlign w:val="center"/>
          </w:tcPr>
          <w:p w:rsidR="00F335D5" w:rsidRPr="00765C97" w:rsidRDefault="00F335D5">
            <w:pPr>
              <w:jc w:val="center"/>
              <w:rPr>
                <w:rFonts w:ascii="Arial" w:hAnsi="Arial"/>
                <w:sz w:val="16"/>
                <w:lang w:val="pl-PL"/>
              </w:rPr>
            </w:pPr>
          </w:p>
        </w:tc>
        <w:tc>
          <w:tcPr>
            <w:tcW w:w="358" w:type="dxa"/>
            <w:tcBorders>
              <w:top w:val="nil"/>
              <w:left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single" w:sz="2" w:space="0" w:color="auto"/>
              <w:right w:val="nil"/>
            </w:tcBorders>
            <w:vAlign w:val="center"/>
          </w:tcPr>
          <w:p w:rsidR="00F335D5" w:rsidRPr="00765C97" w:rsidRDefault="00E91CA4" w:rsidP="00CF083E">
            <w:pPr>
              <w:ind w:right="178"/>
              <w:jc w:val="right"/>
              <w:rPr>
                <w:rFonts w:ascii="Arial" w:hAnsi="Arial"/>
                <w:sz w:val="16"/>
                <w:lang w:val="pl-PL"/>
              </w:rPr>
            </w:pPr>
            <w:r w:rsidRPr="00765C97">
              <w:rPr>
                <w:rFonts w:ascii="Arial" w:hAnsi="Arial"/>
                <w:sz w:val="16"/>
                <w:lang w:val="pl-PL"/>
              </w:rPr>
              <w:t>1 84</w:t>
            </w:r>
            <w:r w:rsidR="00CF083E" w:rsidRPr="00765C97">
              <w:rPr>
                <w:rFonts w:ascii="Arial" w:hAnsi="Arial"/>
                <w:sz w:val="16"/>
                <w:lang w:val="pl-PL"/>
              </w:rPr>
              <w:t>4</w:t>
            </w:r>
          </w:p>
        </w:tc>
        <w:tc>
          <w:tcPr>
            <w:tcW w:w="1620" w:type="dxa"/>
            <w:tcBorders>
              <w:top w:val="nil"/>
              <w:left w:val="nil"/>
              <w:bottom w:val="single" w:sz="2" w:space="0" w:color="auto"/>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sz w:val="16"/>
                <w:szCs w:val="16"/>
                <w:lang w:val="pl-PL"/>
              </w:rPr>
              <w:t>1 732</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b/>
                <w:sz w:val="18"/>
                <w:lang w:val="pl-PL"/>
              </w:rPr>
            </w:pPr>
          </w:p>
        </w:tc>
        <w:tc>
          <w:tcPr>
            <w:tcW w:w="720" w:type="dxa"/>
            <w:tcBorders>
              <w:left w:val="nil"/>
              <w:right w:val="nil"/>
            </w:tcBorders>
            <w:vAlign w:val="center"/>
          </w:tcPr>
          <w:p w:rsidR="00F335D5" w:rsidRPr="00765C97" w:rsidRDefault="00F335D5">
            <w:pPr>
              <w:jc w:val="center"/>
              <w:rPr>
                <w:rFonts w:ascii="Arial" w:hAnsi="Arial"/>
                <w:b/>
                <w:sz w:val="18"/>
                <w:lang w:val="pl-PL"/>
              </w:rPr>
            </w:pPr>
          </w:p>
        </w:tc>
        <w:tc>
          <w:tcPr>
            <w:tcW w:w="358" w:type="dxa"/>
            <w:tcBorders>
              <w:left w:val="nil"/>
              <w:right w:val="nil"/>
            </w:tcBorders>
            <w:vAlign w:val="center"/>
          </w:tcPr>
          <w:p w:rsidR="00F335D5" w:rsidRPr="00765C97" w:rsidRDefault="00F335D5">
            <w:pPr>
              <w:ind w:right="425"/>
              <w:jc w:val="right"/>
              <w:rPr>
                <w:rFonts w:ascii="Arial" w:hAnsi="Arial"/>
                <w:b/>
                <w:sz w:val="18"/>
                <w:lang w:val="pl-PL"/>
              </w:rPr>
            </w:pPr>
          </w:p>
        </w:tc>
        <w:tc>
          <w:tcPr>
            <w:tcW w:w="1620" w:type="dxa"/>
            <w:tcBorders>
              <w:top w:val="single" w:sz="2" w:space="0" w:color="auto"/>
              <w:left w:val="nil"/>
              <w:bottom w:val="single" w:sz="2" w:space="0" w:color="auto"/>
              <w:right w:val="nil"/>
            </w:tcBorders>
            <w:vAlign w:val="center"/>
          </w:tcPr>
          <w:p w:rsidR="00F335D5" w:rsidRPr="00765C97" w:rsidRDefault="00E91CA4" w:rsidP="00FF7970">
            <w:pPr>
              <w:ind w:right="178"/>
              <w:jc w:val="right"/>
              <w:rPr>
                <w:rFonts w:ascii="Arial" w:hAnsi="Arial"/>
                <w:b/>
                <w:sz w:val="18"/>
                <w:lang w:val="pl-PL"/>
              </w:rPr>
            </w:pPr>
            <w:r w:rsidRPr="00765C97">
              <w:rPr>
                <w:rFonts w:ascii="Arial" w:hAnsi="Arial"/>
                <w:b/>
                <w:sz w:val="18"/>
                <w:lang w:val="pl-PL"/>
              </w:rPr>
              <w:t>529 00</w:t>
            </w:r>
            <w:r w:rsidR="0049132F" w:rsidRPr="00765C97">
              <w:rPr>
                <w:rFonts w:ascii="Arial" w:hAnsi="Arial"/>
                <w:b/>
                <w:sz w:val="18"/>
                <w:lang w:val="pl-PL"/>
              </w:rPr>
              <w:t>8</w:t>
            </w:r>
          </w:p>
        </w:tc>
        <w:tc>
          <w:tcPr>
            <w:tcW w:w="1620" w:type="dxa"/>
            <w:tcBorders>
              <w:top w:val="single" w:sz="2" w:space="0" w:color="auto"/>
              <w:left w:val="nil"/>
              <w:bottom w:val="single" w:sz="2" w:space="0" w:color="auto"/>
              <w:right w:val="nil"/>
            </w:tcBorders>
            <w:vAlign w:val="center"/>
          </w:tcPr>
          <w:p w:rsidR="00F335D5" w:rsidRPr="00765C97" w:rsidRDefault="00F335D5" w:rsidP="00F335D5">
            <w:pPr>
              <w:ind w:right="178"/>
              <w:jc w:val="right"/>
              <w:rPr>
                <w:rFonts w:ascii="Arial" w:hAnsi="Arial"/>
                <w:b/>
                <w:sz w:val="16"/>
                <w:szCs w:val="16"/>
                <w:lang w:val="pl-PL"/>
              </w:rPr>
            </w:pPr>
            <w:r w:rsidRPr="00765C97">
              <w:rPr>
                <w:rFonts w:ascii="Arial" w:hAnsi="Arial"/>
                <w:b/>
                <w:sz w:val="16"/>
                <w:szCs w:val="16"/>
                <w:lang w:val="pl-PL"/>
              </w:rPr>
              <w:t>476 238</w:t>
            </w:r>
          </w:p>
        </w:tc>
      </w:tr>
      <w:tr w:rsidR="003D2589" w:rsidRPr="00765C97" w:rsidTr="003D2589">
        <w:trPr>
          <w:trHeight w:val="255"/>
        </w:trPr>
        <w:tc>
          <w:tcPr>
            <w:tcW w:w="3960" w:type="dxa"/>
            <w:tcBorders>
              <w:top w:val="nil"/>
              <w:left w:val="nil"/>
              <w:bottom w:val="nil"/>
              <w:right w:val="nil"/>
            </w:tcBorders>
            <w:vAlign w:val="center"/>
          </w:tcPr>
          <w:p w:rsidR="003D2589" w:rsidRPr="00765C97" w:rsidRDefault="003D2589">
            <w:pPr>
              <w:rPr>
                <w:rFonts w:ascii="Arial" w:hAnsi="Arial"/>
                <w:b/>
                <w:sz w:val="16"/>
                <w:lang w:val="pl-PL"/>
              </w:rPr>
            </w:pPr>
            <w:r w:rsidRPr="00765C97">
              <w:rPr>
                <w:rFonts w:ascii="Arial" w:hAnsi="Arial"/>
                <w:b/>
                <w:sz w:val="16"/>
                <w:lang w:val="pl-PL"/>
              </w:rPr>
              <w:t>Aktywa obrotowe</w:t>
            </w:r>
          </w:p>
        </w:tc>
        <w:tc>
          <w:tcPr>
            <w:tcW w:w="720" w:type="dxa"/>
            <w:tcBorders>
              <w:left w:val="nil"/>
              <w:bottom w:val="nil"/>
              <w:right w:val="nil"/>
            </w:tcBorders>
            <w:vAlign w:val="center"/>
          </w:tcPr>
          <w:p w:rsidR="003D2589" w:rsidRPr="00765C97" w:rsidRDefault="003D2589">
            <w:pPr>
              <w:jc w:val="center"/>
              <w:rPr>
                <w:rFonts w:ascii="Arial" w:hAnsi="Arial"/>
                <w:b/>
                <w:sz w:val="16"/>
                <w:lang w:val="pl-PL"/>
              </w:rPr>
            </w:pPr>
          </w:p>
        </w:tc>
        <w:tc>
          <w:tcPr>
            <w:tcW w:w="358" w:type="dxa"/>
            <w:tcBorders>
              <w:left w:val="nil"/>
              <w:bottom w:val="nil"/>
              <w:right w:val="nil"/>
            </w:tcBorders>
            <w:vAlign w:val="center"/>
          </w:tcPr>
          <w:p w:rsidR="003D2589" w:rsidRPr="00765C97" w:rsidRDefault="003D2589">
            <w:pPr>
              <w:ind w:right="425"/>
              <w:jc w:val="right"/>
              <w:rPr>
                <w:rFonts w:ascii="Arial" w:hAnsi="Arial"/>
                <w:b/>
                <w:sz w:val="16"/>
                <w:lang w:val="pl-PL"/>
              </w:rPr>
            </w:pPr>
          </w:p>
        </w:tc>
        <w:tc>
          <w:tcPr>
            <w:tcW w:w="1620" w:type="dxa"/>
            <w:tcBorders>
              <w:top w:val="single" w:sz="2" w:space="0" w:color="auto"/>
              <w:left w:val="nil"/>
              <w:bottom w:val="nil"/>
              <w:right w:val="nil"/>
            </w:tcBorders>
            <w:vAlign w:val="center"/>
          </w:tcPr>
          <w:p w:rsidR="003D2589" w:rsidRPr="00765C97" w:rsidRDefault="003D2589" w:rsidP="00782528">
            <w:pPr>
              <w:ind w:right="178"/>
              <w:jc w:val="right"/>
              <w:rPr>
                <w:rFonts w:ascii="Arial" w:hAnsi="Arial"/>
                <w:b/>
                <w:sz w:val="16"/>
                <w:lang w:val="pl-PL"/>
              </w:rPr>
            </w:pPr>
          </w:p>
        </w:tc>
        <w:tc>
          <w:tcPr>
            <w:tcW w:w="1620" w:type="dxa"/>
            <w:tcBorders>
              <w:top w:val="single" w:sz="2" w:space="0" w:color="auto"/>
              <w:left w:val="nil"/>
              <w:bottom w:val="nil"/>
              <w:right w:val="nil"/>
            </w:tcBorders>
            <w:vAlign w:val="center"/>
          </w:tcPr>
          <w:p w:rsidR="003D2589" w:rsidRPr="00765C97" w:rsidRDefault="003D2589" w:rsidP="003A752B">
            <w:pPr>
              <w:ind w:right="178"/>
              <w:jc w:val="right"/>
              <w:rPr>
                <w:rFonts w:ascii="Arial" w:hAnsi="Arial"/>
                <w:b/>
                <w:sz w:val="16"/>
                <w:szCs w:val="16"/>
                <w:lang w:val="pl-PL"/>
              </w:rPr>
            </w:pP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Zapasy</w:t>
            </w:r>
          </w:p>
        </w:tc>
        <w:tc>
          <w:tcPr>
            <w:tcW w:w="720" w:type="dxa"/>
            <w:tcBorders>
              <w:top w:val="nil"/>
              <w:left w:val="nil"/>
              <w:bottom w:val="nil"/>
              <w:right w:val="nil"/>
            </w:tcBorders>
            <w:vAlign w:val="center"/>
          </w:tcPr>
          <w:p w:rsidR="00F335D5" w:rsidRPr="00765C97" w:rsidRDefault="00F335D5">
            <w:pPr>
              <w:jc w:val="center"/>
              <w:rPr>
                <w:rFonts w:ascii="Arial" w:hAnsi="Arial"/>
                <w:sz w:val="16"/>
                <w:lang w:val="pl-PL"/>
              </w:rPr>
            </w:pPr>
            <w:r w:rsidRPr="00765C97">
              <w:rPr>
                <w:rFonts w:ascii="Arial" w:hAnsi="Arial"/>
                <w:sz w:val="16"/>
                <w:lang w:val="pl-PL"/>
              </w:rPr>
              <w:t>3.8</w:t>
            </w:r>
          </w:p>
        </w:tc>
        <w:tc>
          <w:tcPr>
            <w:tcW w:w="358" w:type="dxa"/>
            <w:tcBorders>
              <w:top w:val="nil"/>
              <w:left w:val="nil"/>
              <w:bottom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nil"/>
              <w:right w:val="nil"/>
            </w:tcBorders>
            <w:vAlign w:val="center"/>
          </w:tcPr>
          <w:p w:rsidR="00F335D5" w:rsidRPr="00765C97" w:rsidRDefault="00E91CA4" w:rsidP="00FF7970">
            <w:pPr>
              <w:ind w:right="178"/>
              <w:jc w:val="right"/>
              <w:rPr>
                <w:rFonts w:ascii="Arial" w:hAnsi="Arial"/>
                <w:sz w:val="16"/>
                <w:lang w:val="pl-PL"/>
              </w:rPr>
            </w:pPr>
            <w:r w:rsidRPr="00765C97">
              <w:rPr>
                <w:rFonts w:ascii="Arial" w:hAnsi="Arial"/>
                <w:sz w:val="16"/>
                <w:lang w:val="pl-PL"/>
              </w:rPr>
              <w:t>62 307</w:t>
            </w:r>
          </w:p>
        </w:tc>
        <w:tc>
          <w:tcPr>
            <w:tcW w:w="1620" w:type="dxa"/>
            <w:tcBorders>
              <w:top w:val="nil"/>
              <w:left w:val="nil"/>
              <w:bottom w:val="nil"/>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sz w:val="16"/>
                <w:szCs w:val="16"/>
                <w:lang w:val="pl-PL"/>
              </w:rPr>
              <w:t>44 192</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Należności handlowe oraz pozostałe należności</w:t>
            </w:r>
          </w:p>
        </w:tc>
        <w:tc>
          <w:tcPr>
            <w:tcW w:w="720" w:type="dxa"/>
            <w:tcBorders>
              <w:top w:val="nil"/>
              <w:left w:val="nil"/>
              <w:bottom w:val="nil"/>
              <w:right w:val="nil"/>
            </w:tcBorders>
            <w:vAlign w:val="center"/>
          </w:tcPr>
          <w:p w:rsidR="00F335D5" w:rsidRPr="00765C97" w:rsidRDefault="00F335D5">
            <w:pPr>
              <w:jc w:val="center"/>
              <w:rPr>
                <w:rFonts w:ascii="Arial" w:hAnsi="Arial"/>
                <w:sz w:val="16"/>
                <w:lang w:val="pl-PL"/>
              </w:rPr>
            </w:pPr>
            <w:r w:rsidRPr="00765C97">
              <w:rPr>
                <w:rFonts w:ascii="Arial" w:hAnsi="Arial"/>
                <w:sz w:val="16"/>
                <w:lang w:val="pl-PL"/>
              </w:rPr>
              <w:t>3.12</w:t>
            </w:r>
          </w:p>
        </w:tc>
        <w:tc>
          <w:tcPr>
            <w:tcW w:w="358" w:type="dxa"/>
            <w:tcBorders>
              <w:top w:val="nil"/>
              <w:left w:val="nil"/>
              <w:bottom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nil"/>
              <w:right w:val="nil"/>
            </w:tcBorders>
            <w:vAlign w:val="center"/>
          </w:tcPr>
          <w:p w:rsidR="00F335D5" w:rsidRPr="00765C97" w:rsidRDefault="00E91CA4" w:rsidP="00FF7970">
            <w:pPr>
              <w:ind w:right="178"/>
              <w:jc w:val="right"/>
              <w:rPr>
                <w:rFonts w:ascii="Arial" w:hAnsi="Arial"/>
                <w:sz w:val="16"/>
                <w:lang w:val="pl-PL"/>
              </w:rPr>
            </w:pPr>
            <w:r w:rsidRPr="00765C97">
              <w:rPr>
                <w:rFonts w:ascii="Arial" w:hAnsi="Arial"/>
                <w:sz w:val="16"/>
                <w:lang w:val="pl-PL"/>
              </w:rPr>
              <w:t>399 840</w:t>
            </w:r>
          </w:p>
        </w:tc>
        <w:tc>
          <w:tcPr>
            <w:tcW w:w="1620" w:type="dxa"/>
            <w:tcBorders>
              <w:top w:val="nil"/>
              <w:left w:val="nil"/>
              <w:bottom w:val="nil"/>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sz w:val="16"/>
                <w:szCs w:val="16"/>
                <w:lang w:val="pl-PL"/>
              </w:rPr>
              <w:t>294 736</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Należności z tytułu bieżącego podatku dochodowego</w:t>
            </w:r>
          </w:p>
        </w:tc>
        <w:tc>
          <w:tcPr>
            <w:tcW w:w="720" w:type="dxa"/>
            <w:tcBorders>
              <w:top w:val="nil"/>
              <w:left w:val="nil"/>
              <w:bottom w:val="nil"/>
              <w:right w:val="nil"/>
            </w:tcBorders>
            <w:vAlign w:val="center"/>
          </w:tcPr>
          <w:p w:rsidR="00F335D5" w:rsidRPr="00765C97" w:rsidRDefault="00F335D5">
            <w:pPr>
              <w:jc w:val="center"/>
              <w:rPr>
                <w:rFonts w:ascii="Arial" w:hAnsi="Arial"/>
                <w:sz w:val="16"/>
                <w:lang w:val="pl-PL"/>
              </w:rPr>
            </w:pPr>
          </w:p>
        </w:tc>
        <w:tc>
          <w:tcPr>
            <w:tcW w:w="358" w:type="dxa"/>
            <w:tcBorders>
              <w:top w:val="nil"/>
              <w:left w:val="nil"/>
              <w:bottom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nil"/>
              <w:right w:val="nil"/>
            </w:tcBorders>
            <w:vAlign w:val="center"/>
          </w:tcPr>
          <w:p w:rsidR="00F335D5" w:rsidRPr="00765C97" w:rsidRDefault="00E91CA4" w:rsidP="00FF7970">
            <w:pPr>
              <w:ind w:right="178"/>
              <w:jc w:val="right"/>
              <w:rPr>
                <w:rFonts w:ascii="Arial" w:hAnsi="Arial"/>
                <w:sz w:val="16"/>
                <w:lang w:val="pl-PL"/>
              </w:rPr>
            </w:pPr>
            <w:r w:rsidRPr="00765C97">
              <w:rPr>
                <w:rFonts w:ascii="Arial" w:hAnsi="Arial"/>
                <w:sz w:val="16"/>
                <w:lang w:val="pl-PL"/>
              </w:rPr>
              <w:t>408</w:t>
            </w:r>
          </w:p>
        </w:tc>
        <w:tc>
          <w:tcPr>
            <w:tcW w:w="1620" w:type="dxa"/>
            <w:tcBorders>
              <w:top w:val="nil"/>
              <w:left w:val="nil"/>
              <w:bottom w:val="nil"/>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sz w:val="16"/>
                <w:szCs w:val="16"/>
                <w:lang w:val="pl-PL"/>
              </w:rPr>
              <w:t>141</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Należne przychody z tytułu kontraktów długoterminowych</w:t>
            </w:r>
          </w:p>
        </w:tc>
        <w:tc>
          <w:tcPr>
            <w:tcW w:w="720" w:type="dxa"/>
            <w:tcBorders>
              <w:top w:val="nil"/>
              <w:left w:val="nil"/>
              <w:bottom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3.17</w:t>
            </w:r>
          </w:p>
        </w:tc>
        <w:tc>
          <w:tcPr>
            <w:tcW w:w="358" w:type="dxa"/>
            <w:tcBorders>
              <w:top w:val="nil"/>
              <w:left w:val="nil"/>
              <w:bottom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nil"/>
              <w:right w:val="nil"/>
            </w:tcBorders>
            <w:vAlign w:val="center"/>
          </w:tcPr>
          <w:p w:rsidR="00F335D5" w:rsidRPr="00765C97" w:rsidRDefault="00E91CA4" w:rsidP="00FF7970">
            <w:pPr>
              <w:ind w:right="178"/>
              <w:jc w:val="right"/>
              <w:rPr>
                <w:rFonts w:ascii="Arial" w:hAnsi="Arial"/>
                <w:sz w:val="16"/>
                <w:lang w:val="pl-PL"/>
              </w:rPr>
            </w:pPr>
            <w:r w:rsidRPr="00765C97">
              <w:rPr>
                <w:rFonts w:ascii="Arial" w:hAnsi="Arial"/>
                <w:sz w:val="16"/>
                <w:lang w:val="pl-PL"/>
              </w:rPr>
              <w:t>10 165</w:t>
            </w:r>
          </w:p>
        </w:tc>
        <w:tc>
          <w:tcPr>
            <w:tcW w:w="1620" w:type="dxa"/>
            <w:tcBorders>
              <w:top w:val="nil"/>
              <w:left w:val="nil"/>
              <w:bottom w:val="nil"/>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sz w:val="16"/>
                <w:szCs w:val="16"/>
                <w:lang w:val="pl-PL"/>
              </w:rPr>
              <w:t>12 284</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Aktywa finansowe dostępne do sprzedaży</w:t>
            </w:r>
          </w:p>
        </w:tc>
        <w:tc>
          <w:tcPr>
            <w:tcW w:w="720" w:type="dxa"/>
            <w:tcBorders>
              <w:top w:val="nil"/>
              <w:left w:val="nil"/>
              <w:right w:val="nil"/>
            </w:tcBorders>
            <w:vAlign w:val="center"/>
          </w:tcPr>
          <w:p w:rsidR="00F335D5" w:rsidRPr="00765C97" w:rsidRDefault="00F335D5">
            <w:pPr>
              <w:jc w:val="center"/>
              <w:rPr>
                <w:rFonts w:ascii="Arial" w:hAnsi="Arial"/>
                <w:sz w:val="16"/>
                <w:lang w:val="pl-PL"/>
              </w:rPr>
            </w:pPr>
            <w:r w:rsidRPr="00765C97">
              <w:rPr>
                <w:rFonts w:ascii="Arial" w:hAnsi="Arial"/>
                <w:sz w:val="16"/>
                <w:lang w:val="pl-PL"/>
              </w:rPr>
              <w:t>3.10</w:t>
            </w:r>
          </w:p>
        </w:tc>
        <w:tc>
          <w:tcPr>
            <w:tcW w:w="358" w:type="dxa"/>
            <w:tcBorders>
              <w:top w:val="nil"/>
              <w:left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right w:val="nil"/>
            </w:tcBorders>
            <w:vAlign w:val="center"/>
          </w:tcPr>
          <w:p w:rsidR="00F335D5" w:rsidRPr="00765C97" w:rsidRDefault="00E91CA4" w:rsidP="00FF7970">
            <w:pPr>
              <w:ind w:right="178"/>
              <w:jc w:val="right"/>
              <w:rPr>
                <w:rFonts w:ascii="Arial" w:hAnsi="Arial"/>
                <w:sz w:val="16"/>
                <w:lang w:val="pl-PL"/>
              </w:rPr>
            </w:pPr>
            <w:r w:rsidRPr="00765C97">
              <w:rPr>
                <w:rFonts w:ascii="Arial" w:hAnsi="Arial"/>
                <w:sz w:val="16"/>
                <w:lang w:val="pl-PL"/>
              </w:rPr>
              <w:t>1 616</w:t>
            </w:r>
          </w:p>
        </w:tc>
        <w:tc>
          <w:tcPr>
            <w:tcW w:w="1620" w:type="dxa"/>
            <w:tcBorders>
              <w:top w:val="nil"/>
              <w:left w:val="nil"/>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sz w:val="16"/>
                <w:szCs w:val="16"/>
                <w:lang w:val="pl-PL"/>
              </w:rPr>
              <w:t>1 521</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Pozostałe aktywa finansowe wyceniane wg wartości godziwej – instrumenty pochodne</w:t>
            </w:r>
          </w:p>
        </w:tc>
        <w:tc>
          <w:tcPr>
            <w:tcW w:w="720" w:type="dxa"/>
            <w:tcBorders>
              <w:top w:val="nil"/>
              <w:left w:val="nil"/>
              <w:right w:val="nil"/>
            </w:tcBorders>
            <w:vAlign w:val="center"/>
          </w:tcPr>
          <w:p w:rsidR="00F335D5" w:rsidRPr="00765C97" w:rsidRDefault="00F335D5">
            <w:pPr>
              <w:jc w:val="center"/>
              <w:rPr>
                <w:rFonts w:ascii="Arial" w:hAnsi="Arial"/>
                <w:sz w:val="16"/>
                <w:lang w:val="pl-PL"/>
              </w:rPr>
            </w:pPr>
            <w:r w:rsidRPr="00765C97">
              <w:rPr>
                <w:rFonts w:ascii="Arial" w:hAnsi="Arial"/>
                <w:sz w:val="16"/>
                <w:lang w:val="pl-PL"/>
              </w:rPr>
              <w:t>3.11</w:t>
            </w:r>
          </w:p>
        </w:tc>
        <w:tc>
          <w:tcPr>
            <w:tcW w:w="358" w:type="dxa"/>
            <w:tcBorders>
              <w:top w:val="nil"/>
              <w:left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right w:val="nil"/>
            </w:tcBorders>
            <w:vAlign w:val="center"/>
          </w:tcPr>
          <w:p w:rsidR="00F335D5" w:rsidRPr="00765C97" w:rsidRDefault="00E91CA4" w:rsidP="00FF7970">
            <w:pPr>
              <w:ind w:right="178"/>
              <w:jc w:val="right"/>
              <w:rPr>
                <w:rFonts w:ascii="Arial" w:hAnsi="Arial"/>
                <w:sz w:val="16"/>
                <w:lang w:val="pl-PL"/>
              </w:rPr>
            </w:pPr>
            <w:r w:rsidRPr="00765C97">
              <w:rPr>
                <w:rFonts w:ascii="Arial" w:hAnsi="Arial"/>
                <w:sz w:val="16"/>
                <w:lang w:val="pl-PL"/>
              </w:rPr>
              <w:t>1 059</w:t>
            </w:r>
          </w:p>
        </w:tc>
        <w:tc>
          <w:tcPr>
            <w:tcW w:w="1620" w:type="dxa"/>
            <w:tcBorders>
              <w:top w:val="nil"/>
              <w:left w:val="nil"/>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sz w:val="16"/>
                <w:szCs w:val="16"/>
                <w:lang w:val="pl-PL"/>
              </w:rPr>
              <w:t>-</w:t>
            </w:r>
          </w:p>
        </w:tc>
      </w:tr>
      <w:tr w:rsidR="00F335D5" w:rsidRPr="00765C97" w:rsidTr="009510E0">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Udziały i akcje</w:t>
            </w:r>
          </w:p>
        </w:tc>
        <w:tc>
          <w:tcPr>
            <w:tcW w:w="720" w:type="dxa"/>
            <w:tcBorders>
              <w:top w:val="nil"/>
              <w:left w:val="nil"/>
              <w:right w:val="nil"/>
            </w:tcBorders>
            <w:vAlign w:val="center"/>
          </w:tcPr>
          <w:p w:rsidR="00F335D5" w:rsidRPr="00765C97" w:rsidRDefault="00F335D5">
            <w:pPr>
              <w:jc w:val="center"/>
              <w:rPr>
                <w:rFonts w:ascii="Arial" w:hAnsi="Arial"/>
                <w:sz w:val="16"/>
                <w:lang w:val="pl-PL"/>
              </w:rPr>
            </w:pPr>
          </w:p>
        </w:tc>
        <w:tc>
          <w:tcPr>
            <w:tcW w:w="358" w:type="dxa"/>
            <w:tcBorders>
              <w:left w:val="nil"/>
              <w:right w:val="nil"/>
            </w:tcBorders>
            <w:vAlign w:val="center"/>
          </w:tcPr>
          <w:p w:rsidR="00F335D5" w:rsidRPr="00765C97" w:rsidRDefault="00F335D5">
            <w:pPr>
              <w:ind w:right="425"/>
              <w:jc w:val="right"/>
              <w:rPr>
                <w:rFonts w:ascii="Arial" w:hAnsi="Arial"/>
                <w:sz w:val="16"/>
                <w:lang w:val="pl-PL"/>
              </w:rPr>
            </w:pPr>
          </w:p>
        </w:tc>
        <w:tc>
          <w:tcPr>
            <w:tcW w:w="1620" w:type="dxa"/>
            <w:tcBorders>
              <w:left w:val="nil"/>
              <w:right w:val="nil"/>
            </w:tcBorders>
            <w:vAlign w:val="center"/>
          </w:tcPr>
          <w:p w:rsidR="00F335D5" w:rsidRPr="00765C97" w:rsidRDefault="00E91CA4" w:rsidP="00FF7970">
            <w:pPr>
              <w:ind w:right="178"/>
              <w:jc w:val="right"/>
              <w:rPr>
                <w:rFonts w:ascii="Arial" w:hAnsi="Arial"/>
                <w:sz w:val="16"/>
                <w:lang w:val="pl-PL"/>
              </w:rPr>
            </w:pPr>
            <w:r w:rsidRPr="00765C97">
              <w:rPr>
                <w:rFonts w:ascii="Arial" w:hAnsi="Arial"/>
                <w:sz w:val="16"/>
                <w:lang w:val="pl-PL"/>
              </w:rPr>
              <w:t>22</w:t>
            </w:r>
          </w:p>
        </w:tc>
        <w:tc>
          <w:tcPr>
            <w:tcW w:w="1620" w:type="dxa"/>
            <w:tcBorders>
              <w:left w:val="nil"/>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sz w:val="16"/>
                <w:szCs w:val="16"/>
                <w:lang w:val="pl-PL"/>
              </w:rPr>
              <w:t>25</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Środki pieniężne i ich ekwiwalenty</w:t>
            </w:r>
          </w:p>
        </w:tc>
        <w:tc>
          <w:tcPr>
            <w:tcW w:w="720" w:type="dxa"/>
            <w:tcBorders>
              <w:top w:val="nil"/>
              <w:left w:val="nil"/>
              <w:right w:val="nil"/>
            </w:tcBorders>
            <w:vAlign w:val="center"/>
          </w:tcPr>
          <w:p w:rsidR="00F335D5" w:rsidRPr="00765C97" w:rsidRDefault="00F335D5">
            <w:pPr>
              <w:jc w:val="center"/>
              <w:rPr>
                <w:rFonts w:ascii="Arial" w:hAnsi="Arial"/>
                <w:sz w:val="16"/>
                <w:lang w:val="pl-PL"/>
              </w:rPr>
            </w:pPr>
            <w:r w:rsidRPr="00765C97">
              <w:rPr>
                <w:rFonts w:ascii="Arial" w:hAnsi="Arial"/>
                <w:sz w:val="16"/>
                <w:lang w:val="pl-PL"/>
              </w:rPr>
              <w:t>3.13</w:t>
            </w:r>
          </w:p>
        </w:tc>
        <w:tc>
          <w:tcPr>
            <w:tcW w:w="358" w:type="dxa"/>
            <w:tcBorders>
              <w:left w:val="nil"/>
              <w:right w:val="nil"/>
            </w:tcBorders>
            <w:vAlign w:val="center"/>
          </w:tcPr>
          <w:p w:rsidR="00F335D5" w:rsidRPr="00765C97" w:rsidRDefault="00F335D5">
            <w:pPr>
              <w:ind w:right="425"/>
              <w:jc w:val="right"/>
              <w:rPr>
                <w:rFonts w:ascii="Arial" w:hAnsi="Arial"/>
                <w:sz w:val="16"/>
                <w:lang w:val="pl-PL"/>
              </w:rPr>
            </w:pPr>
          </w:p>
        </w:tc>
        <w:tc>
          <w:tcPr>
            <w:tcW w:w="1620" w:type="dxa"/>
            <w:tcBorders>
              <w:left w:val="nil"/>
              <w:bottom w:val="single" w:sz="4" w:space="0" w:color="auto"/>
              <w:right w:val="nil"/>
            </w:tcBorders>
            <w:vAlign w:val="center"/>
          </w:tcPr>
          <w:p w:rsidR="00F335D5" w:rsidRPr="00765C97" w:rsidRDefault="00E91CA4" w:rsidP="00FF7970">
            <w:pPr>
              <w:ind w:right="178"/>
              <w:jc w:val="right"/>
              <w:rPr>
                <w:rFonts w:ascii="Arial" w:hAnsi="Arial"/>
                <w:sz w:val="16"/>
                <w:lang w:val="pl-PL"/>
              </w:rPr>
            </w:pPr>
            <w:r w:rsidRPr="00765C97">
              <w:rPr>
                <w:rFonts w:ascii="Arial" w:hAnsi="Arial"/>
                <w:sz w:val="16"/>
                <w:lang w:val="pl-PL"/>
              </w:rPr>
              <w:t>142 318</w:t>
            </w:r>
          </w:p>
        </w:tc>
        <w:tc>
          <w:tcPr>
            <w:tcW w:w="1620" w:type="dxa"/>
            <w:tcBorders>
              <w:left w:val="nil"/>
              <w:bottom w:val="single" w:sz="4" w:space="0" w:color="auto"/>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sz w:val="16"/>
                <w:szCs w:val="16"/>
                <w:lang w:val="pl-PL"/>
              </w:rPr>
              <w:t>193 337</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8"/>
                <w:lang w:val="pl-PL"/>
              </w:rPr>
            </w:pPr>
          </w:p>
        </w:tc>
        <w:tc>
          <w:tcPr>
            <w:tcW w:w="720" w:type="dxa"/>
            <w:tcBorders>
              <w:left w:val="nil"/>
              <w:right w:val="nil"/>
            </w:tcBorders>
            <w:vAlign w:val="center"/>
          </w:tcPr>
          <w:p w:rsidR="00F335D5" w:rsidRPr="00765C97" w:rsidRDefault="00F335D5">
            <w:pPr>
              <w:jc w:val="center"/>
              <w:rPr>
                <w:rFonts w:ascii="Arial" w:hAnsi="Arial"/>
                <w:sz w:val="18"/>
                <w:lang w:val="pl-PL"/>
              </w:rPr>
            </w:pPr>
          </w:p>
        </w:tc>
        <w:tc>
          <w:tcPr>
            <w:tcW w:w="358" w:type="dxa"/>
            <w:tcBorders>
              <w:left w:val="nil"/>
              <w:right w:val="nil"/>
            </w:tcBorders>
            <w:vAlign w:val="center"/>
          </w:tcPr>
          <w:p w:rsidR="00F335D5" w:rsidRPr="00765C97" w:rsidRDefault="00F335D5">
            <w:pPr>
              <w:ind w:right="425"/>
              <w:jc w:val="right"/>
              <w:rPr>
                <w:rFonts w:ascii="Arial" w:hAnsi="Arial"/>
                <w:b/>
                <w:sz w:val="18"/>
                <w:lang w:val="pl-PL"/>
              </w:rPr>
            </w:pPr>
          </w:p>
        </w:tc>
        <w:tc>
          <w:tcPr>
            <w:tcW w:w="1620" w:type="dxa"/>
            <w:tcBorders>
              <w:top w:val="single" w:sz="4" w:space="0" w:color="auto"/>
              <w:left w:val="nil"/>
              <w:bottom w:val="single" w:sz="2" w:space="0" w:color="auto"/>
              <w:right w:val="nil"/>
            </w:tcBorders>
            <w:vAlign w:val="center"/>
          </w:tcPr>
          <w:p w:rsidR="00F335D5" w:rsidRPr="00765C97" w:rsidRDefault="00E91CA4" w:rsidP="00FF7970">
            <w:pPr>
              <w:ind w:right="178"/>
              <w:jc w:val="right"/>
              <w:rPr>
                <w:rFonts w:ascii="Arial" w:hAnsi="Arial"/>
                <w:b/>
                <w:sz w:val="18"/>
                <w:lang w:val="pl-PL"/>
              </w:rPr>
            </w:pPr>
            <w:r w:rsidRPr="00765C97">
              <w:rPr>
                <w:rFonts w:ascii="Arial" w:hAnsi="Arial"/>
                <w:b/>
                <w:sz w:val="18"/>
                <w:lang w:val="pl-PL"/>
              </w:rPr>
              <w:t>617 73</w:t>
            </w:r>
            <w:r w:rsidR="0049132F" w:rsidRPr="00765C97">
              <w:rPr>
                <w:rFonts w:ascii="Arial" w:hAnsi="Arial"/>
                <w:b/>
                <w:sz w:val="18"/>
                <w:lang w:val="pl-PL"/>
              </w:rPr>
              <w:t>5</w:t>
            </w:r>
          </w:p>
        </w:tc>
        <w:tc>
          <w:tcPr>
            <w:tcW w:w="1620" w:type="dxa"/>
            <w:tcBorders>
              <w:top w:val="single" w:sz="4" w:space="0" w:color="auto"/>
              <w:left w:val="nil"/>
              <w:bottom w:val="single" w:sz="2" w:space="0" w:color="auto"/>
              <w:right w:val="nil"/>
            </w:tcBorders>
            <w:vAlign w:val="center"/>
          </w:tcPr>
          <w:p w:rsidR="00F335D5" w:rsidRPr="00765C97" w:rsidRDefault="00F335D5" w:rsidP="00F335D5">
            <w:pPr>
              <w:ind w:right="178"/>
              <w:jc w:val="right"/>
              <w:rPr>
                <w:rFonts w:ascii="Arial" w:hAnsi="Arial"/>
                <w:b/>
                <w:sz w:val="16"/>
                <w:szCs w:val="16"/>
                <w:lang w:val="pl-PL"/>
              </w:rPr>
            </w:pPr>
            <w:r w:rsidRPr="00765C97">
              <w:rPr>
                <w:rFonts w:ascii="Arial" w:hAnsi="Arial"/>
                <w:b/>
                <w:sz w:val="16"/>
                <w:szCs w:val="16"/>
                <w:lang w:val="pl-PL"/>
              </w:rPr>
              <w:t>546 236</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b/>
                <w:sz w:val="20"/>
                <w:lang w:val="pl-PL"/>
              </w:rPr>
            </w:pPr>
            <w:r w:rsidRPr="00765C97">
              <w:rPr>
                <w:rFonts w:ascii="Arial" w:hAnsi="Arial"/>
                <w:b/>
                <w:sz w:val="20"/>
                <w:lang w:val="pl-PL"/>
              </w:rPr>
              <w:t>Aktywa razem</w:t>
            </w:r>
          </w:p>
        </w:tc>
        <w:tc>
          <w:tcPr>
            <w:tcW w:w="720" w:type="dxa"/>
            <w:tcBorders>
              <w:left w:val="nil"/>
              <w:right w:val="nil"/>
            </w:tcBorders>
            <w:vAlign w:val="center"/>
          </w:tcPr>
          <w:p w:rsidR="00F335D5" w:rsidRPr="00765C97" w:rsidRDefault="00F335D5">
            <w:pPr>
              <w:jc w:val="center"/>
              <w:rPr>
                <w:rFonts w:ascii="Arial" w:hAnsi="Arial"/>
                <w:b/>
                <w:sz w:val="20"/>
                <w:lang w:val="pl-PL"/>
              </w:rPr>
            </w:pPr>
          </w:p>
        </w:tc>
        <w:tc>
          <w:tcPr>
            <w:tcW w:w="358" w:type="dxa"/>
            <w:tcBorders>
              <w:left w:val="nil"/>
              <w:right w:val="nil"/>
            </w:tcBorders>
            <w:vAlign w:val="center"/>
          </w:tcPr>
          <w:p w:rsidR="00F335D5" w:rsidRPr="00765C97" w:rsidRDefault="00F335D5">
            <w:pPr>
              <w:ind w:right="425"/>
              <w:jc w:val="right"/>
              <w:rPr>
                <w:rFonts w:ascii="Arial" w:hAnsi="Arial"/>
                <w:b/>
                <w:sz w:val="20"/>
                <w:lang w:val="pl-PL"/>
              </w:rPr>
            </w:pPr>
          </w:p>
        </w:tc>
        <w:tc>
          <w:tcPr>
            <w:tcW w:w="1620" w:type="dxa"/>
            <w:tcBorders>
              <w:top w:val="single" w:sz="2" w:space="0" w:color="auto"/>
              <w:left w:val="nil"/>
              <w:bottom w:val="single" w:sz="2" w:space="0" w:color="auto"/>
              <w:right w:val="nil"/>
            </w:tcBorders>
            <w:vAlign w:val="center"/>
          </w:tcPr>
          <w:p w:rsidR="00F335D5" w:rsidRPr="00765C97" w:rsidRDefault="00E91CA4" w:rsidP="00FF7970">
            <w:pPr>
              <w:ind w:right="178"/>
              <w:jc w:val="right"/>
              <w:rPr>
                <w:rFonts w:ascii="Arial" w:hAnsi="Arial"/>
                <w:b/>
                <w:sz w:val="16"/>
                <w:lang w:val="pl-PL"/>
              </w:rPr>
            </w:pPr>
            <w:r w:rsidRPr="00765C97">
              <w:rPr>
                <w:rFonts w:ascii="Arial" w:hAnsi="Arial"/>
                <w:b/>
                <w:sz w:val="16"/>
                <w:lang w:val="pl-PL"/>
              </w:rPr>
              <w:t>1 146 743</w:t>
            </w:r>
          </w:p>
        </w:tc>
        <w:tc>
          <w:tcPr>
            <w:tcW w:w="1620" w:type="dxa"/>
            <w:tcBorders>
              <w:top w:val="single" w:sz="2" w:space="0" w:color="auto"/>
              <w:left w:val="nil"/>
              <w:bottom w:val="single" w:sz="2" w:space="0" w:color="auto"/>
              <w:right w:val="nil"/>
            </w:tcBorders>
            <w:vAlign w:val="center"/>
          </w:tcPr>
          <w:p w:rsidR="00F335D5" w:rsidRPr="00765C97" w:rsidRDefault="00F335D5" w:rsidP="00F335D5">
            <w:pPr>
              <w:ind w:right="178"/>
              <w:jc w:val="right"/>
              <w:rPr>
                <w:rFonts w:ascii="Arial" w:hAnsi="Arial"/>
                <w:sz w:val="16"/>
                <w:szCs w:val="16"/>
                <w:lang w:val="pl-PL"/>
              </w:rPr>
            </w:pPr>
            <w:r w:rsidRPr="00765C97">
              <w:rPr>
                <w:rFonts w:ascii="Arial" w:hAnsi="Arial"/>
                <w:b/>
                <w:sz w:val="16"/>
                <w:szCs w:val="16"/>
                <w:lang w:val="pl-PL"/>
              </w:rPr>
              <w:t>1 022 474</w:t>
            </w:r>
          </w:p>
        </w:tc>
      </w:tr>
      <w:tr w:rsidR="009510E0" w:rsidRPr="00F346A4" w:rsidTr="003D2589">
        <w:trPr>
          <w:trHeight w:val="255"/>
        </w:trPr>
        <w:tc>
          <w:tcPr>
            <w:tcW w:w="4680" w:type="dxa"/>
            <w:gridSpan w:val="2"/>
            <w:tcBorders>
              <w:top w:val="nil"/>
              <w:left w:val="nil"/>
              <w:bottom w:val="nil"/>
              <w:right w:val="nil"/>
            </w:tcBorders>
            <w:vAlign w:val="center"/>
          </w:tcPr>
          <w:p w:rsidR="009510E0" w:rsidRPr="00765C97" w:rsidRDefault="009510E0">
            <w:pPr>
              <w:rPr>
                <w:rFonts w:ascii="Arial" w:hAnsi="Arial"/>
                <w:b/>
                <w:spacing w:val="-11"/>
                <w:sz w:val="16"/>
                <w:lang w:val="pl-PL"/>
              </w:rPr>
            </w:pPr>
            <w:r w:rsidRPr="00765C97">
              <w:rPr>
                <w:rFonts w:ascii="Arial" w:hAnsi="Arial"/>
                <w:b/>
                <w:spacing w:val="-11"/>
                <w:sz w:val="16"/>
                <w:lang w:val="pl-PL"/>
              </w:rPr>
              <w:t>KAPITAŁ WŁASNY</w:t>
            </w:r>
          </w:p>
          <w:p w:rsidR="009510E0" w:rsidRPr="00765C97" w:rsidRDefault="009510E0">
            <w:pPr>
              <w:rPr>
                <w:rFonts w:ascii="Arial" w:hAnsi="Arial"/>
                <w:b/>
                <w:spacing w:val="-4"/>
                <w:sz w:val="16"/>
                <w:lang w:val="pl-PL"/>
              </w:rPr>
            </w:pPr>
            <w:r w:rsidRPr="00765C97">
              <w:rPr>
                <w:rFonts w:ascii="Arial" w:hAnsi="Arial"/>
                <w:b/>
                <w:spacing w:val="-4"/>
                <w:sz w:val="16"/>
                <w:lang w:val="pl-PL"/>
              </w:rPr>
              <w:t>Kapitał własny przypadający na akcjonariuszy Spółki</w:t>
            </w:r>
          </w:p>
        </w:tc>
        <w:tc>
          <w:tcPr>
            <w:tcW w:w="358" w:type="dxa"/>
            <w:tcBorders>
              <w:left w:val="nil"/>
              <w:bottom w:val="nil"/>
              <w:right w:val="nil"/>
            </w:tcBorders>
            <w:vAlign w:val="center"/>
          </w:tcPr>
          <w:p w:rsidR="009510E0" w:rsidRPr="00765C97" w:rsidRDefault="009510E0">
            <w:pPr>
              <w:ind w:right="425"/>
              <w:jc w:val="right"/>
              <w:rPr>
                <w:rFonts w:ascii="Arial" w:hAnsi="Arial"/>
                <w:b/>
                <w:spacing w:val="-4"/>
                <w:sz w:val="16"/>
                <w:lang w:val="pl-PL"/>
              </w:rPr>
            </w:pPr>
          </w:p>
        </w:tc>
        <w:tc>
          <w:tcPr>
            <w:tcW w:w="1620" w:type="dxa"/>
            <w:tcBorders>
              <w:top w:val="single" w:sz="2" w:space="0" w:color="auto"/>
              <w:left w:val="nil"/>
              <w:bottom w:val="nil"/>
              <w:right w:val="nil"/>
            </w:tcBorders>
            <w:vAlign w:val="center"/>
          </w:tcPr>
          <w:p w:rsidR="009510E0" w:rsidRPr="00765C97" w:rsidRDefault="009510E0">
            <w:pPr>
              <w:ind w:right="178"/>
              <w:jc w:val="right"/>
              <w:rPr>
                <w:rFonts w:ascii="Arial" w:hAnsi="Arial"/>
                <w:b/>
                <w:spacing w:val="-4"/>
                <w:sz w:val="16"/>
                <w:lang w:val="pl-PL"/>
              </w:rPr>
            </w:pPr>
          </w:p>
        </w:tc>
        <w:tc>
          <w:tcPr>
            <w:tcW w:w="1620" w:type="dxa"/>
            <w:tcBorders>
              <w:top w:val="single" w:sz="2" w:space="0" w:color="auto"/>
              <w:left w:val="nil"/>
              <w:bottom w:val="nil"/>
              <w:right w:val="nil"/>
            </w:tcBorders>
            <w:vAlign w:val="center"/>
          </w:tcPr>
          <w:p w:rsidR="009510E0" w:rsidRPr="00765C97" w:rsidRDefault="009510E0" w:rsidP="00782528">
            <w:pPr>
              <w:ind w:right="182"/>
              <w:jc w:val="right"/>
              <w:rPr>
                <w:rFonts w:ascii="Arial" w:hAnsi="Arial"/>
                <w:b/>
                <w:spacing w:val="-4"/>
                <w:sz w:val="16"/>
                <w:szCs w:val="16"/>
                <w:lang w:val="pl-PL"/>
              </w:rPr>
            </w:pP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Kapitał zakładowy</w:t>
            </w:r>
          </w:p>
        </w:tc>
        <w:tc>
          <w:tcPr>
            <w:tcW w:w="720" w:type="dxa"/>
            <w:tcBorders>
              <w:top w:val="nil"/>
              <w:left w:val="nil"/>
              <w:bottom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3.14</w:t>
            </w:r>
          </w:p>
        </w:tc>
        <w:tc>
          <w:tcPr>
            <w:tcW w:w="358" w:type="dxa"/>
            <w:tcBorders>
              <w:top w:val="nil"/>
              <w:left w:val="nil"/>
              <w:bottom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nil"/>
              <w:right w:val="nil"/>
            </w:tcBorders>
            <w:vAlign w:val="center"/>
          </w:tcPr>
          <w:p w:rsidR="00F335D5" w:rsidRPr="00765C97" w:rsidRDefault="00E91CA4" w:rsidP="00FF7970">
            <w:pPr>
              <w:ind w:right="182"/>
              <w:jc w:val="right"/>
              <w:rPr>
                <w:rFonts w:ascii="Arial" w:hAnsi="Arial"/>
                <w:sz w:val="16"/>
                <w:lang w:val="pl-PL"/>
              </w:rPr>
            </w:pPr>
            <w:r w:rsidRPr="00765C97">
              <w:rPr>
                <w:rFonts w:ascii="Arial" w:hAnsi="Arial"/>
                <w:sz w:val="16"/>
                <w:lang w:val="pl-PL"/>
              </w:rPr>
              <w:t>8 051</w:t>
            </w:r>
          </w:p>
        </w:tc>
        <w:tc>
          <w:tcPr>
            <w:tcW w:w="1620" w:type="dxa"/>
            <w:tcBorders>
              <w:top w:val="nil"/>
              <w:left w:val="nil"/>
              <w:bottom w:val="nil"/>
              <w:right w:val="nil"/>
            </w:tcBorders>
            <w:vAlign w:val="center"/>
          </w:tcPr>
          <w:p w:rsidR="00F335D5" w:rsidRPr="00765C97" w:rsidRDefault="00F335D5" w:rsidP="00F335D5">
            <w:pPr>
              <w:ind w:right="182"/>
              <w:jc w:val="right"/>
              <w:rPr>
                <w:rFonts w:ascii="Arial" w:hAnsi="Arial"/>
                <w:sz w:val="16"/>
                <w:szCs w:val="16"/>
                <w:lang w:val="pl-PL"/>
              </w:rPr>
            </w:pPr>
            <w:r w:rsidRPr="00765C97">
              <w:rPr>
                <w:rFonts w:ascii="Arial" w:hAnsi="Arial"/>
                <w:sz w:val="16"/>
                <w:szCs w:val="16"/>
                <w:lang w:val="pl-PL"/>
              </w:rPr>
              <w:t>8 051</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Pozostałe kapitały</w:t>
            </w:r>
          </w:p>
        </w:tc>
        <w:tc>
          <w:tcPr>
            <w:tcW w:w="720" w:type="dxa"/>
            <w:tcBorders>
              <w:top w:val="nil"/>
              <w:left w:val="nil"/>
              <w:bottom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3.15</w:t>
            </w:r>
          </w:p>
        </w:tc>
        <w:tc>
          <w:tcPr>
            <w:tcW w:w="358" w:type="dxa"/>
            <w:tcBorders>
              <w:top w:val="nil"/>
              <w:left w:val="nil"/>
              <w:bottom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nil"/>
              <w:right w:val="nil"/>
            </w:tcBorders>
            <w:vAlign w:val="center"/>
          </w:tcPr>
          <w:p w:rsidR="00F335D5" w:rsidRPr="00765C97" w:rsidRDefault="00E91CA4" w:rsidP="0068528A">
            <w:pPr>
              <w:ind w:right="182"/>
              <w:jc w:val="right"/>
              <w:rPr>
                <w:rFonts w:ascii="Arial" w:hAnsi="Arial"/>
                <w:sz w:val="16"/>
                <w:lang w:val="pl-PL"/>
              </w:rPr>
            </w:pPr>
            <w:r w:rsidRPr="00765C97">
              <w:rPr>
                <w:rFonts w:ascii="Arial" w:hAnsi="Arial"/>
                <w:sz w:val="16"/>
                <w:lang w:val="pl-PL"/>
              </w:rPr>
              <w:t>142 332</w:t>
            </w:r>
          </w:p>
        </w:tc>
        <w:tc>
          <w:tcPr>
            <w:tcW w:w="1620" w:type="dxa"/>
            <w:tcBorders>
              <w:top w:val="nil"/>
              <w:left w:val="nil"/>
              <w:bottom w:val="nil"/>
              <w:right w:val="nil"/>
            </w:tcBorders>
            <w:vAlign w:val="center"/>
          </w:tcPr>
          <w:p w:rsidR="00F335D5" w:rsidRPr="00765C97" w:rsidRDefault="00F335D5" w:rsidP="00F335D5">
            <w:pPr>
              <w:ind w:right="182"/>
              <w:jc w:val="right"/>
              <w:rPr>
                <w:rFonts w:ascii="Arial" w:hAnsi="Arial"/>
                <w:sz w:val="16"/>
                <w:szCs w:val="16"/>
                <w:lang w:val="pl-PL"/>
              </w:rPr>
            </w:pPr>
            <w:r w:rsidRPr="00765C97">
              <w:rPr>
                <w:rFonts w:ascii="Arial" w:hAnsi="Arial"/>
                <w:sz w:val="16"/>
                <w:szCs w:val="16"/>
                <w:lang w:val="pl-PL"/>
              </w:rPr>
              <w:t>142 007</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Różnice kursowe</w:t>
            </w:r>
          </w:p>
        </w:tc>
        <w:tc>
          <w:tcPr>
            <w:tcW w:w="720" w:type="dxa"/>
            <w:tcBorders>
              <w:top w:val="nil"/>
              <w:left w:val="nil"/>
              <w:bottom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3.28</w:t>
            </w:r>
          </w:p>
        </w:tc>
        <w:tc>
          <w:tcPr>
            <w:tcW w:w="358" w:type="dxa"/>
            <w:tcBorders>
              <w:top w:val="nil"/>
              <w:left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right w:val="nil"/>
            </w:tcBorders>
            <w:vAlign w:val="center"/>
          </w:tcPr>
          <w:p w:rsidR="00F335D5" w:rsidRPr="00765C97" w:rsidRDefault="00E91CA4" w:rsidP="0068528A">
            <w:pPr>
              <w:ind w:right="182"/>
              <w:jc w:val="right"/>
              <w:rPr>
                <w:rFonts w:ascii="Arial" w:hAnsi="Arial"/>
                <w:sz w:val="16"/>
                <w:lang w:val="pl-PL"/>
              </w:rPr>
            </w:pPr>
            <w:r w:rsidRPr="00765C97">
              <w:rPr>
                <w:rFonts w:ascii="Arial" w:hAnsi="Arial"/>
                <w:sz w:val="16"/>
                <w:lang w:val="pl-PL"/>
              </w:rPr>
              <w:t>3 090</w:t>
            </w:r>
          </w:p>
        </w:tc>
        <w:tc>
          <w:tcPr>
            <w:tcW w:w="1620" w:type="dxa"/>
            <w:tcBorders>
              <w:top w:val="nil"/>
              <w:left w:val="nil"/>
              <w:right w:val="nil"/>
            </w:tcBorders>
            <w:vAlign w:val="center"/>
          </w:tcPr>
          <w:p w:rsidR="00F335D5" w:rsidRPr="00765C97" w:rsidRDefault="00F335D5" w:rsidP="00F335D5">
            <w:pPr>
              <w:ind w:right="182"/>
              <w:jc w:val="right"/>
              <w:rPr>
                <w:rFonts w:ascii="Arial" w:hAnsi="Arial"/>
                <w:sz w:val="16"/>
                <w:szCs w:val="16"/>
                <w:lang w:val="pl-PL"/>
              </w:rPr>
            </w:pPr>
            <w:r w:rsidRPr="00765C97">
              <w:rPr>
                <w:rFonts w:ascii="Arial" w:hAnsi="Arial"/>
                <w:sz w:val="16"/>
                <w:szCs w:val="16"/>
                <w:lang w:val="pl-PL"/>
              </w:rPr>
              <w:t>6 595</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Zysk netto za okres bieżący</w:t>
            </w:r>
          </w:p>
        </w:tc>
        <w:tc>
          <w:tcPr>
            <w:tcW w:w="720" w:type="dxa"/>
            <w:tcBorders>
              <w:top w:val="nil"/>
              <w:left w:val="nil"/>
              <w:right w:val="nil"/>
            </w:tcBorders>
            <w:vAlign w:val="center"/>
          </w:tcPr>
          <w:p w:rsidR="00F335D5" w:rsidRPr="00765C97" w:rsidRDefault="00F335D5">
            <w:pPr>
              <w:jc w:val="center"/>
              <w:rPr>
                <w:rFonts w:ascii="Arial" w:hAnsi="Arial"/>
                <w:sz w:val="16"/>
                <w:lang w:val="pl-PL"/>
              </w:rPr>
            </w:pPr>
          </w:p>
        </w:tc>
        <w:tc>
          <w:tcPr>
            <w:tcW w:w="358" w:type="dxa"/>
            <w:tcBorders>
              <w:top w:val="nil"/>
              <w:left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right w:val="nil"/>
            </w:tcBorders>
            <w:vAlign w:val="center"/>
          </w:tcPr>
          <w:p w:rsidR="00F335D5" w:rsidRPr="00765C97" w:rsidRDefault="00E91CA4" w:rsidP="00FF7970">
            <w:pPr>
              <w:ind w:right="182"/>
              <w:jc w:val="right"/>
              <w:rPr>
                <w:rFonts w:ascii="Arial" w:hAnsi="Arial"/>
                <w:sz w:val="16"/>
                <w:lang w:val="pl-PL"/>
              </w:rPr>
            </w:pPr>
            <w:r w:rsidRPr="00765C97">
              <w:rPr>
                <w:rFonts w:ascii="Arial" w:hAnsi="Arial"/>
                <w:sz w:val="16"/>
                <w:lang w:val="pl-PL"/>
              </w:rPr>
              <w:t>40 660</w:t>
            </w:r>
          </w:p>
        </w:tc>
        <w:tc>
          <w:tcPr>
            <w:tcW w:w="1620" w:type="dxa"/>
            <w:tcBorders>
              <w:top w:val="nil"/>
              <w:left w:val="nil"/>
              <w:right w:val="nil"/>
            </w:tcBorders>
            <w:vAlign w:val="center"/>
          </w:tcPr>
          <w:p w:rsidR="00F335D5" w:rsidRPr="00765C97" w:rsidRDefault="00F335D5" w:rsidP="00F335D5">
            <w:pPr>
              <w:ind w:right="182"/>
              <w:jc w:val="right"/>
              <w:rPr>
                <w:rFonts w:ascii="Arial" w:hAnsi="Arial"/>
                <w:sz w:val="16"/>
                <w:szCs w:val="16"/>
                <w:lang w:val="pl-PL"/>
              </w:rPr>
            </w:pPr>
            <w:r w:rsidRPr="00765C97">
              <w:rPr>
                <w:rFonts w:ascii="Arial" w:hAnsi="Arial"/>
                <w:sz w:val="16"/>
                <w:szCs w:val="16"/>
                <w:lang w:val="pl-PL"/>
              </w:rPr>
              <w:t>36 257</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Niepodzielony wynik finansowy</w:t>
            </w:r>
          </w:p>
        </w:tc>
        <w:tc>
          <w:tcPr>
            <w:tcW w:w="720" w:type="dxa"/>
            <w:tcBorders>
              <w:top w:val="nil"/>
              <w:left w:val="nil"/>
              <w:right w:val="nil"/>
            </w:tcBorders>
            <w:vAlign w:val="center"/>
          </w:tcPr>
          <w:p w:rsidR="00F335D5" w:rsidRPr="00765C97" w:rsidRDefault="00F335D5">
            <w:pPr>
              <w:jc w:val="center"/>
              <w:rPr>
                <w:rFonts w:ascii="Arial" w:hAnsi="Arial"/>
                <w:sz w:val="16"/>
                <w:lang w:val="pl-PL"/>
              </w:rPr>
            </w:pPr>
          </w:p>
        </w:tc>
        <w:tc>
          <w:tcPr>
            <w:tcW w:w="358" w:type="dxa"/>
            <w:tcBorders>
              <w:left w:val="nil"/>
              <w:right w:val="nil"/>
            </w:tcBorders>
            <w:vAlign w:val="center"/>
          </w:tcPr>
          <w:p w:rsidR="00F335D5" w:rsidRPr="00765C97" w:rsidRDefault="00F335D5">
            <w:pPr>
              <w:ind w:right="425"/>
              <w:jc w:val="right"/>
              <w:rPr>
                <w:rFonts w:ascii="Arial" w:hAnsi="Arial"/>
                <w:sz w:val="16"/>
                <w:lang w:val="pl-PL"/>
              </w:rPr>
            </w:pPr>
          </w:p>
        </w:tc>
        <w:tc>
          <w:tcPr>
            <w:tcW w:w="1620" w:type="dxa"/>
            <w:tcBorders>
              <w:left w:val="nil"/>
              <w:bottom w:val="single" w:sz="2" w:space="0" w:color="auto"/>
              <w:right w:val="nil"/>
            </w:tcBorders>
            <w:vAlign w:val="center"/>
          </w:tcPr>
          <w:p w:rsidR="00F335D5" w:rsidRPr="00765C97" w:rsidRDefault="00E91CA4" w:rsidP="0068528A">
            <w:pPr>
              <w:ind w:right="182"/>
              <w:jc w:val="right"/>
              <w:rPr>
                <w:rFonts w:ascii="Arial" w:hAnsi="Arial"/>
                <w:color w:val="000000"/>
                <w:sz w:val="16"/>
                <w:lang w:val="pl-PL"/>
              </w:rPr>
            </w:pPr>
            <w:r w:rsidRPr="00765C97">
              <w:rPr>
                <w:rFonts w:ascii="Arial" w:hAnsi="Arial"/>
                <w:color w:val="000000"/>
                <w:sz w:val="16"/>
                <w:lang w:val="pl-PL"/>
              </w:rPr>
              <w:t>427 490</w:t>
            </w:r>
          </w:p>
        </w:tc>
        <w:tc>
          <w:tcPr>
            <w:tcW w:w="1620" w:type="dxa"/>
            <w:tcBorders>
              <w:left w:val="nil"/>
              <w:bottom w:val="single" w:sz="2" w:space="0" w:color="auto"/>
              <w:right w:val="nil"/>
            </w:tcBorders>
            <w:vAlign w:val="center"/>
          </w:tcPr>
          <w:p w:rsidR="00F335D5" w:rsidRPr="00765C97" w:rsidRDefault="00F335D5" w:rsidP="00F335D5">
            <w:pPr>
              <w:ind w:right="182"/>
              <w:jc w:val="right"/>
              <w:rPr>
                <w:rFonts w:ascii="Arial" w:hAnsi="Arial"/>
                <w:color w:val="000000"/>
                <w:sz w:val="16"/>
                <w:szCs w:val="16"/>
                <w:lang w:val="pl-PL"/>
              </w:rPr>
            </w:pPr>
            <w:r w:rsidRPr="00765C97">
              <w:rPr>
                <w:rFonts w:ascii="Arial" w:hAnsi="Arial"/>
                <w:color w:val="000000"/>
                <w:sz w:val="16"/>
                <w:szCs w:val="16"/>
                <w:lang w:val="pl-PL"/>
              </w:rPr>
              <w:t>407 444</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pStyle w:val="BalloonText1"/>
              <w:rPr>
                <w:rFonts w:ascii="Arial" w:hAnsi="Arial"/>
                <w:b/>
                <w:sz w:val="18"/>
                <w:lang w:val="pl-PL"/>
              </w:rPr>
            </w:pPr>
            <w:r w:rsidRPr="00765C97">
              <w:rPr>
                <w:rFonts w:ascii="Arial" w:hAnsi="Arial"/>
                <w:b/>
                <w:sz w:val="18"/>
                <w:lang w:val="pl-PL"/>
              </w:rPr>
              <w:t xml:space="preserve">              </w:t>
            </w:r>
          </w:p>
        </w:tc>
        <w:tc>
          <w:tcPr>
            <w:tcW w:w="720" w:type="dxa"/>
            <w:tcBorders>
              <w:left w:val="nil"/>
              <w:bottom w:val="nil"/>
              <w:right w:val="nil"/>
            </w:tcBorders>
            <w:vAlign w:val="center"/>
          </w:tcPr>
          <w:p w:rsidR="00F335D5" w:rsidRPr="00765C97" w:rsidRDefault="00F335D5">
            <w:pPr>
              <w:jc w:val="center"/>
              <w:rPr>
                <w:rFonts w:ascii="Arial" w:hAnsi="Arial"/>
                <w:b/>
                <w:sz w:val="18"/>
                <w:lang w:val="pl-PL"/>
              </w:rPr>
            </w:pPr>
          </w:p>
        </w:tc>
        <w:tc>
          <w:tcPr>
            <w:tcW w:w="358" w:type="dxa"/>
            <w:tcBorders>
              <w:left w:val="nil"/>
              <w:right w:val="nil"/>
            </w:tcBorders>
            <w:vAlign w:val="center"/>
          </w:tcPr>
          <w:p w:rsidR="00F335D5" w:rsidRPr="00765C97" w:rsidRDefault="00F335D5">
            <w:pPr>
              <w:ind w:right="425"/>
              <w:jc w:val="right"/>
              <w:rPr>
                <w:rFonts w:ascii="Arial" w:hAnsi="Arial"/>
                <w:b/>
                <w:sz w:val="18"/>
                <w:lang w:val="pl-PL"/>
              </w:rPr>
            </w:pPr>
          </w:p>
        </w:tc>
        <w:tc>
          <w:tcPr>
            <w:tcW w:w="1620" w:type="dxa"/>
            <w:tcBorders>
              <w:top w:val="single" w:sz="2" w:space="0" w:color="auto"/>
              <w:left w:val="nil"/>
              <w:bottom w:val="single" w:sz="2" w:space="0" w:color="auto"/>
              <w:right w:val="nil"/>
            </w:tcBorders>
            <w:vAlign w:val="center"/>
          </w:tcPr>
          <w:p w:rsidR="00F335D5" w:rsidRPr="00765C97" w:rsidRDefault="00E91CA4" w:rsidP="00FF7970">
            <w:pPr>
              <w:ind w:right="182"/>
              <w:jc w:val="right"/>
              <w:rPr>
                <w:rFonts w:ascii="Arial" w:hAnsi="Arial"/>
                <w:b/>
                <w:sz w:val="18"/>
                <w:lang w:val="pl-PL"/>
              </w:rPr>
            </w:pPr>
            <w:r w:rsidRPr="00765C97">
              <w:rPr>
                <w:rFonts w:ascii="Arial" w:hAnsi="Arial"/>
                <w:b/>
                <w:sz w:val="18"/>
                <w:lang w:val="pl-PL"/>
              </w:rPr>
              <w:t>621 623</w:t>
            </w:r>
          </w:p>
        </w:tc>
        <w:tc>
          <w:tcPr>
            <w:tcW w:w="1620" w:type="dxa"/>
            <w:tcBorders>
              <w:top w:val="single" w:sz="2" w:space="0" w:color="auto"/>
              <w:left w:val="nil"/>
              <w:bottom w:val="single" w:sz="2" w:space="0" w:color="auto"/>
              <w:right w:val="nil"/>
            </w:tcBorders>
            <w:vAlign w:val="center"/>
          </w:tcPr>
          <w:p w:rsidR="00F335D5" w:rsidRPr="00765C97" w:rsidRDefault="00F335D5" w:rsidP="00F335D5">
            <w:pPr>
              <w:ind w:right="182"/>
              <w:jc w:val="right"/>
              <w:rPr>
                <w:rFonts w:ascii="Arial" w:hAnsi="Arial"/>
                <w:b/>
                <w:sz w:val="16"/>
                <w:szCs w:val="16"/>
                <w:lang w:val="pl-PL"/>
              </w:rPr>
            </w:pPr>
            <w:r w:rsidRPr="00765C97">
              <w:rPr>
                <w:rFonts w:ascii="Arial" w:hAnsi="Arial"/>
                <w:b/>
                <w:sz w:val="16"/>
                <w:szCs w:val="16"/>
                <w:lang w:val="pl-PL"/>
              </w:rPr>
              <w:t>600 354</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pStyle w:val="BalloonText1"/>
              <w:rPr>
                <w:rFonts w:ascii="Arial" w:hAnsi="Arial"/>
                <w:lang w:val="pl-PL"/>
              </w:rPr>
            </w:pPr>
            <w:r w:rsidRPr="00765C97">
              <w:rPr>
                <w:rFonts w:ascii="Arial" w:hAnsi="Arial"/>
                <w:lang w:val="pl-PL"/>
              </w:rPr>
              <w:t>Udziały mniejszości</w:t>
            </w:r>
          </w:p>
        </w:tc>
        <w:tc>
          <w:tcPr>
            <w:tcW w:w="720" w:type="dxa"/>
            <w:tcBorders>
              <w:left w:val="nil"/>
              <w:bottom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3.15</w:t>
            </w:r>
          </w:p>
        </w:tc>
        <w:tc>
          <w:tcPr>
            <w:tcW w:w="358" w:type="dxa"/>
            <w:tcBorders>
              <w:left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single" w:sz="2" w:space="0" w:color="auto"/>
              <w:left w:val="nil"/>
              <w:bottom w:val="single" w:sz="2" w:space="0" w:color="auto"/>
              <w:right w:val="nil"/>
            </w:tcBorders>
            <w:vAlign w:val="center"/>
          </w:tcPr>
          <w:p w:rsidR="00F335D5" w:rsidRPr="00765C97" w:rsidRDefault="00E91CA4" w:rsidP="00FF7970">
            <w:pPr>
              <w:ind w:right="182"/>
              <w:jc w:val="right"/>
              <w:rPr>
                <w:rFonts w:ascii="Arial" w:hAnsi="Arial"/>
                <w:sz w:val="16"/>
                <w:lang w:val="pl-PL"/>
              </w:rPr>
            </w:pPr>
            <w:r w:rsidRPr="00765C97">
              <w:rPr>
                <w:rFonts w:ascii="Arial" w:hAnsi="Arial"/>
                <w:sz w:val="16"/>
                <w:lang w:val="pl-PL"/>
              </w:rPr>
              <w:t>3 319</w:t>
            </w:r>
          </w:p>
        </w:tc>
        <w:tc>
          <w:tcPr>
            <w:tcW w:w="1620" w:type="dxa"/>
            <w:tcBorders>
              <w:top w:val="single" w:sz="2" w:space="0" w:color="auto"/>
              <w:left w:val="nil"/>
              <w:bottom w:val="single" w:sz="2" w:space="0" w:color="auto"/>
              <w:right w:val="nil"/>
            </w:tcBorders>
            <w:vAlign w:val="center"/>
          </w:tcPr>
          <w:p w:rsidR="00F335D5" w:rsidRPr="00765C97" w:rsidRDefault="00F335D5" w:rsidP="00F335D5">
            <w:pPr>
              <w:ind w:right="182"/>
              <w:jc w:val="right"/>
              <w:rPr>
                <w:rFonts w:ascii="Arial" w:hAnsi="Arial"/>
                <w:sz w:val="16"/>
                <w:szCs w:val="16"/>
                <w:lang w:val="pl-PL"/>
              </w:rPr>
            </w:pPr>
            <w:r w:rsidRPr="00765C97">
              <w:rPr>
                <w:rFonts w:ascii="Arial" w:hAnsi="Arial"/>
                <w:sz w:val="16"/>
                <w:szCs w:val="16"/>
                <w:lang w:val="pl-PL"/>
              </w:rPr>
              <w:t>9 497</w:t>
            </w:r>
          </w:p>
        </w:tc>
      </w:tr>
      <w:tr w:rsidR="00F335D5" w:rsidRPr="00765C97" w:rsidTr="003D2589">
        <w:trPr>
          <w:trHeight w:val="255"/>
        </w:trPr>
        <w:tc>
          <w:tcPr>
            <w:tcW w:w="3960" w:type="dxa"/>
            <w:tcBorders>
              <w:top w:val="nil"/>
              <w:left w:val="nil"/>
              <w:right w:val="nil"/>
            </w:tcBorders>
            <w:vAlign w:val="center"/>
          </w:tcPr>
          <w:p w:rsidR="00F335D5" w:rsidRPr="00765C97" w:rsidRDefault="00F335D5">
            <w:pPr>
              <w:rPr>
                <w:rFonts w:ascii="Arial" w:hAnsi="Arial"/>
                <w:b/>
                <w:sz w:val="18"/>
                <w:lang w:val="pl-PL"/>
              </w:rPr>
            </w:pPr>
            <w:r w:rsidRPr="00765C97">
              <w:rPr>
                <w:rFonts w:ascii="Arial" w:hAnsi="Arial"/>
                <w:b/>
                <w:sz w:val="18"/>
                <w:lang w:val="pl-PL"/>
              </w:rPr>
              <w:t>Kapitał własny razem</w:t>
            </w:r>
          </w:p>
        </w:tc>
        <w:tc>
          <w:tcPr>
            <w:tcW w:w="720" w:type="dxa"/>
            <w:tcBorders>
              <w:top w:val="nil"/>
              <w:left w:val="nil"/>
              <w:right w:val="nil"/>
            </w:tcBorders>
            <w:vAlign w:val="center"/>
          </w:tcPr>
          <w:p w:rsidR="00F335D5" w:rsidRPr="00765C97" w:rsidRDefault="00F335D5">
            <w:pPr>
              <w:jc w:val="center"/>
              <w:rPr>
                <w:rFonts w:ascii="Arial" w:hAnsi="Arial"/>
                <w:b/>
                <w:sz w:val="18"/>
                <w:lang w:val="pl-PL"/>
              </w:rPr>
            </w:pPr>
          </w:p>
        </w:tc>
        <w:tc>
          <w:tcPr>
            <w:tcW w:w="358" w:type="dxa"/>
            <w:tcBorders>
              <w:left w:val="nil"/>
              <w:right w:val="nil"/>
            </w:tcBorders>
            <w:vAlign w:val="center"/>
          </w:tcPr>
          <w:p w:rsidR="00F335D5" w:rsidRPr="00765C97" w:rsidRDefault="00F335D5">
            <w:pPr>
              <w:ind w:right="425"/>
              <w:jc w:val="right"/>
              <w:rPr>
                <w:rFonts w:ascii="Arial" w:hAnsi="Arial"/>
                <w:b/>
                <w:sz w:val="18"/>
                <w:lang w:val="pl-PL"/>
              </w:rPr>
            </w:pPr>
          </w:p>
        </w:tc>
        <w:tc>
          <w:tcPr>
            <w:tcW w:w="1620" w:type="dxa"/>
            <w:tcBorders>
              <w:top w:val="single" w:sz="2" w:space="0" w:color="auto"/>
              <w:left w:val="nil"/>
              <w:bottom w:val="single" w:sz="2" w:space="0" w:color="auto"/>
              <w:right w:val="nil"/>
            </w:tcBorders>
            <w:vAlign w:val="center"/>
          </w:tcPr>
          <w:p w:rsidR="00F335D5" w:rsidRPr="00765C97" w:rsidRDefault="004B4EC1" w:rsidP="00FF7970">
            <w:pPr>
              <w:ind w:right="182"/>
              <w:jc w:val="right"/>
              <w:rPr>
                <w:rFonts w:ascii="Arial" w:hAnsi="Arial"/>
                <w:b/>
                <w:sz w:val="18"/>
                <w:lang w:val="pl-PL"/>
              </w:rPr>
            </w:pPr>
            <w:r w:rsidRPr="00765C97">
              <w:rPr>
                <w:rFonts w:ascii="Arial" w:hAnsi="Arial"/>
                <w:b/>
                <w:sz w:val="18"/>
                <w:lang w:val="pl-PL"/>
              </w:rPr>
              <w:t>624 942</w:t>
            </w:r>
          </w:p>
        </w:tc>
        <w:tc>
          <w:tcPr>
            <w:tcW w:w="1620" w:type="dxa"/>
            <w:tcBorders>
              <w:top w:val="single" w:sz="2" w:space="0" w:color="auto"/>
              <w:left w:val="nil"/>
              <w:bottom w:val="single" w:sz="2" w:space="0" w:color="auto"/>
              <w:right w:val="nil"/>
            </w:tcBorders>
            <w:vAlign w:val="center"/>
          </w:tcPr>
          <w:p w:rsidR="00F335D5" w:rsidRPr="00765C97" w:rsidRDefault="00F335D5" w:rsidP="00F335D5">
            <w:pPr>
              <w:ind w:right="182"/>
              <w:jc w:val="right"/>
              <w:rPr>
                <w:rFonts w:ascii="Arial" w:hAnsi="Arial"/>
                <w:b/>
                <w:sz w:val="16"/>
                <w:szCs w:val="16"/>
                <w:lang w:val="pl-PL"/>
              </w:rPr>
            </w:pPr>
            <w:r w:rsidRPr="00765C97">
              <w:rPr>
                <w:rFonts w:ascii="Arial" w:hAnsi="Arial"/>
                <w:b/>
                <w:sz w:val="16"/>
                <w:szCs w:val="16"/>
                <w:lang w:val="pl-PL"/>
              </w:rPr>
              <w:t>609 851</w:t>
            </w:r>
          </w:p>
        </w:tc>
      </w:tr>
      <w:tr w:rsidR="009510E0" w:rsidRPr="00765C97" w:rsidTr="003D2589">
        <w:trPr>
          <w:trHeight w:val="255"/>
        </w:trPr>
        <w:tc>
          <w:tcPr>
            <w:tcW w:w="3960" w:type="dxa"/>
            <w:tcBorders>
              <w:top w:val="nil"/>
              <w:left w:val="nil"/>
              <w:bottom w:val="nil"/>
              <w:right w:val="nil"/>
            </w:tcBorders>
            <w:vAlign w:val="center"/>
          </w:tcPr>
          <w:p w:rsidR="009510E0" w:rsidRPr="00765C97" w:rsidRDefault="009510E0">
            <w:pPr>
              <w:rPr>
                <w:rFonts w:ascii="Arial" w:hAnsi="Arial"/>
                <w:b/>
                <w:spacing w:val="-11"/>
                <w:sz w:val="16"/>
                <w:lang w:val="pl-PL"/>
              </w:rPr>
            </w:pPr>
            <w:r w:rsidRPr="00765C97">
              <w:rPr>
                <w:rFonts w:ascii="Arial" w:hAnsi="Arial"/>
                <w:b/>
                <w:spacing w:val="-11"/>
                <w:sz w:val="16"/>
                <w:lang w:val="pl-PL"/>
              </w:rPr>
              <w:t>ZOBOWIĄZANIA</w:t>
            </w:r>
          </w:p>
          <w:p w:rsidR="009510E0" w:rsidRPr="00765C97" w:rsidRDefault="009510E0">
            <w:pPr>
              <w:pStyle w:val="Nagwek4"/>
              <w:numPr>
                <w:ilvl w:val="0"/>
                <w:numId w:val="0"/>
              </w:numPr>
              <w:spacing w:line="240" w:lineRule="auto"/>
              <w:rPr>
                <w:rFonts w:ascii="Arial" w:hAnsi="Arial"/>
                <w:lang w:val="pl-PL"/>
              </w:rPr>
            </w:pPr>
            <w:r w:rsidRPr="00765C97">
              <w:rPr>
                <w:rFonts w:ascii="Arial" w:hAnsi="Arial"/>
                <w:lang w:val="pl-PL"/>
              </w:rPr>
              <w:t>Zobowiązania długoterminowe</w:t>
            </w:r>
          </w:p>
        </w:tc>
        <w:tc>
          <w:tcPr>
            <w:tcW w:w="720" w:type="dxa"/>
            <w:tcBorders>
              <w:left w:val="nil"/>
              <w:bottom w:val="nil"/>
              <w:right w:val="nil"/>
            </w:tcBorders>
            <w:vAlign w:val="center"/>
          </w:tcPr>
          <w:p w:rsidR="009510E0" w:rsidRPr="00765C97" w:rsidRDefault="009510E0">
            <w:pPr>
              <w:jc w:val="center"/>
              <w:rPr>
                <w:rFonts w:ascii="Arial" w:hAnsi="Arial"/>
                <w:b/>
                <w:sz w:val="16"/>
                <w:lang w:val="pl-PL"/>
              </w:rPr>
            </w:pPr>
          </w:p>
        </w:tc>
        <w:tc>
          <w:tcPr>
            <w:tcW w:w="358" w:type="dxa"/>
            <w:tcBorders>
              <w:left w:val="nil"/>
              <w:bottom w:val="nil"/>
              <w:right w:val="nil"/>
            </w:tcBorders>
            <w:vAlign w:val="center"/>
          </w:tcPr>
          <w:p w:rsidR="009510E0" w:rsidRPr="00765C97" w:rsidRDefault="009510E0">
            <w:pPr>
              <w:ind w:right="425"/>
              <w:jc w:val="right"/>
              <w:rPr>
                <w:rFonts w:ascii="Arial" w:hAnsi="Arial"/>
                <w:b/>
                <w:sz w:val="16"/>
                <w:lang w:val="pl-PL"/>
              </w:rPr>
            </w:pPr>
          </w:p>
        </w:tc>
        <w:tc>
          <w:tcPr>
            <w:tcW w:w="1620" w:type="dxa"/>
            <w:tcBorders>
              <w:left w:val="nil"/>
              <w:bottom w:val="nil"/>
              <w:right w:val="nil"/>
            </w:tcBorders>
            <w:vAlign w:val="center"/>
          </w:tcPr>
          <w:p w:rsidR="009510E0" w:rsidRPr="00765C97" w:rsidRDefault="009510E0" w:rsidP="00782528">
            <w:pPr>
              <w:ind w:right="182"/>
              <w:jc w:val="right"/>
              <w:rPr>
                <w:rFonts w:ascii="Arial" w:hAnsi="Arial"/>
                <w:b/>
                <w:sz w:val="16"/>
                <w:lang w:val="pl-PL"/>
              </w:rPr>
            </w:pPr>
          </w:p>
        </w:tc>
        <w:tc>
          <w:tcPr>
            <w:tcW w:w="1620" w:type="dxa"/>
            <w:tcBorders>
              <w:left w:val="nil"/>
              <w:bottom w:val="nil"/>
              <w:right w:val="nil"/>
            </w:tcBorders>
            <w:vAlign w:val="center"/>
          </w:tcPr>
          <w:p w:rsidR="009510E0" w:rsidRPr="00765C97" w:rsidRDefault="009510E0" w:rsidP="003A752B">
            <w:pPr>
              <w:ind w:right="182"/>
              <w:jc w:val="right"/>
              <w:rPr>
                <w:rFonts w:ascii="Arial" w:hAnsi="Arial"/>
                <w:b/>
                <w:sz w:val="16"/>
                <w:szCs w:val="16"/>
                <w:lang w:val="pl-PL"/>
              </w:rPr>
            </w:pP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Kredyty i pożyczki</w:t>
            </w:r>
          </w:p>
        </w:tc>
        <w:tc>
          <w:tcPr>
            <w:tcW w:w="720" w:type="dxa"/>
            <w:tcBorders>
              <w:top w:val="nil"/>
              <w:left w:val="nil"/>
              <w:bottom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3.18</w:t>
            </w:r>
          </w:p>
        </w:tc>
        <w:tc>
          <w:tcPr>
            <w:tcW w:w="358" w:type="dxa"/>
            <w:tcBorders>
              <w:top w:val="nil"/>
              <w:left w:val="nil"/>
              <w:bottom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nil"/>
              <w:right w:val="nil"/>
            </w:tcBorders>
            <w:vAlign w:val="center"/>
          </w:tcPr>
          <w:p w:rsidR="00F335D5" w:rsidRPr="00765C97" w:rsidRDefault="004B4EC1" w:rsidP="00FF7970">
            <w:pPr>
              <w:ind w:right="182"/>
              <w:jc w:val="right"/>
              <w:rPr>
                <w:rFonts w:ascii="Arial" w:hAnsi="Arial"/>
                <w:sz w:val="16"/>
                <w:lang w:val="pl-PL"/>
              </w:rPr>
            </w:pPr>
            <w:r w:rsidRPr="00765C97">
              <w:rPr>
                <w:rFonts w:ascii="Arial" w:hAnsi="Arial"/>
                <w:sz w:val="16"/>
                <w:lang w:val="pl-PL"/>
              </w:rPr>
              <w:t>94 892</w:t>
            </w:r>
          </w:p>
        </w:tc>
        <w:tc>
          <w:tcPr>
            <w:tcW w:w="1620" w:type="dxa"/>
            <w:tcBorders>
              <w:top w:val="nil"/>
              <w:left w:val="nil"/>
              <w:bottom w:val="nil"/>
              <w:right w:val="nil"/>
            </w:tcBorders>
            <w:vAlign w:val="center"/>
          </w:tcPr>
          <w:p w:rsidR="00F335D5" w:rsidRPr="00765C97" w:rsidRDefault="00F335D5" w:rsidP="00F335D5">
            <w:pPr>
              <w:ind w:right="182"/>
              <w:jc w:val="right"/>
              <w:rPr>
                <w:rFonts w:ascii="Arial" w:hAnsi="Arial"/>
                <w:sz w:val="16"/>
                <w:szCs w:val="16"/>
                <w:lang w:val="pl-PL"/>
              </w:rPr>
            </w:pPr>
            <w:r w:rsidRPr="00765C97">
              <w:rPr>
                <w:rFonts w:ascii="Arial" w:hAnsi="Arial"/>
                <w:sz w:val="16"/>
                <w:szCs w:val="16"/>
                <w:lang w:val="pl-PL"/>
              </w:rPr>
              <w:t>88 895</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Rezerwa z tyt. odroczonego podatku dochodowego</w:t>
            </w:r>
          </w:p>
        </w:tc>
        <w:tc>
          <w:tcPr>
            <w:tcW w:w="720" w:type="dxa"/>
            <w:tcBorders>
              <w:top w:val="nil"/>
              <w:left w:val="nil"/>
              <w:bottom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3.20</w:t>
            </w:r>
          </w:p>
        </w:tc>
        <w:tc>
          <w:tcPr>
            <w:tcW w:w="358" w:type="dxa"/>
            <w:tcBorders>
              <w:top w:val="nil"/>
              <w:left w:val="nil"/>
              <w:bottom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nil"/>
              <w:right w:val="nil"/>
            </w:tcBorders>
            <w:vAlign w:val="center"/>
          </w:tcPr>
          <w:p w:rsidR="00F335D5" w:rsidRPr="00765C97" w:rsidRDefault="004B4EC1" w:rsidP="00FF7970">
            <w:pPr>
              <w:ind w:right="182"/>
              <w:jc w:val="right"/>
              <w:rPr>
                <w:rFonts w:ascii="Arial" w:hAnsi="Arial"/>
                <w:sz w:val="16"/>
                <w:lang w:val="pl-PL"/>
              </w:rPr>
            </w:pPr>
            <w:r w:rsidRPr="00765C97">
              <w:rPr>
                <w:rFonts w:ascii="Arial" w:hAnsi="Arial"/>
                <w:sz w:val="16"/>
                <w:lang w:val="pl-PL"/>
              </w:rPr>
              <w:t>41 575</w:t>
            </w:r>
          </w:p>
        </w:tc>
        <w:tc>
          <w:tcPr>
            <w:tcW w:w="1620" w:type="dxa"/>
            <w:tcBorders>
              <w:top w:val="nil"/>
              <w:left w:val="nil"/>
              <w:bottom w:val="nil"/>
              <w:right w:val="nil"/>
            </w:tcBorders>
            <w:vAlign w:val="center"/>
          </w:tcPr>
          <w:p w:rsidR="00F335D5" w:rsidRPr="00765C97" w:rsidRDefault="00F335D5" w:rsidP="00F335D5">
            <w:pPr>
              <w:ind w:right="182"/>
              <w:jc w:val="right"/>
              <w:rPr>
                <w:rFonts w:ascii="Arial" w:hAnsi="Arial"/>
                <w:sz w:val="16"/>
                <w:szCs w:val="16"/>
                <w:lang w:val="pl-PL"/>
              </w:rPr>
            </w:pPr>
            <w:r w:rsidRPr="00765C97">
              <w:rPr>
                <w:rFonts w:ascii="Arial" w:hAnsi="Arial"/>
                <w:sz w:val="16"/>
                <w:szCs w:val="16"/>
                <w:lang w:val="pl-PL"/>
              </w:rPr>
              <w:t>48 172</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Rezerwy na pozostałe zobowiązania i obciążenia</w:t>
            </w:r>
          </w:p>
        </w:tc>
        <w:tc>
          <w:tcPr>
            <w:tcW w:w="720" w:type="dxa"/>
            <w:tcBorders>
              <w:top w:val="nil"/>
              <w:left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3.21</w:t>
            </w:r>
          </w:p>
        </w:tc>
        <w:tc>
          <w:tcPr>
            <w:tcW w:w="358" w:type="dxa"/>
            <w:tcBorders>
              <w:top w:val="nil"/>
              <w:left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single" w:sz="2" w:space="0" w:color="auto"/>
              <w:right w:val="nil"/>
            </w:tcBorders>
            <w:vAlign w:val="center"/>
          </w:tcPr>
          <w:p w:rsidR="00F335D5" w:rsidRPr="00765C97" w:rsidRDefault="00F346A4" w:rsidP="00FF7970">
            <w:pPr>
              <w:ind w:right="182"/>
              <w:jc w:val="right"/>
              <w:rPr>
                <w:rFonts w:ascii="Arial" w:hAnsi="Arial"/>
                <w:sz w:val="16"/>
                <w:lang w:val="pl-PL"/>
              </w:rPr>
            </w:pPr>
            <w:r>
              <w:rPr>
                <w:rFonts w:ascii="Arial" w:hAnsi="Arial"/>
                <w:sz w:val="16"/>
                <w:lang w:val="pl-PL"/>
              </w:rPr>
              <w:t>-</w:t>
            </w:r>
          </w:p>
        </w:tc>
        <w:tc>
          <w:tcPr>
            <w:tcW w:w="1620" w:type="dxa"/>
            <w:tcBorders>
              <w:top w:val="nil"/>
              <w:left w:val="nil"/>
              <w:bottom w:val="single" w:sz="2" w:space="0" w:color="auto"/>
              <w:right w:val="nil"/>
            </w:tcBorders>
            <w:vAlign w:val="center"/>
          </w:tcPr>
          <w:p w:rsidR="00F335D5" w:rsidRPr="00765C97" w:rsidRDefault="00F335D5" w:rsidP="00F335D5">
            <w:pPr>
              <w:ind w:right="182"/>
              <w:jc w:val="right"/>
              <w:rPr>
                <w:rFonts w:ascii="Arial" w:hAnsi="Arial"/>
                <w:sz w:val="16"/>
                <w:szCs w:val="16"/>
                <w:lang w:val="pl-PL"/>
              </w:rPr>
            </w:pPr>
            <w:r w:rsidRPr="00765C97">
              <w:rPr>
                <w:rFonts w:ascii="Arial" w:hAnsi="Arial"/>
                <w:sz w:val="16"/>
                <w:szCs w:val="16"/>
                <w:lang w:val="pl-PL"/>
              </w:rPr>
              <w:t>2</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b/>
                <w:sz w:val="18"/>
                <w:lang w:val="pl-PL"/>
              </w:rPr>
            </w:pPr>
          </w:p>
        </w:tc>
        <w:tc>
          <w:tcPr>
            <w:tcW w:w="720" w:type="dxa"/>
            <w:tcBorders>
              <w:left w:val="nil"/>
              <w:right w:val="nil"/>
            </w:tcBorders>
            <w:vAlign w:val="center"/>
          </w:tcPr>
          <w:p w:rsidR="00F335D5" w:rsidRPr="00765C97" w:rsidRDefault="00F335D5">
            <w:pPr>
              <w:jc w:val="center"/>
              <w:rPr>
                <w:rFonts w:ascii="Arial" w:hAnsi="Arial"/>
                <w:b/>
                <w:sz w:val="18"/>
                <w:lang w:val="pl-PL"/>
              </w:rPr>
            </w:pPr>
          </w:p>
        </w:tc>
        <w:tc>
          <w:tcPr>
            <w:tcW w:w="358" w:type="dxa"/>
            <w:tcBorders>
              <w:left w:val="nil"/>
              <w:right w:val="nil"/>
            </w:tcBorders>
            <w:vAlign w:val="center"/>
          </w:tcPr>
          <w:p w:rsidR="00F335D5" w:rsidRPr="00765C97" w:rsidRDefault="00F335D5">
            <w:pPr>
              <w:ind w:right="425"/>
              <w:jc w:val="right"/>
              <w:rPr>
                <w:rFonts w:ascii="Arial" w:hAnsi="Arial"/>
                <w:b/>
                <w:sz w:val="18"/>
                <w:lang w:val="pl-PL"/>
              </w:rPr>
            </w:pPr>
          </w:p>
        </w:tc>
        <w:tc>
          <w:tcPr>
            <w:tcW w:w="1620" w:type="dxa"/>
            <w:tcBorders>
              <w:top w:val="single" w:sz="2" w:space="0" w:color="auto"/>
              <w:left w:val="nil"/>
              <w:bottom w:val="single" w:sz="2" w:space="0" w:color="auto"/>
              <w:right w:val="nil"/>
            </w:tcBorders>
            <w:vAlign w:val="center"/>
          </w:tcPr>
          <w:p w:rsidR="00F335D5" w:rsidRPr="00765C97" w:rsidRDefault="004B4EC1" w:rsidP="00FF7970">
            <w:pPr>
              <w:ind w:right="182"/>
              <w:jc w:val="right"/>
              <w:rPr>
                <w:rFonts w:ascii="Arial" w:hAnsi="Arial"/>
                <w:b/>
                <w:sz w:val="18"/>
                <w:lang w:val="pl-PL"/>
              </w:rPr>
            </w:pPr>
            <w:r w:rsidRPr="00765C97">
              <w:rPr>
                <w:rFonts w:ascii="Arial" w:hAnsi="Arial"/>
                <w:b/>
                <w:sz w:val="18"/>
                <w:lang w:val="pl-PL"/>
              </w:rPr>
              <w:t>136 467</w:t>
            </w:r>
          </w:p>
        </w:tc>
        <w:tc>
          <w:tcPr>
            <w:tcW w:w="1620" w:type="dxa"/>
            <w:tcBorders>
              <w:top w:val="single" w:sz="2" w:space="0" w:color="auto"/>
              <w:left w:val="nil"/>
              <w:bottom w:val="single" w:sz="2" w:space="0" w:color="auto"/>
              <w:right w:val="nil"/>
            </w:tcBorders>
            <w:vAlign w:val="center"/>
          </w:tcPr>
          <w:p w:rsidR="00F335D5" w:rsidRPr="00765C97" w:rsidRDefault="00F335D5" w:rsidP="00F335D5">
            <w:pPr>
              <w:ind w:right="182"/>
              <w:jc w:val="right"/>
              <w:rPr>
                <w:rFonts w:ascii="Arial" w:hAnsi="Arial"/>
                <w:b/>
                <w:sz w:val="16"/>
                <w:szCs w:val="16"/>
                <w:lang w:val="pl-PL"/>
              </w:rPr>
            </w:pPr>
            <w:r w:rsidRPr="00765C97">
              <w:rPr>
                <w:rFonts w:ascii="Arial" w:hAnsi="Arial"/>
                <w:b/>
                <w:sz w:val="16"/>
                <w:szCs w:val="16"/>
                <w:lang w:val="pl-PL"/>
              </w:rPr>
              <w:t>137 069</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b/>
                <w:sz w:val="16"/>
                <w:lang w:val="pl-PL"/>
              </w:rPr>
            </w:pPr>
            <w:r w:rsidRPr="00765C97">
              <w:rPr>
                <w:rFonts w:ascii="Arial" w:hAnsi="Arial"/>
                <w:b/>
                <w:sz w:val="16"/>
                <w:lang w:val="pl-PL"/>
              </w:rPr>
              <w:t>Zobowiązania krótkoterminowe</w:t>
            </w:r>
          </w:p>
        </w:tc>
        <w:tc>
          <w:tcPr>
            <w:tcW w:w="720" w:type="dxa"/>
            <w:tcBorders>
              <w:left w:val="nil"/>
              <w:bottom w:val="nil"/>
              <w:right w:val="nil"/>
            </w:tcBorders>
            <w:vAlign w:val="center"/>
          </w:tcPr>
          <w:p w:rsidR="00F335D5" w:rsidRPr="00765C97" w:rsidRDefault="00F335D5">
            <w:pPr>
              <w:jc w:val="center"/>
              <w:rPr>
                <w:rFonts w:ascii="Arial" w:hAnsi="Arial"/>
                <w:b/>
                <w:sz w:val="16"/>
                <w:lang w:val="pl-PL"/>
              </w:rPr>
            </w:pPr>
          </w:p>
        </w:tc>
        <w:tc>
          <w:tcPr>
            <w:tcW w:w="358" w:type="dxa"/>
            <w:tcBorders>
              <w:left w:val="nil"/>
              <w:bottom w:val="nil"/>
              <w:right w:val="nil"/>
            </w:tcBorders>
            <w:vAlign w:val="center"/>
          </w:tcPr>
          <w:p w:rsidR="00F335D5" w:rsidRPr="00765C97" w:rsidRDefault="00F335D5">
            <w:pPr>
              <w:ind w:right="425"/>
              <w:jc w:val="right"/>
              <w:rPr>
                <w:rFonts w:ascii="Arial" w:hAnsi="Arial"/>
                <w:b/>
                <w:sz w:val="16"/>
                <w:lang w:val="pl-PL"/>
              </w:rPr>
            </w:pPr>
          </w:p>
        </w:tc>
        <w:tc>
          <w:tcPr>
            <w:tcW w:w="1620" w:type="dxa"/>
            <w:tcBorders>
              <w:top w:val="single" w:sz="2" w:space="0" w:color="auto"/>
              <w:left w:val="nil"/>
              <w:bottom w:val="nil"/>
              <w:right w:val="nil"/>
            </w:tcBorders>
            <w:vAlign w:val="center"/>
          </w:tcPr>
          <w:p w:rsidR="00F335D5" w:rsidRPr="00765C97" w:rsidRDefault="00F335D5" w:rsidP="00782528">
            <w:pPr>
              <w:ind w:right="182"/>
              <w:jc w:val="right"/>
              <w:rPr>
                <w:rFonts w:ascii="Arial" w:hAnsi="Arial"/>
                <w:b/>
                <w:sz w:val="16"/>
                <w:lang w:val="pl-PL"/>
              </w:rPr>
            </w:pPr>
          </w:p>
        </w:tc>
        <w:tc>
          <w:tcPr>
            <w:tcW w:w="1620" w:type="dxa"/>
            <w:tcBorders>
              <w:top w:val="single" w:sz="2" w:space="0" w:color="auto"/>
              <w:left w:val="nil"/>
              <w:bottom w:val="nil"/>
              <w:right w:val="nil"/>
            </w:tcBorders>
            <w:vAlign w:val="center"/>
          </w:tcPr>
          <w:p w:rsidR="00F335D5" w:rsidRPr="00765C97" w:rsidRDefault="00F335D5" w:rsidP="00F335D5">
            <w:pPr>
              <w:ind w:right="182"/>
              <w:jc w:val="right"/>
              <w:rPr>
                <w:rFonts w:ascii="Arial" w:hAnsi="Arial"/>
                <w:b/>
                <w:sz w:val="16"/>
                <w:szCs w:val="16"/>
                <w:lang w:val="pl-PL"/>
              </w:rPr>
            </w:pP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Zobowiązania handlowe oraz pozostałe zobowiązania</w:t>
            </w:r>
          </w:p>
        </w:tc>
        <w:tc>
          <w:tcPr>
            <w:tcW w:w="720" w:type="dxa"/>
            <w:tcBorders>
              <w:top w:val="nil"/>
              <w:left w:val="nil"/>
              <w:bottom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3.16</w:t>
            </w:r>
          </w:p>
        </w:tc>
        <w:tc>
          <w:tcPr>
            <w:tcW w:w="358" w:type="dxa"/>
            <w:tcBorders>
              <w:top w:val="nil"/>
              <w:left w:val="nil"/>
              <w:bottom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nil"/>
              <w:right w:val="nil"/>
            </w:tcBorders>
            <w:vAlign w:val="center"/>
          </w:tcPr>
          <w:p w:rsidR="00F335D5" w:rsidRPr="00765C97" w:rsidRDefault="004B4EC1" w:rsidP="00FF7970">
            <w:pPr>
              <w:ind w:right="182"/>
              <w:jc w:val="right"/>
              <w:rPr>
                <w:rFonts w:ascii="Arial" w:hAnsi="Arial"/>
                <w:sz w:val="16"/>
                <w:lang w:val="pl-PL"/>
              </w:rPr>
            </w:pPr>
            <w:r w:rsidRPr="00765C97">
              <w:rPr>
                <w:rFonts w:ascii="Arial" w:hAnsi="Arial"/>
                <w:sz w:val="16"/>
                <w:lang w:val="pl-PL"/>
              </w:rPr>
              <w:t>2</w:t>
            </w:r>
            <w:r w:rsidR="00562633" w:rsidRPr="00765C97">
              <w:rPr>
                <w:rFonts w:ascii="Arial" w:hAnsi="Arial"/>
                <w:sz w:val="16"/>
                <w:lang w:val="pl-PL"/>
              </w:rPr>
              <w:t>32 316</w:t>
            </w:r>
          </w:p>
        </w:tc>
        <w:tc>
          <w:tcPr>
            <w:tcW w:w="1620" w:type="dxa"/>
            <w:tcBorders>
              <w:top w:val="nil"/>
              <w:left w:val="nil"/>
              <w:bottom w:val="nil"/>
              <w:right w:val="nil"/>
            </w:tcBorders>
            <w:vAlign w:val="center"/>
          </w:tcPr>
          <w:p w:rsidR="00F335D5" w:rsidRPr="00765C97" w:rsidRDefault="00F335D5" w:rsidP="00F335D5">
            <w:pPr>
              <w:ind w:right="182"/>
              <w:jc w:val="right"/>
              <w:rPr>
                <w:rFonts w:ascii="Arial" w:hAnsi="Arial"/>
                <w:sz w:val="16"/>
                <w:szCs w:val="16"/>
                <w:lang w:val="pl-PL"/>
              </w:rPr>
            </w:pPr>
            <w:r w:rsidRPr="00765C97">
              <w:rPr>
                <w:rFonts w:ascii="Arial" w:hAnsi="Arial"/>
                <w:sz w:val="16"/>
                <w:szCs w:val="16"/>
                <w:lang w:val="pl-PL"/>
              </w:rPr>
              <w:t>146 332</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Zobowiązania z tytułu bieżącego podatku dochodowego</w:t>
            </w:r>
          </w:p>
        </w:tc>
        <w:tc>
          <w:tcPr>
            <w:tcW w:w="720" w:type="dxa"/>
            <w:tcBorders>
              <w:top w:val="nil"/>
              <w:left w:val="nil"/>
              <w:bottom w:val="nil"/>
              <w:right w:val="nil"/>
            </w:tcBorders>
            <w:vAlign w:val="center"/>
          </w:tcPr>
          <w:p w:rsidR="00F335D5" w:rsidRPr="00765C97" w:rsidRDefault="00F335D5">
            <w:pPr>
              <w:jc w:val="center"/>
              <w:rPr>
                <w:rFonts w:ascii="Arial" w:hAnsi="Arial"/>
                <w:sz w:val="16"/>
                <w:lang w:val="pl-PL"/>
              </w:rPr>
            </w:pPr>
          </w:p>
        </w:tc>
        <w:tc>
          <w:tcPr>
            <w:tcW w:w="358" w:type="dxa"/>
            <w:tcBorders>
              <w:top w:val="nil"/>
              <w:left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right w:val="nil"/>
            </w:tcBorders>
            <w:vAlign w:val="center"/>
          </w:tcPr>
          <w:p w:rsidR="00F335D5" w:rsidRPr="00765C97" w:rsidRDefault="004B4EC1" w:rsidP="00FF7970">
            <w:pPr>
              <w:ind w:right="182"/>
              <w:jc w:val="right"/>
              <w:rPr>
                <w:rFonts w:ascii="Arial" w:hAnsi="Arial"/>
                <w:sz w:val="16"/>
                <w:lang w:val="pl-PL"/>
              </w:rPr>
            </w:pPr>
            <w:r w:rsidRPr="00765C97">
              <w:rPr>
                <w:rFonts w:ascii="Arial" w:hAnsi="Arial"/>
                <w:sz w:val="16"/>
                <w:lang w:val="pl-PL"/>
              </w:rPr>
              <w:t>7 323</w:t>
            </w:r>
          </w:p>
        </w:tc>
        <w:tc>
          <w:tcPr>
            <w:tcW w:w="1620" w:type="dxa"/>
            <w:tcBorders>
              <w:top w:val="nil"/>
              <w:left w:val="nil"/>
              <w:right w:val="nil"/>
            </w:tcBorders>
            <w:vAlign w:val="center"/>
          </w:tcPr>
          <w:p w:rsidR="00F335D5" w:rsidRPr="00765C97" w:rsidRDefault="00F335D5" w:rsidP="00F335D5">
            <w:pPr>
              <w:ind w:right="182"/>
              <w:jc w:val="right"/>
              <w:rPr>
                <w:rFonts w:ascii="Arial" w:hAnsi="Arial"/>
                <w:sz w:val="16"/>
                <w:szCs w:val="16"/>
                <w:lang w:val="pl-PL"/>
              </w:rPr>
            </w:pPr>
            <w:r w:rsidRPr="00765C97">
              <w:rPr>
                <w:rFonts w:ascii="Arial" w:hAnsi="Arial"/>
                <w:sz w:val="16"/>
                <w:szCs w:val="16"/>
                <w:lang w:val="pl-PL"/>
              </w:rPr>
              <w:t>5 350</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Zobowiązania z tytułu kontraktów długoterminowych</w:t>
            </w:r>
          </w:p>
        </w:tc>
        <w:tc>
          <w:tcPr>
            <w:tcW w:w="720" w:type="dxa"/>
            <w:tcBorders>
              <w:top w:val="nil"/>
              <w:left w:val="nil"/>
              <w:bottom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3.17</w:t>
            </w:r>
          </w:p>
        </w:tc>
        <w:tc>
          <w:tcPr>
            <w:tcW w:w="358" w:type="dxa"/>
            <w:tcBorders>
              <w:top w:val="nil"/>
              <w:left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right w:val="nil"/>
            </w:tcBorders>
            <w:vAlign w:val="center"/>
          </w:tcPr>
          <w:p w:rsidR="00F335D5" w:rsidRPr="00765C97" w:rsidRDefault="004B4EC1" w:rsidP="00FF7970">
            <w:pPr>
              <w:ind w:right="182"/>
              <w:jc w:val="right"/>
              <w:rPr>
                <w:rFonts w:ascii="Arial" w:hAnsi="Arial"/>
                <w:sz w:val="16"/>
                <w:lang w:val="pl-PL"/>
              </w:rPr>
            </w:pPr>
            <w:r w:rsidRPr="00765C97">
              <w:rPr>
                <w:rFonts w:ascii="Arial" w:hAnsi="Arial"/>
                <w:sz w:val="16"/>
                <w:lang w:val="pl-PL"/>
              </w:rPr>
              <w:t>17 045</w:t>
            </w:r>
          </w:p>
        </w:tc>
        <w:tc>
          <w:tcPr>
            <w:tcW w:w="1620" w:type="dxa"/>
            <w:tcBorders>
              <w:top w:val="nil"/>
              <w:left w:val="nil"/>
              <w:right w:val="nil"/>
            </w:tcBorders>
            <w:vAlign w:val="center"/>
          </w:tcPr>
          <w:p w:rsidR="00F335D5" w:rsidRPr="00765C97" w:rsidRDefault="00F335D5" w:rsidP="00F335D5">
            <w:pPr>
              <w:ind w:right="182"/>
              <w:jc w:val="right"/>
              <w:rPr>
                <w:rFonts w:ascii="Arial" w:hAnsi="Arial"/>
                <w:sz w:val="16"/>
                <w:szCs w:val="16"/>
                <w:lang w:val="pl-PL"/>
              </w:rPr>
            </w:pPr>
            <w:r w:rsidRPr="00765C97">
              <w:rPr>
                <w:rFonts w:ascii="Arial" w:hAnsi="Arial"/>
                <w:sz w:val="16"/>
                <w:szCs w:val="16"/>
                <w:lang w:val="pl-PL"/>
              </w:rPr>
              <w:t>8 363</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Kredyty i pożyczki</w:t>
            </w:r>
          </w:p>
        </w:tc>
        <w:tc>
          <w:tcPr>
            <w:tcW w:w="720" w:type="dxa"/>
            <w:tcBorders>
              <w:top w:val="nil"/>
              <w:left w:val="nil"/>
              <w:bottom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3.18</w:t>
            </w:r>
          </w:p>
        </w:tc>
        <w:tc>
          <w:tcPr>
            <w:tcW w:w="358" w:type="dxa"/>
            <w:tcBorders>
              <w:top w:val="nil"/>
              <w:left w:val="nil"/>
              <w:bottom w:val="nil"/>
              <w:right w:val="nil"/>
            </w:tcBorders>
            <w:vAlign w:val="center"/>
          </w:tcPr>
          <w:p w:rsidR="00F335D5" w:rsidRPr="00765C97" w:rsidRDefault="00F335D5">
            <w:pPr>
              <w:ind w:right="425"/>
              <w:jc w:val="right"/>
              <w:rPr>
                <w:rFonts w:ascii="Arial" w:hAnsi="Arial"/>
                <w:sz w:val="16"/>
                <w:lang w:val="pl-PL"/>
              </w:rPr>
            </w:pPr>
          </w:p>
        </w:tc>
        <w:tc>
          <w:tcPr>
            <w:tcW w:w="1620" w:type="dxa"/>
            <w:tcBorders>
              <w:top w:val="nil"/>
              <w:left w:val="nil"/>
              <w:bottom w:val="nil"/>
              <w:right w:val="nil"/>
            </w:tcBorders>
            <w:vAlign w:val="center"/>
          </w:tcPr>
          <w:p w:rsidR="00F335D5" w:rsidRPr="00765C97" w:rsidRDefault="004B4EC1" w:rsidP="00FF7970">
            <w:pPr>
              <w:ind w:right="182"/>
              <w:jc w:val="right"/>
              <w:rPr>
                <w:rFonts w:ascii="Arial" w:hAnsi="Arial"/>
                <w:sz w:val="16"/>
                <w:lang w:val="pl-PL"/>
              </w:rPr>
            </w:pPr>
            <w:r w:rsidRPr="00765C97">
              <w:rPr>
                <w:rFonts w:ascii="Arial" w:hAnsi="Arial"/>
                <w:sz w:val="16"/>
                <w:lang w:val="pl-PL"/>
              </w:rPr>
              <w:t>36 325</w:t>
            </w:r>
          </w:p>
        </w:tc>
        <w:tc>
          <w:tcPr>
            <w:tcW w:w="1620" w:type="dxa"/>
            <w:tcBorders>
              <w:top w:val="nil"/>
              <w:left w:val="nil"/>
              <w:bottom w:val="nil"/>
              <w:right w:val="nil"/>
            </w:tcBorders>
            <w:vAlign w:val="center"/>
          </w:tcPr>
          <w:p w:rsidR="00F335D5" w:rsidRPr="00765C97" w:rsidRDefault="00F335D5" w:rsidP="00F335D5">
            <w:pPr>
              <w:ind w:right="182"/>
              <w:jc w:val="right"/>
              <w:rPr>
                <w:rFonts w:ascii="Arial" w:hAnsi="Arial"/>
                <w:sz w:val="16"/>
                <w:szCs w:val="16"/>
                <w:lang w:val="pl-PL"/>
              </w:rPr>
            </w:pPr>
            <w:r w:rsidRPr="00765C97">
              <w:rPr>
                <w:rFonts w:ascii="Arial" w:hAnsi="Arial"/>
                <w:sz w:val="16"/>
                <w:szCs w:val="16"/>
                <w:lang w:val="pl-PL"/>
              </w:rPr>
              <w:t>27 435</w:t>
            </w:r>
          </w:p>
        </w:tc>
      </w:tr>
      <w:tr w:rsidR="00F335D5" w:rsidRPr="00765C97" w:rsidTr="009510E0">
        <w:trPr>
          <w:trHeight w:val="255"/>
        </w:trPr>
        <w:tc>
          <w:tcPr>
            <w:tcW w:w="3960" w:type="dxa"/>
            <w:tcBorders>
              <w:top w:val="nil"/>
              <w:left w:val="nil"/>
              <w:bottom w:val="nil"/>
              <w:right w:val="nil"/>
            </w:tcBorders>
            <w:vAlign w:val="center"/>
          </w:tcPr>
          <w:p w:rsidR="00F335D5" w:rsidRPr="00765C97" w:rsidRDefault="00F335D5">
            <w:pPr>
              <w:pStyle w:val="Stopka"/>
              <w:tabs>
                <w:tab w:val="clear" w:pos="4320"/>
                <w:tab w:val="clear" w:pos="8640"/>
              </w:tabs>
              <w:rPr>
                <w:rFonts w:ascii="Arial" w:hAnsi="Arial"/>
                <w:sz w:val="16"/>
                <w:lang w:val="pl-PL"/>
              </w:rPr>
            </w:pPr>
            <w:r w:rsidRPr="00765C97">
              <w:rPr>
                <w:rFonts w:ascii="Arial" w:hAnsi="Arial"/>
                <w:sz w:val="16"/>
                <w:lang w:val="pl-PL"/>
              </w:rPr>
              <w:t>Zobowiązania finansowe</w:t>
            </w:r>
          </w:p>
        </w:tc>
        <w:tc>
          <w:tcPr>
            <w:tcW w:w="720" w:type="dxa"/>
            <w:tcBorders>
              <w:left w:val="nil"/>
              <w:right w:val="nil"/>
            </w:tcBorders>
            <w:vAlign w:val="center"/>
          </w:tcPr>
          <w:p w:rsidR="00F335D5" w:rsidRPr="00765C97" w:rsidRDefault="00F335D5">
            <w:pPr>
              <w:jc w:val="center"/>
              <w:rPr>
                <w:rFonts w:ascii="Arial" w:hAnsi="Arial"/>
                <w:sz w:val="16"/>
                <w:lang w:val="pl-PL"/>
              </w:rPr>
            </w:pPr>
            <w:r w:rsidRPr="00765C97">
              <w:rPr>
                <w:rFonts w:ascii="Arial" w:hAnsi="Arial"/>
                <w:sz w:val="16"/>
                <w:lang w:val="pl-PL"/>
              </w:rPr>
              <w:t>3.11</w:t>
            </w:r>
          </w:p>
        </w:tc>
        <w:tc>
          <w:tcPr>
            <w:tcW w:w="358" w:type="dxa"/>
            <w:tcBorders>
              <w:left w:val="nil"/>
              <w:right w:val="nil"/>
            </w:tcBorders>
            <w:vAlign w:val="center"/>
          </w:tcPr>
          <w:p w:rsidR="00F335D5" w:rsidRPr="00765C97" w:rsidRDefault="00F335D5">
            <w:pPr>
              <w:ind w:right="425"/>
              <w:jc w:val="right"/>
              <w:rPr>
                <w:rFonts w:ascii="Arial" w:hAnsi="Arial"/>
                <w:sz w:val="16"/>
                <w:lang w:val="pl-PL"/>
              </w:rPr>
            </w:pPr>
          </w:p>
        </w:tc>
        <w:tc>
          <w:tcPr>
            <w:tcW w:w="1620" w:type="dxa"/>
            <w:tcBorders>
              <w:left w:val="nil"/>
              <w:right w:val="nil"/>
            </w:tcBorders>
            <w:vAlign w:val="center"/>
          </w:tcPr>
          <w:p w:rsidR="00F335D5" w:rsidRPr="00765C97" w:rsidRDefault="004B4EC1" w:rsidP="00FF7970">
            <w:pPr>
              <w:ind w:right="182"/>
              <w:jc w:val="right"/>
              <w:rPr>
                <w:rFonts w:ascii="Arial" w:hAnsi="Arial"/>
                <w:sz w:val="16"/>
                <w:lang w:val="pl-PL"/>
              </w:rPr>
            </w:pPr>
            <w:r w:rsidRPr="00765C97">
              <w:rPr>
                <w:rFonts w:ascii="Arial" w:hAnsi="Arial"/>
                <w:sz w:val="16"/>
                <w:lang w:val="pl-PL"/>
              </w:rPr>
              <w:t>180</w:t>
            </w:r>
          </w:p>
        </w:tc>
        <w:tc>
          <w:tcPr>
            <w:tcW w:w="1620" w:type="dxa"/>
            <w:tcBorders>
              <w:left w:val="nil"/>
              <w:right w:val="nil"/>
            </w:tcBorders>
            <w:vAlign w:val="center"/>
          </w:tcPr>
          <w:p w:rsidR="00F335D5" w:rsidRPr="00765C97" w:rsidRDefault="00F335D5" w:rsidP="00F335D5">
            <w:pPr>
              <w:ind w:right="182"/>
              <w:jc w:val="right"/>
              <w:rPr>
                <w:rFonts w:ascii="Arial" w:hAnsi="Arial"/>
                <w:sz w:val="16"/>
                <w:szCs w:val="16"/>
                <w:lang w:val="pl-PL"/>
              </w:rPr>
            </w:pPr>
            <w:r w:rsidRPr="00765C97">
              <w:rPr>
                <w:rFonts w:ascii="Arial" w:hAnsi="Arial"/>
                <w:sz w:val="16"/>
                <w:szCs w:val="16"/>
                <w:lang w:val="pl-PL"/>
              </w:rPr>
              <w:t>686</w:t>
            </w:r>
          </w:p>
        </w:tc>
      </w:tr>
      <w:tr w:rsidR="00F335D5" w:rsidRPr="00765C97" w:rsidTr="009510E0">
        <w:trPr>
          <w:trHeight w:val="255"/>
        </w:trPr>
        <w:tc>
          <w:tcPr>
            <w:tcW w:w="3960" w:type="dxa"/>
            <w:tcBorders>
              <w:top w:val="nil"/>
              <w:left w:val="nil"/>
              <w:bottom w:val="nil"/>
              <w:right w:val="nil"/>
            </w:tcBorders>
            <w:vAlign w:val="center"/>
          </w:tcPr>
          <w:p w:rsidR="00F335D5" w:rsidRPr="00765C97" w:rsidRDefault="00F335D5">
            <w:pPr>
              <w:pStyle w:val="Stopka"/>
              <w:tabs>
                <w:tab w:val="clear" w:pos="4320"/>
                <w:tab w:val="clear" w:pos="8640"/>
              </w:tabs>
              <w:rPr>
                <w:rFonts w:ascii="Arial" w:hAnsi="Arial"/>
                <w:sz w:val="16"/>
                <w:lang w:val="pl-PL"/>
              </w:rPr>
            </w:pPr>
            <w:r w:rsidRPr="00765C97">
              <w:rPr>
                <w:rFonts w:ascii="Arial" w:hAnsi="Arial"/>
                <w:sz w:val="16"/>
                <w:lang w:val="pl-PL"/>
              </w:rPr>
              <w:t>Rezerwy na pozostałe zobowiązania i obciążenia</w:t>
            </w:r>
          </w:p>
        </w:tc>
        <w:tc>
          <w:tcPr>
            <w:tcW w:w="720" w:type="dxa"/>
            <w:tcBorders>
              <w:left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3.21</w:t>
            </w:r>
          </w:p>
        </w:tc>
        <w:tc>
          <w:tcPr>
            <w:tcW w:w="358" w:type="dxa"/>
            <w:tcBorders>
              <w:left w:val="nil"/>
              <w:right w:val="nil"/>
            </w:tcBorders>
            <w:vAlign w:val="center"/>
          </w:tcPr>
          <w:p w:rsidR="00F335D5" w:rsidRPr="00765C97" w:rsidRDefault="00F335D5">
            <w:pPr>
              <w:ind w:right="425"/>
              <w:jc w:val="right"/>
              <w:rPr>
                <w:rFonts w:ascii="Arial" w:hAnsi="Arial"/>
                <w:sz w:val="16"/>
                <w:lang w:val="pl-PL"/>
              </w:rPr>
            </w:pPr>
          </w:p>
        </w:tc>
        <w:tc>
          <w:tcPr>
            <w:tcW w:w="1620" w:type="dxa"/>
            <w:tcBorders>
              <w:left w:val="nil"/>
              <w:bottom w:val="single" w:sz="2" w:space="0" w:color="auto"/>
              <w:right w:val="nil"/>
            </w:tcBorders>
            <w:vAlign w:val="center"/>
          </w:tcPr>
          <w:p w:rsidR="00F335D5" w:rsidRPr="00765C97" w:rsidRDefault="004B4EC1" w:rsidP="00FF7970">
            <w:pPr>
              <w:ind w:right="182"/>
              <w:jc w:val="right"/>
              <w:rPr>
                <w:rFonts w:ascii="Arial" w:hAnsi="Arial"/>
                <w:sz w:val="16"/>
                <w:lang w:val="pl-PL"/>
              </w:rPr>
            </w:pPr>
            <w:r w:rsidRPr="00765C97">
              <w:rPr>
                <w:rFonts w:ascii="Arial" w:hAnsi="Arial"/>
                <w:sz w:val="16"/>
                <w:lang w:val="pl-PL"/>
              </w:rPr>
              <w:t>92 145</w:t>
            </w:r>
          </w:p>
        </w:tc>
        <w:tc>
          <w:tcPr>
            <w:tcW w:w="1620" w:type="dxa"/>
            <w:tcBorders>
              <w:left w:val="nil"/>
              <w:bottom w:val="single" w:sz="2" w:space="0" w:color="auto"/>
              <w:right w:val="nil"/>
            </w:tcBorders>
            <w:vAlign w:val="center"/>
          </w:tcPr>
          <w:p w:rsidR="00F335D5" w:rsidRPr="00765C97" w:rsidRDefault="00F335D5" w:rsidP="00F335D5">
            <w:pPr>
              <w:ind w:right="182"/>
              <w:jc w:val="right"/>
              <w:rPr>
                <w:rFonts w:ascii="Arial" w:hAnsi="Arial"/>
                <w:sz w:val="16"/>
                <w:szCs w:val="16"/>
                <w:lang w:val="pl-PL"/>
              </w:rPr>
            </w:pPr>
            <w:r w:rsidRPr="00765C97">
              <w:rPr>
                <w:rFonts w:ascii="Arial" w:hAnsi="Arial"/>
                <w:sz w:val="16"/>
                <w:szCs w:val="16"/>
                <w:lang w:val="pl-PL"/>
              </w:rPr>
              <w:t>87 388</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b/>
                <w:sz w:val="18"/>
                <w:lang w:val="pl-PL"/>
              </w:rPr>
            </w:pPr>
          </w:p>
        </w:tc>
        <w:tc>
          <w:tcPr>
            <w:tcW w:w="720" w:type="dxa"/>
            <w:tcBorders>
              <w:left w:val="nil"/>
              <w:right w:val="nil"/>
            </w:tcBorders>
          </w:tcPr>
          <w:p w:rsidR="00F335D5" w:rsidRPr="00765C97" w:rsidRDefault="00F335D5">
            <w:pPr>
              <w:jc w:val="center"/>
              <w:rPr>
                <w:rFonts w:ascii="Arial" w:hAnsi="Arial"/>
                <w:b/>
                <w:sz w:val="18"/>
                <w:lang w:val="pl-PL"/>
              </w:rPr>
            </w:pPr>
          </w:p>
        </w:tc>
        <w:tc>
          <w:tcPr>
            <w:tcW w:w="358" w:type="dxa"/>
            <w:tcBorders>
              <w:left w:val="nil"/>
              <w:right w:val="nil"/>
            </w:tcBorders>
            <w:vAlign w:val="center"/>
          </w:tcPr>
          <w:p w:rsidR="00F335D5" w:rsidRPr="00765C97" w:rsidRDefault="00F335D5">
            <w:pPr>
              <w:ind w:right="425"/>
              <w:jc w:val="right"/>
              <w:rPr>
                <w:rFonts w:ascii="Arial" w:hAnsi="Arial"/>
                <w:b/>
                <w:sz w:val="18"/>
                <w:lang w:val="pl-PL"/>
              </w:rPr>
            </w:pPr>
          </w:p>
        </w:tc>
        <w:tc>
          <w:tcPr>
            <w:tcW w:w="1620" w:type="dxa"/>
            <w:tcBorders>
              <w:top w:val="single" w:sz="2" w:space="0" w:color="auto"/>
              <w:left w:val="nil"/>
              <w:bottom w:val="single" w:sz="2" w:space="0" w:color="auto"/>
              <w:right w:val="nil"/>
            </w:tcBorders>
            <w:vAlign w:val="center"/>
          </w:tcPr>
          <w:p w:rsidR="00F335D5" w:rsidRPr="00765C97" w:rsidRDefault="004B4EC1" w:rsidP="00FF7970">
            <w:pPr>
              <w:ind w:right="182"/>
              <w:jc w:val="right"/>
              <w:rPr>
                <w:rFonts w:ascii="Arial" w:hAnsi="Arial"/>
                <w:b/>
                <w:sz w:val="18"/>
                <w:lang w:val="pl-PL"/>
              </w:rPr>
            </w:pPr>
            <w:r w:rsidRPr="00765C97">
              <w:rPr>
                <w:rFonts w:ascii="Arial" w:hAnsi="Arial"/>
                <w:b/>
                <w:sz w:val="18"/>
                <w:lang w:val="pl-PL"/>
              </w:rPr>
              <w:t>385 33</w:t>
            </w:r>
            <w:r w:rsidR="00562633" w:rsidRPr="00765C97">
              <w:rPr>
                <w:rFonts w:ascii="Arial" w:hAnsi="Arial"/>
                <w:b/>
                <w:sz w:val="18"/>
                <w:lang w:val="pl-PL"/>
              </w:rPr>
              <w:t>4</w:t>
            </w:r>
          </w:p>
        </w:tc>
        <w:tc>
          <w:tcPr>
            <w:tcW w:w="1620" w:type="dxa"/>
            <w:tcBorders>
              <w:top w:val="single" w:sz="2" w:space="0" w:color="auto"/>
              <w:left w:val="nil"/>
              <w:bottom w:val="single" w:sz="2" w:space="0" w:color="auto"/>
              <w:right w:val="nil"/>
            </w:tcBorders>
            <w:vAlign w:val="center"/>
          </w:tcPr>
          <w:p w:rsidR="00F335D5" w:rsidRPr="00765C97" w:rsidRDefault="00F335D5" w:rsidP="00F335D5">
            <w:pPr>
              <w:ind w:right="182"/>
              <w:jc w:val="right"/>
              <w:rPr>
                <w:rFonts w:ascii="Arial" w:hAnsi="Arial"/>
                <w:b/>
                <w:sz w:val="16"/>
                <w:szCs w:val="16"/>
                <w:lang w:val="pl-PL"/>
              </w:rPr>
            </w:pPr>
            <w:r w:rsidRPr="00765C97">
              <w:rPr>
                <w:rFonts w:ascii="Arial" w:hAnsi="Arial"/>
                <w:b/>
                <w:sz w:val="16"/>
                <w:szCs w:val="16"/>
                <w:lang w:val="pl-PL"/>
              </w:rPr>
              <w:t>275 554</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rPr>
                <w:rFonts w:ascii="Arial" w:hAnsi="Arial"/>
                <w:b/>
                <w:sz w:val="18"/>
                <w:lang w:val="pl-PL"/>
              </w:rPr>
            </w:pPr>
            <w:r w:rsidRPr="00765C97">
              <w:rPr>
                <w:rFonts w:ascii="Arial" w:hAnsi="Arial"/>
                <w:b/>
                <w:sz w:val="18"/>
                <w:lang w:val="pl-PL"/>
              </w:rPr>
              <w:t>Zobowiązania razem</w:t>
            </w:r>
          </w:p>
        </w:tc>
        <w:tc>
          <w:tcPr>
            <w:tcW w:w="720" w:type="dxa"/>
            <w:tcBorders>
              <w:left w:val="nil"/>
              <w:right w:val="nil"/>
            </w:tcBorders>
          </w:tcPr>
          <w:p w:rsidR="00F335D5" w:rsidRPr="00765C97" w:rsidRDefault="00F335D5">
            <w:pPr>
              <w:jc w:val="center"/>
              <w:rPr>
                <w:rFonts w:ascii="Arial" w:hAnsi="Arial"/>
                <w:b/>
                <w:sz w:val="18"/>
                <w:lang w:val="pl-PL"/>
              </w:rPr>
            </w:pPr>
          </w:p>
        </w:tc>
        <w:tc>
          <w:tcPr>
            <w:tcW w:w="358" w:type="dxa"/>
            <w:tcBorders>
              <w:left w:val="nil"/>
              <w:right w:val="nil"/>
            </w:tcBorders>
            <w:vAlign w:val="center"/>
          </w:tcPr>
          <w:p w:rsidR="00F335D5" w:rsidRPr="00765C97" w:rsidRDefault="00F335D5">
            <w:pPr>
              <w:ind w:right="425"/>
              <w:jc w:val="right"/>
              <w:rPr>
                <w:rFonts w:ascii="Arial" w:hAnsi="Arial"/>
                <w:b/>
                <w:sz w:val="18"/>
                <w:lang w:val="pl-PL"/>
              </w:rPr>
            </w:pPr>
          </w:p>
        </w:tc>
        <w:tc>
          <w:tcPr>
            <w:tcW w:w="1620" w:type="dxa"/>
            <w:tcBorders>
              <w:top w:val="single" w:sz="2" w:space="0" w:color="auto"/>
              <w:left w:val="nil"/>
              <w:bottom w:val="single" w:sz="2" w:space="0" w:color="auto"/>
              <w:right w:val="nil"/>
            </w:tcBorders>
            <w:vAlign w:val="center"/>
          </w:tcPr>
          <w:p w:rsidR="00F335D5" w:rsidRPr="00765C97" w:rsidRDefault="004B4EC1" w:rsidP="00FF7970">
            <w:pPr>
              <w:ind w:right="182"/>
              <w:jc w:val="right"/>
              <w:rPr>
                <w:rFonts w:ascii="Arial" w:hAnsi="Arial"/>
                <w:b/>
                <w:sz w:val="18"/>
                <w:lang w:val="pl-PL"/>
              </w:rPr>
            </w:pPr>
            <w:r w:rsidRPr="00765C97">
              <w:rPr>
                <w:rFonts w:ascii="Arial" w:hAnsi="Arial"/>
                <w:b/>
                <w:sz w:val="18"/>
                <w:lang w:val="pl-PL"/>
              </w:rPr>
              <w:t>521 80</w:t>
            </w:r>
            <w:r w:rsidR="00562633" w:rsidRPr="00765C97">
              <w:rPr>
                <w:rFonts w:ascii="Arial" w:hAnsi="Arial"/>
                <w:b/>
                <w:sz w:val="18"/>
                <w:lang w:val="pl-PL"/>
              </w:rPr>
              <w:t>1</w:t>
            </w:r>
          </w:p>
        </w:tc>
        <w:tc>
          <w:tcPr>
            <w:tcW w:w="1620" w:type="dxa"/>
            <w:tcBorders>
              <w:top w:val="single" w:sz="2" w:space="0" w:color="auto"/>
              <w:left w:val="nil"/>
              <w:bottom w:val="single" w:sz="2" w:space="0" w:color="auto"/>
              <w:right w:val="nil"/>
            </w:tcBorders>
            <w:vAlign w:val="center"/>
          </w:tcPr>
          <w:p w:rsidR="00F335D5" w:rsidRPr="00765C97" w:rsidRDefault="00F335D5" w:rsidP="00F335D5">
            <w:pPr>
              <w:ind w:right="182"/>
              <w:jc w:val="right"/>
              <w:rPr>
                <w:rFonts w:ascii="Arial" w:hAnsi="Arial"/>
                <w:b/>
                <w:sz w:val="16"/>
                <w:szCs w:val="16"/>
                <w:lang w:val="pl-PL"/>
              </w:rPr>
            </w:pPr>
            <w:r w:rsidRPr="00765C97">
              <w:rPr>
                <w:rFonts w:ascii="Arial" w:hAnsi="Arial"/>
                <w:b/>
                <w:sz w:val="16"/>
                <w:szCs w:val="16"/>
                <w:lang w:val="pl-PL"/>
              </w:rPr>
              <w:t>412 623</w:t>
            </w:r>
          </w:p>
        </w:tc>
      </w:tr>
      <w:tr w:rsidR="00F335D5" w:rsidRPr="00765C97" w:rsidTr="003D2589">
        <w:trPr>
          <w:trHeight w:val="255"/>
        </w:trPr>
        <w:tc>
          <w:tcPr>
            <w:tcW w:w="3960" w:type="dxa"/>
            <w:tcBorders>
              <w:top w:val="nil"/>
              <w:left w:val="nil"/>
              <w:bottom w:val="nil"/>
              <w:right w:val="nil"/>
            </w:tcBorders>
            <w:vAlign w:val="center"/>
          </w:tcPr>
          <w:p w:rsidR="00F335D5" w:rsidRPr="00765C97" w:rsidRDefault="00F335D5">
            <w:pPr>
              <w:pStyle w:val="Nagwek4"/>
              <w:numPr>
                <w:ilvl w:val="0"/>
                <w:numId w:val="0"/>
              </w:numPr>
              <w:spacing w:line="240" w:lineRule="auto"/>
              <w:rPr>
                <w:rFonts w:ascii="Arial" w:hAnsi="Arial"/>
                <w:sz w:val="20"/>
                <w:lang w:val="pl-PL"/>
              </w:rPr>
            </w:pPr>
            <w:r w:rsidRPr="00765C97">
              <w:rPr>
                <w:rFonts w:ascii="Arial" w:hAnsi="Arial"/>
                <w:sz w:val="20"/>
                <w:lang w:val="pl-PL"/>
              </w:rPr>
              <w:t>Razem kapitał własny i zobowiązania</w:t>
            </w:r>
          </w:p>
        </w:tc>
        <w:tc>
          <w:tcPr>
            <w:tcW w:w="720" w:type="dxa"/>
            <w:tcBorders>
              <w:left w:val="nil"/>
              <w:right w:val="nil"/>
            </w:tcBorders>
          </w:tcPr>
          <w:p w:rsidR="00F335D5" w:rsidRPr="00765C97" w:rsidRDefault="00F335D5">
            <w:pPr>
              <w:jc w:val="center"/>
              <w:rPr>
                <w:rFonts w:ascii="Arial" w:hAnsi="Arial"/>
                <w:b/>
                <w:sz w:val="20"/>
                <w:lang w:val="pl-PL"/>
              </w:rPr>
            </w:pPr>
          </w:p>
        </w:tc>
        <w:tc>
          <w:tcPr>
            <w:tcW w:w="358" w:type="dxa"/>
            <w:tcBorders>
              <w:left w:val="nil"/>
              <w:right w:val="nil"/>
            </w:tcBorders>
            <w:vAlign w:val="center"/>
          </w:tcPr>
          <w:p w:rsidR="00F335D5" w:rsidRPr="00765C97" w:rsidRDefault="00F335D5">
            <w:pPr>
              <w:ind w:right="425"/>
              <w:jc w:val="right"/>
              <w:rPr>
                <w:rFonts w:ascii="Arial" w:hAnsi="Arial"/>
                <w:b/>
                <w:sz w:val="20"/>
                <w:lang w:val="pl-PL"/>
              </w:rPr>
            </w:pPr>
          </w:p>
        </w:tc>
        <w:tc>
          <w:tcPr>
            <w:tcW w:w="1620" w:type="dxa"/>
            <w:tcBorders>
              <w:top w:val="single" w:sz="2" w:space="0" w:color="auto"/>
              <w:left w:val="nil"/>
              <w:bottom w:val="single" w:sz="2" w:space="0" w:color="auto"/>
              <w:right w:val="nil"/>
            </w:tcBorders>
            <w:vAlign w:val="center"/>
          </w:tcPr>
          <w:p w:rsidR="00F335D5" w:rsidRPr="00765C97" w:rsidRDefault="004B4EC1" w:rsidP="00FF7970">
            <w:pPr>
              <w:ind w:right="182"/>
              <w:jc w:val="right"/>
              <w:rPr>
                <w:rFonts w:ascii="Arial" w:hAnsi="Arial"/>
                <w:b/>
                <w:sz w:val="18"/>
                <w:lang w:val="pl-PL"/>
              </w:rPr>
            </w:pPr>
            <w:r w:rsidRPr="00765C97">
              <w:rPr>
                <w:rFonts w:ascii="Arial" w:hAnsi="Arial"/>
                <w:b/>
                <w:sz w:val="18"/>
                <w:lang w:val="pl-PL"/>
              </w:rPr>
              <w:t>1 146 743</w:t>
            </w:r>
          </w:p>
        </w:tc>
        <w:tc>
          <w:tcPr>
            <w:tcW w:w="1620" w:type="dxa"/>
            <w:tcBorders>
              <w:top w:val="single" w:sz="2" w:space="0" w:color="auto"/>
              <w:left w:val="nil"/>
              <w:bottom w:val="single" w:sz="2" w:space="0" w:color="auto"/>
              <w:right w:val="nil"/>
            </w:tcBorders>
            <w:vAlign w:val="center"/>
          </w:tcPr>
          <w:p w:rsidR="00F335D5" w:rsidRPr="00765C97" w:rsidRDefault="00F335D5" w:rsidP="00F335D5">
            <w:pPr>
              <w:ind w:right="182"/>
              <w:jc w:val="right"/>
              <w:rPr>
                <w:rFonts w:ascii="Arial" w:hAnsi="Arial"/>
                <w:b/>
                <w:sz w:val="16"/>
                <w:szCs w:val="16"/>
                <w:lang w:val="pl-PL"/>
              </w:rPr>
            </w:pPr>
            <w:r w:rsidRPr="00765C97">
              <w:rPr>
                <w:rFonts w:ascii="Arial" w:hAnsi="Arial"/>
                <w:b/>
                <w:sz w:val="16"/>
                <w:szCs w:val="16"/>
                <w:lang w:val="pl-PL"/>
              </w:rPr>
              <w:t>1 022 474</w:t>
            </w:r>
          </w:p>
        </w:tc>
      </w:tr>
    </w:tbl>
    <w:p w:rsidR="00B24DA9" w:rsidRPr="00765C97" w:rsidRDefault="00B24DA9">
      <w:pPr>
        <w:pStyle w:val="Style1"/>
        <w:adjustRightInd/>
        <w:spacing w:line="252" w:lineRule="atLeast"/>
        <w:ind w:left="1224"/>
        <w:rPr>
          <w:rFonts w:ascii="Arial" w:hAnsi="Arial"/>
          <w:sz w:val="24"/>
          <w:lang w:val="pl-PL"/>
        </w:rPr>
        <w:sectPr w:rsidR="00B24DA9" w:rsidRPr="00765C97">
          <w:headerReference w:type="default" r:id="rId8"/>
          <w:footerReference w:type="even" r:id="rId9"/>
          <w:footerReference w:type="default" r:id="rId10"/>
          <w:pgSz w:w="11906" w:h="16838"/>
          <w:pgMar w:top="1417" w:right="2006" w:bottom="1079" w:left="1417" w:header="708" w:footer="708" w:gutter="0"/>
          <w:pgNumType w:fmt="numberInDash"/>
          <w:cols w:space="708"/>
          <w:docGrid w:linePitch="360"/>
        </w:sectPr>
      </w:pPr>
    </w:p>
    <w:p w:rsidR="00B24DA9" w:rsidRPr="00765C97" w:rsidRDefault="00B24DA9">
      <w:pPr>
        <w:pStyle w:val="Nagwek1"/>
        <w:tabs>
          <w:tab w:val="right" w:leader="dot" w:pos="9000"/>
        </w:tabs>
        <w:spacing w:before="480" w:after="240"/>
        <w:ind w:right="23"/>
        <w:rPr>
          <w:lang w:val="pl-PL"/>
        </w:rPr>
      </w:pPr>
      <w:bookmarkStart w:id="5" w:name="_Toc115093947"/>
      <w:bookmarkStart w:id="6" w:name="_Toc115094324"/>
      <w:bookmarkStart w:id="7" w:name="_Toc353973193"/>
      <w:r w:rsidRPr="00765C97">
        <w:rPr>
          <w:sz w:val="24"/>
          <w:lang w:val="pl-PL"/>
        </w:rPr>
        <w:lastRenderedPageBreak/>
        <w:t>Skonsolidowany rachunek zysków i strat</w:t>
      </w:r>
      <w:bookmarkEnd w:id="5"/>
      <w:bookmarkEnd w:id="6"/>
      <w:bookmarkEnd w:id="7"/>
    </w:p>
    <w:tbl>
      <w:tblPr>
        <w:tblW w:w="0" w:type="auto"/>
        <w:tblInd w:w="180" w:type="dxa"/>
        <w:tblLayout w:type="fixed"/>
        <w:tblCellMar>
          <w:left w:w="0" w:type="dxa"/>
          <w:right w:w="0" w:type="dxa"/>
        </w:tblCellMar>
        <w:tblLook w:val="0000"/>
      </w:tblPr>
      <w:tblGrid>
        <w:gridCol w:w="4680"/>
        <w:gridCol w:w="634"/>
        <w:gridCol w:w="360"/>
        <w:gridCol w:w="1260"/>
        <w:gridCol w:w="1260"/>
      </w:tblGrid>
      <w:tr w:rsidR="003D2589" w:rsidRPr="00765C97">
        <w:trPr>
          <w:cantSplit/>
          <w:trHeight w:hRule="exact" w:val="373"/>
        </w:trPr>
        <w:tc>
          <w:tcPr>
            <w:tcW w:w="4680" w:type="dxa"/>
            <w:tcBorders>
              <w:left w:val="nil"/>
              <w:right w:val="nil"/>
            </w:tcBorders>
            <w:vAlign w:val="center"/>
          </w:tcPr>
          <w:p w:rsidR="003D2589" w:rsidRPr="00765C97" w:rsidRDefault="003D2589">
            <w:pPr>
              <w:ind w:right="266"/>
              <w:rPr>
                <w:rFonts w:ascii="Arial" w:hAnsi="Arial"/>
                <w:b/>
                <w:sz w:val="16"/>
                <w:lang w:val="pl-PL"/>
              </w:rPr>
            </w:pPr>
          </w:p>
        </w:tc>
        <w:tc>
          <w:tcPr>
            <w:tcW w:w="634" w:type="dxa"/>
            <w:tcBorders>
              <w:left w:val="nil"/>
              <w:right w:val="nil"/>
            </w:tcBorders>
            <w:vAlign w:val="center"/>
          </w:tcPr>
          <w:p w:rsidR="003D2589" w:rsidRPr="00765C97" w:rsidRDefault="003D2589">
            <w:pPr>
              <w:jc w:val="center"/>
              <w:rPr>
                <w:rFonts w:ascii="Arial" w:hAnsi="Arial"/>
                <w:b/>
                <w:sz w:val="16"/>
                <w:lang w:val="pl-PL"/>
              </w:rPr>
            </w:pPr>
            <w:r w:rsidRPr="00765C97">
              <w:rPr>
                <w:rFonts w:ascii="Arial" w:hAnsi="Arial"/>
                <w:b/>
                <w:sz w:val="16"/>
                <w:lang w:val="pl-PL"/>
              </w:rPr>
              <w:t>Nota</w:t>
            </w:r>
          </w:p>
        </w:tc>
        <w:tc>
          <w:tcPr>
            <w:tcW w:w="360" w:type="dxa"/>
            <w:tcBorders>
              <w:left w:val="nil"/>
              <w:right w:val="nil"/>
            </w:tcBorders>
            <w:vAlign w:val="center"/>
          </w:tcPr>
          <w:p w:rsidR="003D2589" w:rsidRPr="00765C97" w:rsidRDefault="003D2589">
            <w:pPr>
              <w:ind w:right="425"/>
              <w:jc w:val="right"/>
              <w:rPr>
                <w:rFonts w:ascii="Arial" w:hAnsi="Arial"/>
                <w:b/>
                <w:sz w:val="16"/>
                <w:lang w:val="pl-PL"/>
              </w:rPr>
            </w:pPr>
          </w:p>
        </w:tc>
        <w:tc>
          <w:tcPr>
            <w:tcW w:w="1260" w:type="dxa"/>
            <w:tcBorders>
              <w:left w:val="nil"/>
              <w:right w:val="nil"/>
            </w:tcBorders>
            <w:vAlign w:val="center"/>
          </w:tcPr>
          <w:p w:rsidR="003D2589" w:rsidRPr="00765C97" w:rsidRDefault="003D2589">
            <w:pPr>
              <w:ind w:right="94"/>
              <w:jc w:val="right"/>
              <w:rPr>
                <w:rFonts w:ascii="Arial" w:hAnsi="Arial"/>
                <w:b/>
                <w:sz w:val="16"/>
                <w:lang w:val="pl-PL"/>
              </w:rPr>
            </w:pPr>
            <w:r w:rsidRPr="00765C97">
              <w:rPr>
                <w:rFonts w:ascii="Arial" w:hAnsi="Arial"/>
                <w:b/>
                <w:sz w:val="16"/>
                <w:lang w:val="pl-PL"/>
              </w:rPr>
              <w:t xml:space="preserve">12 miesięcy </w:t>
            </w:r>
          </w:p>
          <w:p w:rsidR="003D2589" w:rsidRPr="00765C97" w:rsidRDefault="003D2589" w:rsidP="003D2589">
            <w:pPr>
              <w:ind w:right="94"/>
              <w:jc w:val="right"/>
              <w:rPr>
                <w:rFonts w:ascii="Arial" w:hAnsi="Arial"/>
                <w:b/>
                <w:sz w:val="16"/>
                <w:lang w:val="pl-PL"/>
              </w:rPr>
            </w:pPr>
            <w:r w:rsidRPr="00765C97">
              <w:rPr>
                <w:rFonts w:ascii="Arial" w:hAnsi="Arial"/>
                <w:b/>
                <w:sz w:val="16"/>
                <w:lang w:val="pl-PL"/>
              </w:rPr>
              <w:t>201</w:t>
            </w:r>
            <w:r w:rsidR="00F335D5" w:rsidRPr="00765C97">
              <w:rPr>
                <w:rFonts w:ascii="Arial" w:hAnsi="Arial"/>
                <w:b/>
                <w:sz w:val="16"/>
                <w:lang w:val="pl-PL"/>
              </w:rPr>
              <w:t>2</w:t>
            </w:r>
          </w:p>
        </w:tc>
        <w:tc>
          <w:tcPr>
            <w:tcW w:w="1260" w:type="dxa"/>
            <w:tcBorders>
              <w:left w:val="nil"/>
              <w:right w:val="nil"/>
            </w:tcBorders>
            <w:vAlign w:val="center"/>
          </w:tcPr>
          <w:p w:rsidR="003D2589" w:rsidRPr="00765C97" w:rsidRDefault="003D2589" w:rsidP="003A752B">
            <w:pPr>
              <w:ind w:right="94"/>
              <w:jc w:val="right"/>
              <w:rPr>
                <w:rFonts w:ascii="Arial" w:hAnsi="Arial"/>
                <w:b/>
                <w:sz w:val="16"/>
                <w:lang w:val="pl-PL"/>
              </w:rPr>
            </w:pPr>
            <w:r w:rsidRPr="00765C97">
              <w:rPr>
                <w:rFonts w:ascii="Arial" w:hAnsi="Arial"/>
                <w:b/>
                <w:sz w:val="16"/>
                <w:lang w:val="pl-PL"/>
              </w:rPr>
              <w:t xml:space="preserve">12 miesięcy </w:t>
            </w:r>
          </w:p>
          <w:p w:rsidR="003D2589" w:rsidRPr="00765C97" w:rsidRDefault="003D2589" w:rsidP="003A752B">
            <w:pPr>
              <w:ind w:right="94"/>
              <w:jc w:val="right"/>
              <w:rPr>
                <w:rFonts w:ascii="Arial" w:hAnsi="Arial"/>
                <w:b/>
                <w:sz w:val="16"/>
                <w:lang w:val="pl-PL"/>
              </w:rPr>
            </w:pPr>
            <w:r w:rsidRPr="00765C97">
              <w:rPr>
                <w:rFonts w:ascii="Arial" w:hAnsi="Arial"/>
                <w:b/>
                <w:sz w:val="16"/>
                <w:lang w:val="pl-PL"/>
              </w:rPr>
              <w:t>201</w:t>
            </w:r>
            <w:r w:rsidR="00F335D5" w:rsidRPr="00765C97">
              <w:rPr>
                <w:rFonts w:ascii="Arial" w:hAnsi="Arial"/>
                <w:b/>
                <w:sz w:val="16"/>
                <w:lang w:val="pl-PL"/>
              </w:rPr>
              <w:t>1</w:t>
            </w:r>
          </w:p>
        </w:tc>
      </w:tr>
      <w:tr w:rsidR="003D2589" w:rsidRPr="00765C97">
        <w:trPr>
          <w:trHeight w:val="255"/>
        </w:trPr>
        <w:tc>
          <w:tcPr>
            <w:tcW w:w="4680" w:type="dxa"/>
            <w:tcBorders>
              <w:left w:val="nil"/>
              <w:right w:val="nil"/>
            </w:tcBorders>
            <w:vAlign w:val="center"/>
          </w:tcPr>
          <w:p w:rsidR="003D2589" w:rsidRPr="00765C97" w:rsidRDefault="003D2589">
            <w:pPr>
              <w:rPr>
                <w:rFonts w:ascii="Arial" w:hAnsi="Arial"/>
                <w:sz w:val="16"/>
                <w:lang w:val="pl-PL"/>
              </w:rPr>
            </w:pPr>
          </w:p>
        </w:tc>
        <w:tc>
          <w:tcPr>
            <w:tcW w:w="634" w:type="dxa"/>
            <w:tcBorders>
              <w:left w:val="nil"/>
              <w:right w:val="nil"/>
            </w:tcBorders>
            <w:vAlign w:val="center"/>
          </w:tcPr>
          <w:p w:rsidR="003D2589" w:rsidRPr="00765C97" w:rsidRDefault="003D2589">
            <w:pPr>
              <w:jc w:val="center"/>
              <w:rPr>
                <w:rFonts w:ascii="Arial" w:hAnsi="Arial"/>
                <w:sz w:val="16"/>
                <w:lang w:val="pl-PL"/>
              </w:rPr>
            </w:pPr>
          </w:p>
        </w:tc>
        <w:tc>
          <w:tcPr>
            <w:tcW w:w="360" w:type="dxa"/>
            <w:tcBorders>
              <w:left w:val="nil"/>
              <w:right w:val="nil"/>
            </w:tcBorders>
            <w:vAlign w:val="center"/>
          </w:tcPr>
          <w:p w:rsidR="003D2589" w:rsidRPr="00765C97" w:rsidRDefault="003D2589">
            <w:pPr>
              <w:ind w:right="425"/>
              <w:jc w:val="right"/>
              <w:rPr>
                <w:rFonts w:ascii="Arial" w:hAnsi="Arial"/>
                <w:sz w:val="16"/>
                <w:lang w:val="pl-PL"/>
              </w:rPr>
            </w:pPr>
          </w:p>
        </w:tc>
        <w:tc>
          <w:tcPr>
            <w:tcW w:w="1260" w:type="dxa"/>
            <w:tcBorders>
              <w:left w:val="nil"/>
              <w:right w:val="nil"/>
            </w:tcBorders>
            <w:vAlign w:val="center"/>
          </w:tcPr>
          <w:p w:rsidR="003D2589" w:rsidRPr="00765C97" w:rsidRDefault="003D2589">
            <w:pPr>
              <w:ind w:right="94"/>
              <w:jc w:val="right"/>
              <w:rPr>
                <w:rFonts w:ascii="Arial" w:hAnsi="Arial"/>
                <w:b/>
                <w:sz w:val="16"/>
                <w:lang w:val="pl-PL"/>
              </w:rPr>
            </w:pPr>
          </w:p>
        </w:tc>
        <w:tc>
          <w:tcPr>
            <w:tcW w:w="1260" w:type="dxa"/>
            <w:tcBorders>
              <w:left w:val="nil"/>
              <w:right w:val="nil"/>
            </w:tcBorders>
            <w:vAlign w:val="center"/>
          </w:tcPr>
          <w:p w:rsidR="003D2589" w:rsidRPr="00765C97" w:rsidRDefault="003D2589" w:rsidP="003A752B">
            <w:pPr>
              <w:ind w:right="94"/>
              <w:jc w:val="right"/>
              <w:rPr>
                <w:rFonts w:ascii="Arial" w:hAnsi="Arial"/>
                <w:b/>
                <w:sz w:val="16"/>
                <w:lang w:val="pl-PL"/>
              </w:rPr>
            </w:pPr>
          </w:p>
        </w:tc>
      </w:tr>
      <w:tr w:rsidR="00F335D5" w:rsidRPr="00765C97">
        <w:trPr>
          <w:trHeight w:val="255"/>
        </w:trPr>
        <w:tc>
          <w:tcPr>
            <w:tcW w:w="4680" w:type="dxa"/>
            <w:tcBorders>
              <w:left w:val="nil"/>
              <w:right w:val="nil"/>
            </w:tcBorders>
            <w:vAlign w:val="center"/>
          </w:tcPr>
          <w:p w:rsidR="00F335D5" w:rsidRPr="00765C97" w:rsidRDefault="00F335D5">
            <w:pPr>
              <w:rPr>
                <w:rFonts w:ascii="Arial" w:hAnsi="Arial"/>
                <w:b/>
                <w:sz w:val="16"/>
                <w:lang w:val="pl-PL"/>
              </w:rPr>
            </w:pPr>
            <w:r w:rsidRPr="00765C97">
              <w:rPr>
                <w:rFonts w:ascii="Arial" w:hAnsi="Arial"/>
                <w:b/>
                <w:sz w:val="16"/>
                <w:lang w:val="pl-PL"/>
              </w:rPr>
              <w:t>Przychody ze sprzedaży</w:t>
            </w:r>
          </w:p>
        </w:tc>
        <w:tc>
          <w:tcPr>
            <w:tcW w:w="634" w:type="dxa"/>
            <w:tcBorders>
              <w:left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3.22</w:t>
            </w:r>
          </w:p>
        </w:tc>
        <w:tc>
          <w:tcPr>
            <w:tcW w:w="360" w:type="dxa"/>
            <w:tcBorders>
              <w:left w:val="nil"/>
              <w:right w:val="nil"/>
            </w:tcBorders>
            <w:vAlign w:val="center"/>
          </w:tcPr>
          <w:p w:rsidR="00F335D5" w:rsidRPr="00765C97" w:rsidRDefault="00F335D5">
            <w:pPr>
              <w:ind w:right="425"/>
              <w:jc w:val="right"/>
              <w:rPr>
                <w:rFonts w:ascii="Arial" w:hAnsi="Arial"/>
                <w:sz w:val="16"/>
                <w:lang w:val="pl-PL"/>
              </w:rPr>
            </w:pPr>
          </w:p>
        </w:tc>
        <w:tc>
          <w:tcPr>
            <w:tcW w:w="1260" w:type="dxa"/>
            <w:tcBorders>
              <w:left w:val="nil"/>
              <w:right w:val="nil"/>
            </w:tcBorders>
            <w:vAlign w:val="center"/>
          </w:tcPr>
          <w:p w:rsidR="00F335D5" w:rsidRPr="00765C97" w:rsidRDefault="004B4EC1" w:rsidP="00FF7970">
            <w:pPr>
              <w:ind w:right="52"/>
              <w:jc w:val="right"/>
              <w:rPr>
                <w:rFonts w:ascii="Arial" w:hAnsi="Arial" w:cs="Arial"/>
                <w:b/>
                <w:bCs/>
                <w:sz w:val="16"/>
                <w:szCs w:val="16"/>
                <w:lang w:val="pl-PL"/>
              </w:rPr>
            </w:pPr>
            <w:r w:rsidRPr="00765C97">
              <w:rPr>
                <w:rFonts w:ascii="Arial" w:hAnsi="Arial" w:cs="Arial"/>
                <w:b/>
                <w:bCs/>
                <w:sz w:val="16"/>
                <w:szCs w:val="16"/>
                <w:lang w:val="pl-PL"/>
              </w:rPr>
              <w:t>883 876</w:t>
            </w:r>
          </w:p>
        </w:tc>
        <w:tc>
          <w:tcPr>
            <w:tcW w:w="1260" w:type="dxa"/>
            <w:tcBorders>
              <w:left w:val="nil"/>
              <w:right w:val="nil"/>
            </w:tcBorders>
            <w:vAlign w:val="center"/>
          </w:tcPr>
          <w:p w:rsidR="00F335D5" w:rsidRPr="00765C97" w:rsidRDefault="00F335D5" w:rsidP="00F335D5">
            <w:pPr>
              <w:ind w:right="52"/>
              <w:jc w:val="right"/>
              <w:rPr>
                <w:rFonts w:ascii="Arial" w:hAnsi="Arial" w:cs="Arial"/>
                <w:b/>
                <w:bCs/>
                <w:sz w:val="16"/>
                <w:szCs w:val="16"/>
                <w:lang w:val="pl-PL"/>
              </w:rPr>
            </w:pPr>
            <w:r w:rsidRPr="00765C97">
              <w:rPr>
                <w:rFonts w:ascii="Arial" w:hAnsi="Arial" w:cs="Arial"/>
                <w:b/>
                <w:bCs/>
                <w:sz w:val="16"/>
                <w:szCs w:val="16"/>
                <w:lang w:val="pl-PL"/>
              </w:rPr>
              <w:t>785 653</w:t>
            </w:r>
          </w:p>
        </w:tc>
      </w:tr>
      <w:tr w:rsidR="00F335D5" w:rsidRPr="00765C97" w:rsidTr="006F515E">
        <w:trPr>
          <w:trHeight w:val="255"/>
        </w:trPr>
        <w:tc>
          <w:tcPr>
            <w:tcW w:w="4680" w:type="dxa"/>
            <w:tcBorders>
              <w:left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Koszty sprzedanych produktów, usług, towarów i materiałów</w:t>
            </w:r>
          </w:p>
        </w:tc>
        <w:tc>
          <w:tcPr>
            <w:tcW w:w="634" w:type="dxa"/>
            <w:tcBorders>
              <w:left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3.23</w:t>
            </w:r>
          </w:p>
        </w:tc>
        <w:tc>
          <w:tcPr>
            <w:tcW w:w="360" w:type="dxa"/>
            <w:tcBorders>
              <w:left w:val="nil"/>
              <w:right w:val="nil"/>
            </w:tcBorders>
            <w:vAlign w:val="center"/>
          </w:tcPr>
          <w:p w:rsidR="00F335D5" w:rsidRPr="00765C97" w:rsidRDefault="00F335D5">
            <w:pPr>
              <w:ind w:right="360"/>
              <w:jc w:val="right"/>
              <w:rPr>
                <w:rFonts w:ascii="Arial" w:hAnsi="Arial"/>
                <w:sz w:val="16"/>
                <w:lang w:val="pl-PL"/>
              </w:rPr>
            </w:pPr>
          </w:p>
        </w:tc>
        <w:tc>
          <w:tcPr>
            <w:tcW w:w="1260" w:type="dxa"/>
            <w:tcBorders>
              <w:left w:val="nil"/>
              <w:bottom w:val="single" w:sz="4" w:space="0" w:color="auto"/>
              <w:right w:val="nil"/>
            </w:tcBorders>
            <w:vAlign w:val="center"/>
          </w:tcPr>
          <w:p w:rsidR="00F335D5" w:rsidRPr="00765C97" w:rsidRDefault="004B4EC1" w:rsidP="00FF7970">
            <w:pPr>
              <w:ind w:right="52"/>
              <w:jc w:val="right"/>
              <w:rPr>
                <w:rFonts w:ascii="Arial" w:hAnsi="Arial" w:cs="Arial"/>
                <w:sz w:val="16"/>
                <w:szCs w:val="16"/>
                <w:lang w:val="pl-PL"/>
              </w:rPr>
            </w:pPr>
            <w:r w:rsidRPr="00765C97">
              <w:rPr>
                <w:rFonts w:ascii="Arial" w:hAnsi="Arial" w:cs="Arial"/>
                <w:sz w:val="16"/>
                <w:szCs w:val="16"/>
                <w:lang w:val="pl-PL"/>
              </w:rPr>
              <w:t>(688 379)</w:t>
            </w:r>
          </w:p>
        </w:tc>
        <w:tc>
          <w:tcPr>
            <w:tcW w:w="1260" w:type="dxa"/>
            <w:tcBorders>
              <w:left w:val="nil"/>
              <w:bottom w:val="single" w:sz="4" w:space="0" w:color="auto"/>
              <w:right w:val="nil"/>
            </w:tcBorders>
            <w:vAlign w:val="center"/>
          </w:tcPr>
          <w:p w:rsidR="00F335D5" w:rsidRPr="00765C97" w:rsidRDefault="00F335D5" w:rsidP="00F335D5">
            <w:pPr>
              <w:ind w:right="52"/>
              <w:jc w:val="right"/>
              <w:rPr>
                <w:rFonts w:ascii="Arial" w:hAnsi="Arial" w:cs="Arial"/>
                <w:sz w:val="16"/>
                <w:szCs w:val="16"/>
                <w:lang w:val="pl-PL"/>
              </w:rPr>
            </w:pPr>
            <w:r w:rsidRPr="00765C97">
              <w:rPr>
                <w:rFonts w:ascii="Arial" w:hAnsi="Arial" w:cs="Arial"/>
                <w:sz w:val="16"/>
                <w:szCs w:val="16"/>
                <w:lang w:val="pl-PL"/>
              </w:rPr>
              <w:t>(593 576)</w:t>
            </w:r>
          </w:p>
        </w:tc>
      </w:tr>
      <w:tr w:rsidR="00F335D5" w:rsidRPr="00765C97" w:rsidTr="006F515E">
        <w:trPr>
          <w:trHeight w:val="255"/>
        </w:trPr>
        <w:tc>
          <w:tcPr>
            <w:tcW w:w="4680" w:type="dxa"/>
            <w:tcBorders>
              <w:left w:val="nil"/>
              <w:right w:val="nil"/>
            </w:tcBorders>
            <w:vAlign w:val="center"/>
          </w:tcPr>
          <w:p w:rsidR="00F335D5" w:rsidRPr="00765C97" w:rsidRDefault="00F335D5">
            <w:pPr>
              <w:rPr>
                <w:rFonts w:ascii="Arial" w:hAnsi="Arial"/>
                <w:b/>
                <w:sz w:val="16"/>
                <w:lang w:val="pl-PL"/>
              </w:rPr>
            </w:pPr>
            <w:r w:rsidRPr="00765C97">
              <w:rPr>
                <w:rFonts w:ascii="Arial" w:hAnsi="Arial"/>
                <w:b/>
                <w:sz w:val="16"/>
                <w:lang w:val="pl-PL"/>
              </w:rPr>
              <w:t>Zysk brutto</w:t>
            </w:r>
          </w:p>
        </w:tc>
        <w:tc>
          <w:tcPr>
            <w:tcW w:w="634" w:type="dxa"/>
            <w:tcBorders>
              <w:left w:val="nil"/>
              <w:right w:val="nil"/>
            </w:tcBorders>
            <w:vAlign w:val="center"/>
          </w:tcPr>
          <w:p w:rsidR="00F335D5" w:rsidRPr="00765C97" w:rsidRDefault="00F335D5">
            <w:pPr>
              <w:jc w:val="center"/>
              <w:rPr>
                <w:rFonts w:ascii="Arial" w:hAnsi="Arial"/>
                <w:b/>
                <w:sz w:val="16"/>
                <w:lang w:val="pl-PL"/>
              </w:rPr>
            </w:pPr>
          </w:p>
        </w:tc>
        <w:tc>
          <w:tcPr>
            <w:tcW w:w="360" w:type="dxa"/>
            <w:tcBorders>
              <w:left w:val="nil"/>
              <w:right w:val="nil"/>
            </w:tcBorders>
            <w:vAlign w:val="center"/>
          </w:tcPr>
          <w:p w:rsidR="00F335D5" w:rsidRPr="00765C97" w:rsidRDefault="00F335D5">
            <w:pPr>
              <w:ind w:right="425"/>
              <w:jc w:val="right"/>
              <w:rPr>
                <w:rFonts w:ascii="Arial" w:hAnsi="Arial"/>
                <w:b/>
                <w:sz w:val="16"/>
                <w:lang w:val="pl-PL"/>
              </w:rPr>
            </w:pPr>
          </w:p>
        </w:tc>
        <w:tc>
          <w:tcPr>
            <w:tcW w:w="1260" w:type="dxa"/>
            <w:tcBorders>
              <w:top w:val="single" w:sz="4" w:space="0" w:color="auto"/>
              <w:left w:val="nil"/>
              <w:right w:val="nil"/>
            </w:tcBorders>
            <w:vAlign w:val="center"/>
          </w:tcPr>
          <w:p w:rsidR="00F335D5" w:rsidRPr="00765C97" w:rsidRDefault="004B4EC1" w:rsidP="008E79D1">
            <w:pPr>
              <w:ind w:right="52"/>
              <w:jc w:val="right"/>
              <w:rPr>
                <w:rFonts w:ascii="Arial" w:hAnsi="Arial" w:cs="Arial"/>
                <w:b/>
                <w:bCs/>
                <w:sz w:val="16"/>
                <w:szCs w:val="16"/>
                <w:lang w:val="pl-PL"/>
              </w:rPr>
            </w:pPr>
            <w:r w:rsidRPr="00765C97">
              <w:rPr>
                <w:rFonts w:ascii="Arial" w:hAnsi="Arial" w:cs="Arial"/>
                <w:b/>
                <w:bCs/>
                <w:sz w:val="16"/>
                <w:szCs w:val="16"/>
                <w:lang w:val="pl-PL"/>
              </w:rPr>
              <w:t>195 497</w:t>
            </w:r>
          </w:p>
        </w:tc>
        <w:tc>
          <w:tcPr>
            <w:tcW w:w="1260" w:type="dxa"/>
            <w:tcBorders>
              <w:top w:val="single" w:sz="4" w:space="0" w:color="auto"/>
              <w:left w:val="nil"/>
              <w:right w:val="nil"/>
            </w:tcBorders>
            <w:vAlign w:val="center"/>
          </w:tcPr>
          <w:p w:rsidR="00F335D5" w:rsidRPr="00765C97" w:rsidRDefault="00F335D5" w:rsidP="00F335D5">
            <w:pPr>
              <w:ind w:right="52"/>
              <w:jc w:val="right"/>
              <w:rPr>
                <w:rFonts w:ascii="Arial" w:hAnsi="Arial" w:cs="Arial"/>
                <w:b/>
                <w:bCs/>
                <w:sz w:val="16"/>
                <w:szCs w:val="16"/>
                <w:lang w:val="pl-PL"/>
              </w:rPr>
            </w:pPr>
            <w:r w:rsidRPr="00765C97">
              <w:rPr>
                <w:rFonts w:ascii="Arial" w:hAnsi="Arial" w:cs="Arial"/>
                <w:b/>
                <w:bCs/>
                <w:sz w:val="16"/>
                <w:szCs w:val="16"/>
                <w:lang w:val="pl-PL"/>
              </w:rPr>
              <w:t>192 077</w:t>
            </w:r>
          </w:p>
        </w:tc>
      </w:tr>
      <w:tr w:rsidR="00F335D5" w:rsidRPr="00765C97">
        <w:trPr>
          <w:trHeight w:val="255"/>
        </w:trPr>
        <w:tc>
          <w:tcPr>
            <w:tcW w:w="4680" w:type="dxa"/>
            <w:tcBorders>
              <w:left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Pozostałe przychody operacyjne</w:t>
            </w:r>
          </w:p>
        </w:tc>
        <w:tc>
          <w:tcPr>
            <w:tcW w:w="634" w:type="dxa"/>
            <w:tcBorders>
              <w:left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3.24</w:t>
            </w:r>
          </w:p>
        </w:tc>
        <w:tc>
          <w:tcPr>
            <w:tcW w:w="360" w:type="dxa"/>
            <w:tcBorders>
              <w:left w:val="nil"/>
              <w:right w:val="nil"/>
            </w:tcBorders>
            <w:vAlign w:val="center"/>
          </w:tcPr>
          <w:p w:rsidR="00F335D5" w:rsidRPr="00765C97" w:rsidRDefault="00F335D5">
            <w:pPr>
              <w:ind w:right="425"/>
              <w:jc w:val="right"/>
              <w:rPr>
                <w:rFonts w:ascii="Arial" w:hAnsi="Arial"/>
                <w:sz w:val="16"/>
                <w:lang w:val="pl-PL"/>
              </w:rPr>
            </w:pPr>
          </w:p>
        </w:tc>
        <w:tc>
          <w:tcPr>
            <w:tcW w:w="1260" w:type="dxa"/>
            <w:tcBorders>
              <w:left w:val="nil"/>
              <w:right w:val="nil"/>
            </w:tcBorders>
            <w:vAlign w:val="center"/>
          </w:tcPr>
          <w:p w:rsidR="00F335D5" w:rsidRPr="00765C97" w:rsidRDefault="004B4EC1" w:rsidP="0068528A">
            <w:pPr>
              <w:ind w:right="52"/>
              <w:jc w:val="right"/>
              <w:rPr>
                <w:rFonts w:ascii="Arial" w:hAnsi="Arial" w:cs="Arial"/>
                <w:sz w:val="16"/>
                <w:szCs w:val="16"/>
                <w:lang w:val="pl-PL"/>
              </w:rPr>
            </w:pPr>
            <w:r w:rsidRPr="00765C97">
              <w:rPr>
                <w:rFonts w:ascii="Arial" w:hAnsi="Arial" w:cs="Arial"/>
                <w:sz w:val="16"/>
                <w:szCs w:val="16"/>
                <w:lang w:val="pl-PL"/>
              </w:rPr>
              <w:t>16 299</w:t>
            </w:r>
          </w:p>
        </w:tc>
        <w:tc>
          <w:tcPr>
            <w:tcW w:w="1260" w:type="dxa"/>
            <w:tcBorders>
              <w:left w:val="nil"/>
              <w:right w:val="nil"/>
            </w:tcBorders>
            <w:vAlign w:val="center"/>
          </w:tcPr>
          <w:p w:rsidR="00F335D5" w:rsidRPr="00765C97" w:rsidRDefault="00F335D5" w:rsidP="00F335D5">
            <w:pPr>
              <w:ind w:right="52"/>
              <w:jc w:val="right"/>
              <w:rPr>
                <w:rFonts w:ascii="Arial" w:hAnsi="Arial" w:cs="Arial"/>
                <w:sz w:val="16"/>
                <w:szCs w:val="16"/>
                <w:lang w:val="pl-PL"/>
              </w:rPr>
            </w:pPr>
            <w:r w:rsidRPr="00765C97">
              <w:rPr>
                <w:rFonts w:ascii="Arial" w:hAnsi="Arial" w:cs="Arial"/>
                <w:sz w:val="16"/>
                <w:szCs w:val="16"/>
                <w:lang w:val="pl-PL"/>
              </w:rPr>
              <w:t>22 970</w:t>
            </w:r>
          </w:p>
        </w:tc>
      </w:tr>
      <w:tr w:rsidR="00F335D5" w:rsidRPr="00765C97">
        <w:trPr>
          <w:trHeight w:val="255"/>
        </w:trPr>
        <w:tc>
          <w:tcPr>
            <w:tcW w:w="4680" w:type="dxa"/>
            <w:tcBorders>
              <w:left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Koszty sprzedaży i marketingu</w:t>
            </w:r>
          </w:p>
        </w:tc>
        <w:tc>
          <w:tcPr>
            <w:tcW w:w="634" w:type="dxa"/>
            <w:tcBorders>
              <w:left w:val="nil"/>
              <w:right w:val="nil"/>
            </w:tcBorders>
            <w:vAlign w:val="center"/>
          </w:tcPr>
          <w:p w:rsidR="00F335D5" w:rsidRPr="00765C97" w:rsidRDefault="00F335D5">
            <w:pPr>
              <w:jc w:val="center"/>
              <w:rPr>
                <w:rFonts w:ascii="Arial" w:hAnsi="Arial"/>
                <w:sz w:val="16"/>
                <w:lang w:val="pl-PL"/>
              </w:rPr>
            </w:pPr>
          </w:p>
        </w:tc>
        <w:tc>
          <w:tcPr>
            <w:tcW w:w="360" w:type="dxa"/>
            <w:tcBorders>
              <w:left w:val="nil"/>
              <w:right w:val="nil"/>
            </w:tcBorders>
            <w:vAlign w:val="center"/>
          </w:tcPr>
          <w:p w:rsidR="00F335D5" w:rsidRPr="00765C97" w:rsidRDefault="00F335D5">
            <w:pPr>
              <w:ind w:right="360"/>
              <w:jc w:val="right"/>
              <w:rPr>
                <w:rFonts w:ascii="Arial" w:hAnsi="Arial"/>
                <w:sz w:val="16"/>
                <w:lang w:val="pl-PL"/>
              </w:rPr>
            </w:pPr>
          </w:p>
        </w:tc>
        <w:tc>
          <w:tcPr>
            <w:tcW w:w="1260" w:type="dxa"/>
            <w:tcBorders>
              <w:left w:val="nil"/>
              <w:right w:val="nil"/>
            </w:tcBorders>
            <w:vAlign w:val="center"/>
          </w:tcPr>
          <w:p w:rsidR="00F335D5" w:rsidRPr="00765C97" w:rsidRDefault="004B4EC1" w:rsidP="006F2F84">
            <w:pPr>
              <w:ind w:right="52"/>
              <w:jc w:val="right"/>
              <w:rPr>
                <w:rFonts w:ascii="Arial" w:hAnsi="Arial" w:cs="Arial"/>
                <w:sz w:val="16"/>
                <w:szCs w:val="16"/>
                <w:lang w:val="pl-PL"/>
              </w:rPr>
            </w:pPr>
            <w:r w:rsidRPr="00765C97">
              <w:rPr>
                <w:rFonts w:ascii="Arial" w:hAnsi="Arial" w:cs="Arial"/>
                <w:sz w:val="16"/>
                <w:szCs w:val="16"/>
                <w:lang w:val="pl-PL"/>
              </w:rPr>
              <w:t>(85 396)</w:t>
            </w:r>
          </w:p>
        </w:tc>
        <w:tc>
          <w:tcPr>
            <w:tcW w:w="1260" w:type="dxa"/>
            <w:tcBorders>
              <w:left w:val="nil"/>
              <w:right w:val="nil"/>
            </w:tcBorders>
            <w:vAlign w:val="center"/>
          </w:tcPr>
          <w:p w:rsidR="00F335D5" w:rsidRPr="00765C97" w:rsidRDefault="00F335D5" w:rsidP="00F335D5">
            <w:pPr>
              <w:ind w:right="52"/>
              <w:jc w:val="right"/>
              <w:rPr>
                <w:rFonts w:ascii="Arial" w:hAnsi="Arial" w:cs="Arial"/>
                <w:sz w:val="16"/>
                <w:szCs w:val="16"/>
                <w:lang w:val="pl-PL"/>
              </w:rPr>
            </w:pPr>
            <w:r w:rsidRPr="00765C97">
              <w:rPr>
                <w:rFonts w:ascii="Arial" w:hAnsi="Arial" w:cs="Arial"/>
                <w:sz w:val="16"/>
                <w:szCs w:val="16"/>
                <w:lang w:val="pl-PL"/>
              </w:rPr>
              <w:t>(82 683)</w:t>
            </w:r>
          </w:p>
        </w:tc>
      </w:tr>
      <w:tr w:rsidR="00F335D5" w:rsidRPr="00765C97" w:rsidTr="006F515E">
        <w:trPr>
          <w:trHeight w:val="255"/>
        </w:trPr>
        <w:tc>
          <w:tcPr>
            <w:tcW w:w="4680" w:type="dxa"/>
            <w:tcBorders>
              <w:left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Koszty ogólnego zarządu</w:t>
            </w:r>
          </w:p>
        </w:tc>
        <w:tc>
          <w:tcPr>
            <w:tcW w:w="634" w:type="dxa"/>
            <w:tcBorders>
              <w:left w:val="nil"/>
              <w:right w:val="nil"/>
            </w:tcBorders>
            <w:vAlign w:val="center"/>
          </w:tcPr>
          <w:p w:rsidR="00F335D5" w:rsidRPr="00765C97" w:rsidRDefault="00F335D5">
            <w:pPr>
              <w:jc w:val="center"/>
              <w:rPr>
                <w:rFonts w:ascii="Arial" w:hAnsi="Arial"/>
                <w:sz w:val="16"/>
                <w:lang w:val="pl-PL"/>
              </w:rPr>
            </w:pPr>
          </w:p>
        </w:tc>
        <w:tc>
          <w:tcPr>
            <w:tcW w:w="360" w:type="dxa"/>
            <w:tcBorders>
              <w:left w:val="nil"/>
              <w:right w:val="nil"/>
            </w:tcBorders>
            <w:vAlign w:val="center"/>
          </w:tcPr>
          <w:p w:rsidR="00F335D5" w:rsidRPr="00765C97" w:rsidRDefault="00F335D5">
            <w:pPr>
              <w:ind w:right="360"/>
              <w:jc w:val="right"/>
              <w:rPr>
                <w:rFonts w:ascii="Arial" w:hAnsi="Arial"/>
                <w:sz w:val="16"/>
                <w:lang w:val="pl-PL"/>
              </w:rPr>
            </w:pPr>
          </w:p>
        </w:tc>
        <w:tc>
          <w:tcPr>
            <w:tcW w:w="1260" w:type="dxa"/>
            <w:tcBorders>
              <w:left w:val="nil"/>
              <w:right w:val="nil"/>
            </w:tcBorders>
            <w:vAlign w:val="center"/>
          </w:tcPr>
          <w:p w:rsidR="00F335D5" w:rsidRPr="00765C97" w:rsidRDefault="004B4EC1" w:rsidP="0068528A">
            <w:pPr>
              <w:ind w:right="52"/>
              <w:jc w:val="right"/>
              <w:rPr>
                <w:rFonts w:ascii="Arial" w:hAnsi="Arial" w:cs="Arial"/>
                <w:sz w:val="16"/>
                <w:szCs w:val="16"/>
                <w:lang w:val="pl-PL"/>
              </w:rPr>
            </w:pPr>
            <w:r w:rsidRPr="00765C97">
              <w:rPr>
                <w:rFonts w:ascii="Arial" w:hAnsi="Arial" w:cs="Arial"/>
                <w:sz w:val="16"/>
                <w:szCs w:val="16"/>
                <w:lang w:val="pl-PL"/>
              </w:rPr>
              <w:t>(73 295)</w:t>
            </w:r>
          </w:p>
        </w:tc>
        <w:tc>
          <w:tcPr>
            <w:tcW w:w="1260" w:type="dxa"/>
            <w:tcBorders>
              <w:left w:val="nil"/>
              <w:right w:val="nil"/>
            </w:tcBorders>
            <w:vAlign w:val="center"/>
          </w:tcPr>
          <w:p w:rsidR="00F335D5" w:rsidRPr="00765C97" w:rsidRDefault="00F335D5" w:rsidP="00F335D5">
            <w:pPr>
              <w:ind w:right="52"/>
              <w:jc w:val="right"/>
              <w:rPr>
                <w:rFonts w:ascii="Arial" w:hAnsi="Arial" w:cs="Arial"/>
                <w:sz w:val="16"/>
                <w:szCs w:val="16"/>
                <w:lang w:val="pl-PL"/>
              </w:rPr>
            </w:pPr>
            <w:r w:rsidRPr="00765C97">
              <w:rPr>
                <w:rFonts w:ascii="Arial" w:hAnsi="Arial" w:cs="Arial"/>
                <w:sz w:val="16"/>
                <w:szCs w:val="16"/>
                <w:lang w:val="pl-PL"/>
              </w:rPr>
              <w:t>(74 681)</w:t>
            </w:r>
          </w:p>
        </w:tc>
      </w:tr>
      <w:tr w:rsidR="00F335D5" w:rsidRPr="00765C97" w:rsidTr="006F515E">
        <w:trPr>
          <w:trHeight w:val="255"/>
        </w:trPr>
        <w:tc>
          <w:tcPr>
            <w:tcW w:w="4680" w:type="dxa"/>
            <w:tcBorders>
              <w:left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Pozostałe koszty operacyjne</w:t>
            </w:r>
          </w:p>
        </w:tc>
        <w:tc>
          <w:tcPr>
            <w:tcW w:w="634" w:type="dxa"/>
            <w:tcBorders>
              <w:left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3.25</w:t>
            </w:r>
          </w:p>
        </w:tc>
        <w:tc>
          <w:tcPr>
            <w:tcW w:w="360" w:type="dxa"/>
            <w:tcBorders>
              <w:left w:val="nil"/>
              <w:right w:val="nil"/>
            </w:tcBorders>
            <w:vAlign w:val="center"/>
          </w:tcPr>
          <w:p w:rsidR="00F335D5" w:rsidRPr="00765C97" w:rsidRDefault="00F335D5">
            <w:pPr>
              <w:ind w:right="425"/>
              <w:jc w:val="right"/>
              <w:rPr>
                <w:rFonts w:ascii="Arial" w:hAnsi="Arial"/>
                <w:sz w:val="16"/>
                <w:lang w:val="pl-PL"/>
              </w:rPr>
            </w:pPr>
          </w:p>
        </w:tc>
        <w:tc>
          <w:tcPr>
            <w:tcW w:w="1260" w:type="dxa"/>
            <w:tcBorders>
              <w:left w:val="nil"/>
              <w:bottom w:val="single" w:sz="4" w:space="0" w:color="auto"/>
              <w:right w:val="nil"/>
            </w:tcBorders>
            <w:vAlign w:val="center"/>
          </w:tcPr>
          <w:p w:rsidR="00F335D5" w:rsidRPr="00765C97" w:rsidRDefault="004B4EC1" w:rsidP="00FF7970">
            <w:pPr>
              <w:ind w:right="52"/>
              <w:jc w:val="right"/>
              <w:rPr>
                <w:rFonts w:ascii="Arial" w:hAnsi="Arial" w:cs="Arial"/>
                <w:sz w:val="16"/>
                <w:szCs w:val="16"/>
                <w:lang w:val="pl-PL"/>
              </w:rPr>
            </w:pPr>
            <w:r w:rsidRPr="00765C97">
              <w:rPr>
                <w:rFonts w:ascii="Arial" w:hAnsi="Arial" w:cs="Arial"/>
                <w:sz w:val="16"/>
                <w:szCs w:val="16"/>
                <w:lang w:val="pl-PL"/>
              </w:rPr>
              <w:t>(22 338)</w:t>
            </w:r>
          </w:p>
        </w:tc>
        <w:tc>
          <w:tcPr>
            <w:tcW w:w="1260" w:type="dxa"/>
            <w:tcBorders>
              <w:left w:val="nil"/>
              <w:bottom w:val="single" w:sz="4" w:space="0" w:color="auto"/>
              <w:right w:val="nil"/>
            </w:tcBorders>
            <w:vAlign w:val="center"/>
          </w:tcPr>
          <w:p w:rsidR="00F335D5" w:rsidRPr="00765C97" w:rsidRDefault="00F335D5" w:rsidP="00F335D5">
            <w:pPr>
              <w:ind w:right="52"/>
              <w:jc w:val="right"/>
              <w:rPr>
                <w:rFonts w:ascii="Arial" w:hAnsi="Arial" w:cs="Arial"/>
                <w:sz w:val="16"/>
                <w:szCs w:val="16"/>
                <w:lang w:val="pl-PL"/>
              </w:rPr>
            </w:pPr>
            <w:r w:rsidRPr="00765C97">
              <w:rPr>
                <w:rFonts w:ascii="Arial" w:hAnsi="Arial" w:cs="Arial"/>
                <w:sz w:val="16"/>
                <w:szCs w:val="16"/>
                <w:lang w:val="pl-PL"/>
              </w:rPr>
              <w:t>(18 900)</w:t>
            </w:r>
          </w:p>
        </w:tc>
      </w:tr>
      <w:tr w:rsidR="00F335D5" w:rsidRPr="00765C97" w:rsidTr="006F515E">
        <w:trPr>
          <w:trHeight w:val="255"/>
        </w:trPr>
        <w:tc>
          <w:tcPr>
            <w:tcW w:w="4680" w:type="dxa"/>
            <w:tcBorders>
              <w:left w:val="nil"/>
              <w:right w:val="nil"/>
            </w:tcBorders>
            <w:vAlign w:val="center"/>
          </w:tcPr>
          <w:p w:rsidR="00F335D5" w:rsidRPr="00765C97" w:rsidRDefault="00F335D5">
            <w:pPr>
              <w:rPr>
                <w:rFonts w:ascii="Arial" w:hAnsi="Arial"/>
                <w:b/>
                <w:sz w:val="16"/>
                <w:lang w:val="pl-PL"/>
              </w:rPr>
            </w:pPr>
            <w:r w:rsidRPr="00765C97">
              <w:rPr>
                <w:rFonts w:ascii="Arial" w:hAnsi="Arial"/>
                <w:b/>
                <w:sz w:val="16"/>
                <w:lang w:val="pl-PL"/>
              </w:rPr>
              <w:t>Zysk operacyjny</w:t>
            </w:r>
          </w:p>
        </w:tc>
        <w:tc>
          <w:tcPr>
            <w:tcW w:w="634" w:type="dxa"/>
            <w:tcBorders>
              <w:left w:val="nil"/>
              <w:right w:val="nil"/>
            </w:tcBorders>
            <w:vAlign w:val="center"/>
          </w:tcPr>
          <w:p w:rsidR="00F335D5" w:rsidRPr="00765C97" w:rsidRDefault="00F335D5">
            <w:pPr>
              <w:jc w:val="center"/>
              <w:rPr>
                <w:rFonts w:ascii="Arial" w:hAnsi="Arial"/>
                <w:b/>
                <w:sz w:val="16"/>
                <w:lang w:val="pl-PL"/>
              </w:rPr>
            </w:pPr>
          </w:p>
        </w:tc>
        <w:tc>
          <w:tcPr>
            <w:tcW w:w="360" w:type="dxa"/>
            <w:tcBorders>
              <w:left w:val="nil"/>
              <w:right w:val="nil"/>
            </w:tcBorders>
            <w:vAlign w:val="center"/>
          </w:tcPr>
          <w:p w:rsidR="00F335D5" w:rsidRPr="00765C97" w:rsidRDefault="00F335D5">
            <w:pPr>
              <w:ind w:right="425"/>
              <w:jc w:val="right"/>
              <w:rPr>
                <w:rFonts w:ascii="Arial" w:hAnsi="Arial"/>
                <w:b/>
                <w:sz w:val="16"/>
                <w:lang w:val="pl-PL"/>
              </w:rPr>
            </w:pPr>
          </w:p>
        </w:tc>
        <w:tc>
          <w:tcPr>
            <w:tcW w:w="1260" w:type="dxa"/>
            <w:tcBorders>
              <w:top w:val="single" w:sz="4" w:space="0" w:color="auto"/>
              <w:left w:val="nil"/>
              <w:right w:val="nil"/>
            </w:tcBorders>
            <w:vAlign w:val="center"/>
          </w:tcPr>
          <w:p w:rsidR="00F335D5" w:rsidRPr="00765C97" w:rsidRDefault="004B4EC1" w:rsidP="00FF7970">
            <w:pPr>
              <w:ind w:right="52"/>
              <w:jc w:val="right"/>
              <w:rPr>
                <w:rFonts w:ascii="Arial" w:hAnsi="Arial" w:cs="Arial"/>
                <w:b/>
                <w:bCs/>
                <w:sz w:val="16"/>
                <w:szCs w:val="16"/>
                <w:lang w:val="pl-PL"/>
              </w:rPr>
            </w:pPr>
            <w:r w:rsidRPr="00765C97">
              <w:rPr>
                <w:rFonts w:ascii="Arial" w:hAnsi="Arial" w:cs="Arial"/>
                <w:b/>
                <w:bCs/>
                <w:sz w:val="16"/>
                <w:szCs w:val="16"/>
                <w:lang w:val="pl-PL"/>
              </w:rPr>
              <w:t>30 767</w:t>
            </w:r>
          </w:p>
        </w:tc>
        <w:tc>
          <w:tcPr>
            <w:tcW w:w="1260" w:type="dxa"/>
            <w:tcBorders>
              <w:top w:val="single" w:sz="4" w:space="0" w:color="auto"/>
              <w:left w:val="nil"/>
              <w:right w:val="nil"/>
            </w:tcBorders>
            <w:vAlign w:val="center"/>
          </w:tcPr>
          <w:p w:rsidR="00F335D5" w:rsidRPr="00765C97" w:rsidRDefault="00F335D5" w:rsidP="00F335D5">
            <w:pPr>
              <w:ind w:right="52"/>
              <w:jc w:val="right"/>
              <w:rPr>
                <w:rFonts w:ascii="Arial" w:hAnsi="Arial" w:cs="Arial"/>
                <w:b/>
                <w:bCs/>
                <w:sz w:val="16"/>
                <w:szCs w:val="16"/>
                <w:lang w:val="pl-PL"/>
              </w:rPr>
            </w:pPr>
            <w:r w:rsidRPr="00765C97">
              <w:rPr>
                <w:rFonts w:ascii="Arial" w:hAnsi="Arial" w:cs="Arial"/>
                <w:b/>
                <w:bCs/>
                <w:sz w:val="16"/>
                <w:szCs w:val="16"/>
                <w:lang w:val="pl-PL"/>
              </w:rPr>
              <w:t>38 783</w:t>
            </w:r>
          </w:p>
        </w:tc>
      </w:tr>
      <w:tr w:rsidR="00F335D5" w:rsidRPr="00765C97">
        <w:trPr>
          <w:trHeight w:val="255"/>
        </w:trPr>
        <w:tc>
          <w:tcPr>
            <w:tcW w:w="4680" w:type="dxa"/>
            <w:tcBorders>
              <w:left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 xml:space="preserve">Przychody/(Koszty) finansowe – netto </w:t>
            </w:r>
          </w:p>
        </w:tc>
        <w:tc>
          <w:tcPr>
            <w:tcW w:w="634" w:type="dxa"/>
            <w:tcBorders>
              <w:left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3.26</w:t>
            </w:r>
          </w:p>
        </w:tc>
        <w:tc>
          <w:tcPr>
            <w:tcW w:w="360" w:type="dxa"/>
            <w:tcBorders>
              <w:left w:val="nil"/>
              <w:right w:val="nil"/>
            </w:tcBorders>
            <w:vAlign w:val="center"/>
          </w:tcPr>
          <w:p w:rsidR="00F335D5" w:rsidRPr="00765C97" w:rsidRDefault="00F335D5">
            <w:pPr>
              <w:ind w:right="425"/>
              <w:jc w:val="right"/>
              <w:rPr>
                <w:rFonts w:ascii="Arial" w:hAnsi="Arial"/>
                <w:sz w:val="16"/>
                <w:lang w:val="pl-PL"/>
              </w:rPr>
            </w:pPr>
          </w:p>
        </w:tc>
        <w:tc>
          <w:tcPr>
            <w:tcW w:w="1260" w:type="dxa"/>
            <w:tcBorders>
              <w:left w:val="nil"/>
              <w:right w:val="nil"/>
            </w:tcBorders>
            <w:vAlign w:val="center"/>
          </w:tcPr>
          <w:p w:rsidR="00F335D5" w:rsidRPr="00765C97" w:rsidRDefault="004B4EC1" w:rsidP="00115E97">
            <w:pPr>
              <w:ind w:right="52"/>
              <w:jc w:val="right"/>
              <w:rPr>
                <w:rFonts w:ascii="Arial" w:hAnsi="Arial" w:cs="Arial"/>
                <w:sz w:val="16"/>
                <w:szCs w:val="16"/>
                <w:lang w:val="pl-PL"/>
              </w:rPr>
            </w:pPr>
            <w:r w:rsidRPr="00765C97">
              <w:rPr>
                <w:rFonts w:ascii="Arial" w:hAnsi="Arial" w:cs="Arial"/>
                <w:sz w:val="16"/>
                <w:szCs w:val="16"/>
                <w:lang w:val="pl-PL"/>
              </w:rPr>
              <w:t>8 99</w:t>
            </w:r>
            <w:r w:rsidR="00115E97" w:rsidRPr="00765C97">
              <w:rPr>
                <w:rFonts w:ascii="Arial" w:hAnsi="Arial" w:cs="Arial"/>
                <w:sz w:val="16"/>
                <w:szCs w:val="16"/>
                <w:lang w:val="pl-PL"/>
              </w:rPr>
              <w:t>3</w:t>
            </w:r>
          </w:p>
        </w:tc>
        <w:tc>
          <w:tcPr>
            <w:tcW w:w="1260" w:type="dxa"/>
            <w:tcBorders>
              <w:left w:val="nil"/>
              <w:right w:val="nil"/>
            </w:tcBorders>
            <w:vAlign w:val="center"/>
          </w:tcPr>
          <w:p w:rsidR="00F335D5" w:rsidRPr="00765C97" w:rsidRDefault="00F335D5" w:rsidP="00F335D5">
            <w:pPr>
              <w:ind w:right="52"/>
              <w:jc w:val="right"/>
              <w:rPr>
                <w:rFonts w:ascii="Arial" w:hAnsi="Arial" w:cs="Arial"/>
                <w:sz w:val="16"/>
                <w:szCs w:val="16"/>
                <w:lang w:val="pl-PL"/>
              </w:rPr>
            </w:pPr>
            <w:r w:rsidRPr="00765C97">
              <w:rPr>
                <w:rFonts w:ascii="Arial" w:hAnsi="Arial" w:cs="Arial"/>
                <w:sz w:val="16"/>
                <w:szCs w:val="16"/>
                <w:lang w:val="pl-PL"/>
              </w:rPr>
              <w:t>1 019</w:t>
            </w:r>
          </w:p>
        </w:tc>
      </w:tr>
      <w:tr w:rsidR="00F335D5" w:rsidRPr="00765C97">
        <w:trPr>
          <w:trHeight w:val="255"/>
        </w:trPr>
        <w:tc>
          <w:tcPr>
            <w:tcW w:w="4680" w:type="dxa"/>
            <w:tcBorders>
              <w:left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Udział w zyskach/(stratach) jednostek stowarzyszonych</w:t>
            </w:r>
          </w:p>
        </w:tc>
        <w:tc>
          <w:tcPr>
            <w:tcW w:w="634" w:type="dxa"/>
            <w:tcBorders>
              <w:left w:val="nil"/>
              <w:right w:val="nil"/>
            </w:tcBorders>
            <w:vAlign w:val="center"/>
          </w:tcPr>
          <w:p w:rsidR="00F335D5" w:rsidRPr="00765C97" w:rsidRDefault="00F335D5">
            <w:pPr>
              <w:jc w:val="center"/>
              <w:rPr>
                <w:rFonts w:ascii="Arial" w:hAnsi="Arial"/>
                <w:sz w:val="16"/>
                <w:lang w:val="pl-PL"/>
              </w:rPr>
            </w:pPr>
            <w:r w:rsidRPr="00765C97">
              <w:rPr>
                <w:rFonts w:ascii="Arial" w:hAnsi="Arial"/>
                <w:sz w:val="16"/>
                <w:lang w:val="pl-PL"/>
              </w:rPr>
              <w:t>3.7</w:t>
            </w:r>
          </w:p>
        </w:tc>
        <w:tc>
          <w:tcPr>
            <w:tcW w:w="360" w:type="dxa"/>
            <w:tcBorders>
              <w:left w:val="nil"/>
              <w:right w:val="nil"/>
            </w:tcBorders>
            <w:vAlign w:val="center"/>
          </w:tcPr>
          <w:p w:rsidR="00F335D5" w:rsidRPr="00765C97" w:rsidRDefault="00F335D5">
            <w:pPr>
              <w:ind w:right="425"/>
              <w:jc w:val="right"/>
              <w:rPr>
                <w:rFonts w:ascii="Arial" w:hAnsi="Arial"/>
                <w:sz w:val="16"/>
                <w:lang w:val="pl-PL"/>
              </w:rPr>
            </w:pPr>
          </w:p>
        </w:tc>
        <w:tc>
          <w:tcPr>
            <w:tcW w:w="1260" w:type="dxa"/>
            <w:tcBorders>
              <w:left w:val="nil"/>
              <w:bottom w:val="single" w:sz="4" w:space="0" w:color="auto"/>
              <w:right w:val="nil"/>
            </w:tcBorders>
            <w:vAlign w:val="center"/>
          </w:tcPr>
          <w:p w:rsidR="00F335D5" w:rsidRPr="00765C97" w:rsidRDefault="004B4EC1" w:rsidP="00FF7970">
            <w:pPr>
              <w:ind w:right="52"/>
              <w:jc w:val="right"/>
              <w:rPr>
                <w:rFonts w:ascii="Arial" w:hAnsi="Arial" w:cs="Arial"/>
                <w:sz w:val="16"/>
                <w:szCs w:val="16"/>
                <w:lang w:val="pl-PL"/>
              </w:rPr>
            </w:pPr>
            <w:r w:rsidRPr="00765C97">
              <w:rPr>
                <w:rFonts w:ascii="Arial" w:hAnsi="Arial" w:cs="Arial"/>
                <w:sz w:val="16"/>
                <w:szCs w:val="16"/>
                <w:lang w:val="pl-PL"/>
              </w:rPr>
              <w:t>(23)</w:t>
            </w:r>
          </w:p>
        </w:tc>
        <w:tc>
          <w:tcPr>
            <w:tcW w:w="1260" w:type="dxa"/>
            <w:tcBorders>
              <w:left w:val="nil"/>
              <w:bottom w:val="single" w:sz="4" w:space="0" w:color="auto"/>
              <w:right w:val="nil"/>
            </w:tcBorders>
            <w:vAlign w:val="center"/>
          </w:tcPr>
          <w:p w:rsidR="00F335D5" w:rsidRPr="00765C97" w:rsidRDefault="00F335D5" w:rsidP="00F335D5">
            <w:pPr>
              <w:ind w:right="52"/>
              <w:jc w:val="right"/>
              <w:rPr>
                <w:rFonts w:ascii="Arial" w:hAnsi="Arial" w:cs="Arial"/>
                <w:sz w:val="16"/>
                <w:szCs w:val="16"/>
                <w:lang w:val="pl-PL"/>
              </w:rPr>
            </w:pPr>
            <w:r w:rsidRPr="00765C97">
              <w:rPr>
                <w:rFonts w:ascii="Arial" w:hAnsi="Arial" w:cs="Arial"/>
                <w:sz w:val="16"/>
                <w:szCs w:val="16"/>
                <w:lang w:val="pl-PL"/>
              </w:rPr>
              <w:t>(38)</w:t>
            </w:r>
          </w:p>
        </w:tc>
      </w:tr>
      <w:tr w:rsidR="00F335D5" w:rsidRPr="00765C97">
        <w:trPr>
          <w:trHeight w:val="255"/>
        </w:trPr>
        <w:tc>
          <w:tcPr>
            <w:tcW w:w="4680" w:type="dxa"/>
            <w:tcBorders>
              <w:left w:val="nil"/>
              <w:right w:val="nil"/>
            </w:tcBorders>
            <w:vAlign w:val="center"/>
          </w:tcPr>
          <w:p w:rsidR="00F335D5" w:rsidRPr="00765C97" w:rsidRDefault="00F335D5">
            <w:pPr>
              <w:rPr>
                <w:rFonts w:ascii="Arial" w:hAnsi="Arial"/>
                <w:b/>
                <w:sz w:val="16"/>
                <w:lang w:val="pl-PL"/>
              </w:rPr>
            </w:pPr>
            <w:r w:rsidRPr="00765C97">
              <w:rPr>
                <w:rFonts w:ascii="Arial" w:hAnsi="Arial"/>
                <w:b/>
                <w:sz w:val="16"/>
                <w:lang w:val="pl-PL"/>
              </w:rPr>
              <w:t>Zysk przed opodatkowaniem</w:t>
            </w:r>
          </w:p>
        </w:tc>
        <w:tc>
          <w:tcPr>
            <w:tcW w:w="634" w:type="dxa"/>
            <w:tcBorders>
              <w:left w:val="nil"/>
              <w:right w:val="nil"/>
            </w:tcBorders>
            <w:vAlign w:val="center"/>
          </w:tcPr>
          <w:p w:rsidR="00F335D5" w:rsidRPr="00765C97" w:rsidRDefault="00F335D5">
            <w:pPr>
              <w:jc w:val="center"/>
              <w:rPr>
                <w:rFonts w:ascii="Arial" w:hAnsi="Arial"/>
                <w:b/>
                <w:sz w:val="16"/>
                <w:lang w:val="pl-PL"/>
              </w:rPr>
            </w:pPr>
          </w:p>
        </w:tc>
        <w:tc>
          <w:tcPr>
            <w:tcW w:w="360" w:type="dxa"/>
            <w:tcBorders>
              <w:left w:val="nil"/>
              <w:right w:val="nil"/>
            </w:tcBorders>
            <w:vAlign w:val="center"/>
          </w:tcPr>
          <w:p w:rsidR="00F335D5" w:rsidRPr="00765C97" w:rsidRDefault="00F335D5">
            <w:pPr>
              <w:ind w:right="425"/>
              <w:jc w:val="right"/>
              <w:rPr>
                <w:rFonts w:ascii="Arial" w:hAnsi="Arial"/>
                <w:b/>
                <w:sz w:val="16"/>
                <w:lang w:val="pl-PL"/>
              </w:rPr>
            </w:pPr>
          </w:p>
        </w:tc>
        <w:tc>
          <w:tcPr>
            <w:tcW w:w="1260" w:type="dxa"/>
            <w:tcBorders>
              <w:top w:val="single" w:sz="4" w:space="0" w:color="auto"/>
              <w:left w:val="nil"/>
              <w:right w:val="nil"/>
            </w:tcBorders>
            <w:vAlign w:val="center"/>
          </w:tcPr>
          <w:p w:rsidR="00F335D5" w:rsidRPr="00765C97" w:rsidRDefault="004B4EC1" w:rsidP="00FF7970">
            <w:pPr>
              <w:ind w:right="52"/>
              <w:jc w:val="right"/>
              <w:rPr>
                <w:rFonts w:ascii="Arial" w:hAnsi="Arial" w:cs="Arial"/>
                <w:b/>
                <w:bCs/>
                <w:sz w:val="16"/>
                <w:szCs w:val="16"/>
                <w:lang w:val="pl-PL"/>
              </w:rPr>
            </w:pPr>
            <w:r w:rsidRPr="00765C97">
              <w:rPr>
                <w:rFonts w:ascii="Arial" w:hAnsi="Arial" w:cs="Arial"/>
                <w:b/>
                <w:bCs/>
                <w:sz w:val="16"/>
                <w:szCs w:val="16"/>
                <w:lang w:val="pl-PL"/>
              </w:rPr>
              <w:t>39 737</w:t>
            </w:r>
          </w:p>
        </w:tc>
        <w:tc>
          <w:tcPr>
            <w:tcW w:w="1260" w:type="dxa"/>
            <w:tcBorders>
              <w:top w:val="single" w:sz="4" w:space="0" w:color="auto"/>
              <w:left w:val="nil"/>
              <w:right w:val="nil"/>
            </w:tcBorders>
            <w:vAlign w:val="center"/>
          </w:tcPr>
          <w:p w:rsidR="00F335D5" w:rsidRPr="00765C97" w:rsidRDefault="00F335D5" w:rsidP="00F335D5">
            <w:pPr>
              <w:ind w:right="52"/>
              <w:jc w:val="right"/>
              <w:rPr>
                <w:rFonts w:ascii="Arial" w:hAnsi="Arial" w:cs="Arial"/>
                <w:b/>
                <w:bCs/>
                <w:sz w:val="16"/>
                <w:szCs w:val="16"/>
                <w:lang w:val="pl-PL"/>
              </w:rPr>
            </w:pPr>
            <w:r w:rsidRPr="00765C97">
              <w:rPr>
                <w:rFonts w:ascii="Arial" w:hAnsi="Arial" w:cs="Arial"/>
                <w:b/>
                <w:bCs/>
                <w:sz w:val="16"/>
                <w:szCs w:val="16"/>
                <w:lang w:val="pl-PL"/>
              </w:rPr>
              <w:t>39 764</w:t>
            </w:r>
          </w:p>
        </w:tc>
      </w:tr>
      <w:tr w:rsidR="00F335D5" w:rsidRPr="00765C97" w:rsidTr="006F515E">
        <w:trPr>
          <w:trHeight w:val="255"/>
        </w:trPr>
        <w:tc>
          <w:tcPr>
            <w:tcW w:w="4680" w:type="dxa"/>
            <w:tcBorders>
              <w:left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Podatek dochodowy</w:t>
            </w:r>
          </w:p>
        </w:tc>
        <w:tc>
          <w:tcPr>
            <w:tcW w:w="634" w:type="dxa"/>
            <w:tcBorders>
              <w:left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3.27</w:t>
            </w:r>
          </w:p>
        </w:tc>
        <w:tc>
          <w:tcPr>
            <w:tcW w:w="360" w:type="dxa"/>
            <w:tcBorders>
              <w:left w:val="nil"/>
              <w:right w:val="nil"/>
            </w:tcBorders>
            <w:vAlign w:val="center"/>
          </w:tcPr>
          <w:p w:rsidR="00F335D5" w:rsidRPr="00765C97" w:rsidRDefault="00F335D5">
            <w:pPr>
              <w:ind w:right="425"/>
              <w:jc w:val="right"/>
              <w:rPr>
                <w:rFonts w:ascii="Arial" w:hAnsi="Arial"/>
                <w:sz w:val="16"/>
                <w:lang w:val="pl-PL"/>
              </w:rPr>
            </w:pPr>
          </w:p>
        </w:tc>
        <w:tc>
          <w:tcPr>
            <w:tcW w:w="1260" w:type="dxa"/>
            <w:tcBorders>
              <w:left w:val="nil"/>
              <w:bottom w:val="single" w:sz="4" w:space="0" w:color="auto"/>
              <w:right w:val="nil"/>
            </w:tcBorders>
            <w:vAlign w:val="center"/>
          </w:tcPr>
          <w:p w:rsidR="00F335D5" w:rsidRPr="00765C97" w:rsidRDefault="00115E97" w:rsidP="00FF7970">
            <w:pPr>
              <w:ind w:right="52"/>
              <w:jc w:val="right"/>
              <w:rPr>
                <w:rFonts w:ascii="Arial" w:hAnsi="Arial" w:cs="Arial"/>
                <w:sz w:val="16"/>
                <w:szCs w:val="16"/>
                <w:lang w:val="pl-PL"/>
              </w:rPr>
            </w:pPr>
            <w:r w:rsidRPr="00765C97">
              <w:rPr>
                <w:rFonts w:ascii="Arial" w:hAnsi="Arial" w:cs="Arial"/>
                <w:sz w:val="16"/>
                <w:szCs w:val="16"/>
                <w:lang w:val="pl-PL"/>
              </w:rPr>
              <w:t>(</w:t>
            </w:r>
            <w:r w:rsidR="004B4EC1" w:rsidRPr="00765C97">
              <w:rPr>
                <w:rFonts w:ascii="Arial" w:hAnsi="Arial" w:cs="Arial"/>
                <w:sz w:val="16"/>
                <w:szCs w:val="16"/>
                <w:lang w:val="pl-PL"/>
              </w:rPr>
              <w:t>2</w:t>
            </w:r>
            <w:r w:rsidRPr="00765C97">
              <w:rPr>
                <w:rFonts w:ascii="Arial" w:hAnsi="Arial" w:cs="Arial"/>
                <w:sz w:val="16"/>
                <w:szCs w:val="16"/>
                <w:lang w:val="pl-PL"/>
              </w:rPr>
              <w:t> </w:t>
            </w:r>
            <w:r w:rsidR="004B4EC1" w:rsidRPr="00765C97">
              <w:rPr>
                <w:rFonts w:ascii="Arial" w:hAnsi="Arial" w:cs="Arial"/>
                <w:sz w:val="16"/>
                <w:szCs w:val="16"/>
                <w:lang w:val="pl-PL"/>
              </w:rPr>
              <w:t>485</w:t>
            </w:r>
            <w:r w:rsidRPr="00765C97">
              <w:rPr>
                <w:rFonts w:ascii="Arial" w:hAnsi="Arial" w:cs="Arial"/>
                <w:sz w:val="16"/>
                <w:szCs w:val="16"/>
                <w:lang w:val="pl-PL"/>
              </w:rPr>
              <w:t>)</w:t>
            </w:r>
          </w:p>
        </w:tc>
        <w:tc>
          <w:tcPr>
            <w:tcW w:w="1260" w:type="dxa"/>
            <w:tcBorders>
              <w:left w:val="nil"/>
              <w:bottom w:val="single" w:sz="4" w:space="0" w:color="auto"/>
              <w:right w:val="nil"/>
            </w:tcBorders>
            <w:vAlign w:val="center"/>
          </w:tcPr>
          <w:p w:rsidR="00F335D5" w:rsidRPr="00765C97" w:rsidRDefault="00F335D5" w:rsidP="00F335D5">
            <w:pPr>
              <w:ind w:right="52"/>
              <w:jc w:val="right"/>
              <w:rPr>
                <w:rFonts w:ascii="Arial" w:hAnsi="Arial" w:cs="Arial"/>
                <w:sz w:val="16"/>
                <w:szCs w:val="16"/>
                <w:lang w:val="pl-PL"/>
              </w:rPr>
            </w:pPr>
            <w:r w:rsidRPr="00765C97">
              <w:rPr>
                <w:rFonts w:ascii="Arial" w:hAnsi="Arial" w:cs="Arial"/>
                <w:sz w:val="16"/>
                <w:szCs w:val="16"/>
                <w:lang w:val="pl-PL"/>
              </w:rPr>
              <w:t>(6 697)</w:t>
            </w:r>
          </w:p>
        </w:tc>
      </w:tr>
      <w:tr w:rsidR="00F335D5" w:rsidRPr="00765C97" w:rsidTr="006F515E">
        <w:trPr>
          <w:trHeight w:val="255"/>
        </w:trPr>
        <w:tc>
          <w:tcPr>
            <w:tcW w:w="4680" w:type="dxa"/>
            <w:tcBorders>
              <w:left w:val="nil"/>
              <w:right w:val="nil"/>
            </w:tcBorders>
            <w:vAlign w:val="center"/>
          </w:tcPr>
          <w:p w:rsidR="00F335D5" w:rsidRPr="00765C97" w:rsidRDefault="00F335D5">
            <w:pPr>
              <w:rPr>
                <w:rFonts w:ascii="Arial" w:hAnsi="Arial"/>
                <w:b/>
                <w:sz w:val="16"/>
                <w:lang w:val="pl-PL"/>
              </w:rPr>
            </w:pPr>
            <w:r w:rsidRPr="00765C97">
              <w:rPr>
                <w:rFonts w:ascii="Arial" w:hAnsi="Arial"/>
                <w:b/>
                <w:sz w:val="16"/>
                <w:lang w:val="pl-PL"/>
              </w:rPr>
              <w:t>Zysk netto za okres</w:t>
            </w:r>
          </w:p>
        </w:tc>
        <w:tc>
          <w:tcPr>
            <w:tcW w:w="634" w:type="dxa"/>
            <w:tcBorders>
              <w:left w:val="nil"/>
              <w:right w:val="nil"/>
            </w:tcBorders>
            <w:vAlign w:val="center"/>
          </w:tcPr>
          <w:p w:rsidR="00F335D5" w:rsidRPr="00765C97" w:rsidRDefault="00F335D5">
            <w:pPr>
              <w:jc w:val="center"/>
              <w:rPr>
                <w:rFonts w:ascii="Arial" w:hAnsi="Arial"/>
                <w:b/>
                <w:sz w:val="16"/>
                <w:lang w:val="pl-PL"/>
              </w:rPr>
            </w:pPr>
          </w:p>
        </w:tc>
        <w:tc>
          <w:tcPr>
            <w:tcW w:w="360" w:type="dxa"/>
            <w:tcBorders>
              <w:left w:val="nil"/>
              <w:right w:val="nil"/>
            </w:tcBorders>
            <w:vAlign w:val="center"/>
          </w:tcPr>
          <w:p w:rsidR="00F335D5" w:rsidRPr="00765C97" w:rsidRDefault="00F335D5">
            <w:pPr>
              <w:ind w:right="425"/>
              <w:jc w:val="right"/>
              <w:rPr>
                <w:rFonts w:ascii="Arial" w:hAnsi="Arial"/>
                <w:b/>
                <w:sz w:val="16"/>
                <w:lang w:val="pl-PL"/>
              </w:rPr>
            </w:pPr>
          </w:p>
        </w:tc>
        <w:tc>
          <w:tcPr>
            <w:tcW w:w="1260" w:type="dxa"/>
            <w:tcBorders>
              <w:top w:val="single" w:sz="4" w:space="0" w:color="auto"/>
              <w:left w:val="nil"/>
              <w:bottom w:val="single" w:sz="4" w:space="0" w:color="auto"/>
              <w:right w:val="nil"/>
            </w:tcBorders>
            <w:vAlign w:val="center"/>
          </w:tcPr>
          <w:p w:rsidR="00F335D5" w:rsidRPr="00765C97" w:rsidRDefault="004B4EC1" w:rsidP="00FF7970">
            <w:pPr>
              <w:ind w:right="52"/>
              <w:jc w:val="right"/>
              <w:rPr>
                <w:rFonts w:ascii="Arial" w:hAnsi="Arial" w:cs="Arial"/>
                <w:b/>
                <w:sz w:val="16"/>
                <w:szCs w:val="16"/>
                <w:lang w:val="pl-PL"/>
              </w:rPr>
            </w:pPr>
            <w:r w:rsidRPr="00765C97">
              <w:rPr>
                <w:rFonts w:ascii="Arial" w:hAnsi="Arial" w:cs="Arial"/>
                <w:b/>
                <w:sz w:val="16"/>
                <w:szCs w:val="16"/>
                <w:lang w:val="pl-PL"/>
              </w:rPr>
              <w:t>37 252</w:t>
            </w:r>
          </w:p>
        </w:tc>
        <w:tc>
          <w:tcPr>
            <w:tcW w:w="1260" w:type="dxa"/>
            <w:tcBorders>
              <w:top w:val="single" w:sz="4" w:space="0" w:color="auto"/>
              <w:left w:val="nil"/>
              <w:bottom w:val="single" w:sz="4" w:space="0" w:color="auto"/>
              <w:right w:val="nil"/>
            </w:tcBorders>
            <w:vAlign w:val="center"/>
          </w:tcPr>
          <w:p w:rsidR="00F335D5" w:rsidRPr="00765C97" w:rsidRDefault="00F335D5" w:rsidP="00F335D5">
            <w:pPr>
              <w:ind w:right="52"/>
              <w:jc w:val="right"/>
              <w:rPr>
                <w:rFonts w:ascii="Arial" w:hAnsi="Arial" w:cs="Arial"/>
                <w:b/>
                <w:sz w:val="16"/>
                <w:szCs w:val="16"/>
                <w:lang w:val="pl-PL"/>
              </w:rPr>
            </w:pPr>
            <w:r w:rsidRPr="00765C97">
              <w:rPr>
                <w:rFonts w:ascii="Arial" w:hAnsi="Arial" w:cs="Arial"/>
                <w:b/>
                <w:sz w:val="16"/>
                <w:szCs w:val="16"/>
                <w:lang w:val="pl-PL"/>
              </w:rPr>
              <w:t>33 067</w:t>
            </w:r>
          </w:p>
        </w:tc>
      </w:tr>
      <w:tr w:rsidR="009510E0" w:rsidRPr="00765C97" w:rsidTr="006F515E">
        <w:trPr>
          <w:trHeight w:val="255"/>
        </w:trPr>
        <w:tc>
          <w:tcPr>
            <w:tcW w:w="4680" w:type="dxa"/>
            <w:tcBorders>
              <w:left w:val="nil"/>
              <w:right w:val="nil"/>
            </w:tcBorders>
            <w:vAlign w:val="center"/>
          </w:tcPr>
          <w:p w:rsidR="009510E0" w:rsidRPr="00765C97" w:rsidRDefault="009510E0">
            <w:pPr>
              <w:rPr>
                <w:rFonts w:ascii="Arial" w:hAnsi="Arial"/>
                <w:b/>
                <w:sz w:val="16"/>
                <w:lang w:val="pl-PL"/>
              </w:rPr>
            </w:pPr>
          </w:p>
        </w:tc>
        <w:tc>
          <w:tcPr>
            <w:tcW w:w="634" w:type="dxa"/>
            <w:tcBorders>
              <w:left w:val="nil"/>
              <w:right w:val="nil"/>
            </w:tcBorders>
            <w:vAlign w:val="center"/>
          </w:tcPr>
          <w:p w:rsidR="009510E0" w:rsidRPr="00765C97" w:rsidRDefault="009510E0">
            <w:pPr>
              <w:jc w:val="center"/>
              <w:rPr>
                <w:rFonts w:ascii="Arial" w:hAnsi="Arial"/>
                <w:sz w:val="16"/>
                <w:lang w:val="pl-PL"/>
              </w:rPr>
            </w:pPr>
          </w:p>
        </w:tc>
        <w:tc>
          <w:tcPr>
            <w:tcW w:w="360" w:type="dxa"/>
            <w:tcBorders>
              <w:left w:val="nil"/>
              <w:right w:val="nil"/>
            </w:tcBorders>
            <w:vAlign w:val="center"/>
          </w:tcPr>
          <w:p w:rsidR="009510E0" w:rsidRPr="00765C97" w:rsidRDefault="009510E0">
            <w:pPr>
              <w:ind w:right="425"/>
              <w:jc w:val="right"/>
              <w:rPr>
                <w:rFonts w:ascii="Arial" w:hAnsi="Arial"/>
                <w:sz w:val="16"/>
                <w:lang w:val="pl-PL"/>
              </w:rPr>
            </w:pPr>
          </w:p>
        </w:tc>
        <w:tc>
          <w:tcPr>
            <w:tcW w:w="1260" w:type="dxa"/>
            <w:tcBorders>
              <w:top w:val="single" w:sz="4" w:space="0" w:color="auto"/>
              <w:left w:val="nil"/>
              <w:right w:val="nil"/>
            </w:tcBorders>
            <w:vAlign w:val="center"/>
          </w:tcPr>
          <w:p w:rsidR="009510E0" w:rsidRPr="00765C97" w:rsidRDefault="009510E0" w:rsidP="00782528">
            <w:pPr>
              <w:ind w:right="52"/>
              <w:jc w:val="right"/>
              <w:rPr>
                <w:rFonts w:ascii="Arial" w:hAnsi="Arial"/>
                <w:sz w:val="16"/>
                <w:lang w:val="pl-PL"/>
              </w:rPr>
            </w:pPr>
          </w:p>
        </w:tc>
        <w:tc>
          <w:tcPr>
            <w:tcW w:w="1260" w:type="dxa"/>
            <w:tcBorders>
              <w:top w:val="single" w:sz="4" w:space="0" w:color="auto"/>
              <w:left w:val="nil"/>
              <w:right w:val="nil"/>
            </w:tcBorders>
            <w:vAlign w:val="center"/>
          </w:tcPr>
          <w:p w:rsidR="009510E0" w:rsidRPr="00765C97" w:rsidRDefault="009510E0" w:rsidP="003A752B">
            <w:pPr>
              <w:ind w:right="52"/>
              <w:jc w:val="right"/>
              <w:rPr>
                <w:rFonts w:ascii="Arial" w:hAnsi="Arial"/>
                <w:sz w:val="16"/>
                <w:lang w:val="pl-PL"/>
              </w:rPr>
            </w:pPr>
          </w:p>
        </w:tc>
      </w:tr>
      <w:tr w:rsidR="009510E0" w:rsidRPr="00765C97">
        <w:trPr>
          <w:trHeight w:val="255"/>
        </w:trPr>
        <w:tc>
          <w:tcPr>
            <w:tcW w:w="4680" w:type="dxa"/>
            <w:tcBorders>
              <w:left w:val="nil"/>
              <w:right w:val="nil"/>
            </w:tcBorders>
            <w:vAlign w:val="center"/>
          </w:tcPr>
          <w:p w:rsidR="009510E0" w:rsidRPr="00765C97" w:rsidRDefault="009510E0">
            <w:pPr>
              <w:rPr>
                <w:rFonts w:ascii="Arial" w:hAnsi="Arial"/>
                <w:sz w:val="16"/>
                <w:lang w:val="pl-PL"/>
              </w:rPr>
            </w:pPr>
            <w:r w:rsidRPr="00765C97">
              <w:rPr>
                <w:rFonts w:ascii="Arial" w:hAnsi="Arial"/>
                <w:sz w:val="16"/>
                <w:lang w:val="pl-PL"/>
              </w:rPr>
              <w:t>W tym:</w:t>
            </w:r>
          </w:p>
        </w:tc>
        <w:tc>
          <w:tcPr>
            <w:tcW w:w="634" w:type="dxa"/>
            <w:tcBorders>
              <w:left w:val="nil"/>
              <w:right w:val="nil"/>
            </w:tcBorders>
            <w:vAlign w:val="center"/>
          </w:tcPr>
          <w:p w:rsidR="009510E0" w:rsidRPr="00765C97" w:rsidRDefault="009510E0">
            <w:pPr>
              <w:jc w:val="center"/>
              <w:rPr>
                <w:rFonts w:ascii="Arial" w:hAnsi="Arial"/>
                <w:sz w:val="16"/>
                <w:lang w:val="pl-PL"/>
              </w:rPr>
            </w:pPr>
          </w:p>
        </w:tc>
        <w:tc>
          <w:tcPr>
            <w:tcW w:w="360" w:type="dxa"/>
            <w:tcBorders>
              <w:left w:val="nil"/>
              <w:right w:val="nil"/>
            </w:tcBorders>
            <w:vAlign w:val="center"/>
          </w:tcPr>
          <w:p w:rsidR="009510E0" w:rsidRPr="00765C97" w:rsidRDefault="009510E0">
            <w:pPr>
              <w:ind w:right="425"/>
              <w:jc w:val="right"/>
              <w:rPr>
                <w:rFonts w:ascii="Arial" w:hAnsi="Arial"/>
                <w:sz w:val="16"/>
                <w:lang w:val="pl-PL"/>
              </w:rPr>
            </w:pPr>
          </w:p>
        </w:tc>
        <w:tc>
          <w:tcPr>
            <w:tcW w:w="1260" w:type="dxa"/>
            <w:tcBorders>
              <w:left w:val="nil"/>
              <w:right w:val="nil"/>
            </w:tcBorders>
            <w:vAlign w:val="center"/>
          </w:tcPr>
          <w:p w:rsidR="009510E0" w:rsidRPr="00765C97" w:rsidRDefault="009510E0" w:rsidP="00782528">
            <w:pPr>
              <w:ind w:right="52"/>
              <w:jc w:val="right"/>
              <w:rPr>
                <w:rFonts w:ascii="Arial" w:hAnsi="Arial"/>
                <w:sz w:val="16"/>
                <w:lang w:val="pl-PL"/>
              </w:rPr>
            </w:pPr>
          </w:p>
        </w:tc>
        <w:tc>
          <w:tcPr>
            <w:tcW w:w="1260" w:type="dxa"/>
            <w:tcBorders>
              <w:left w:val="nil"/>
              <w:right w:val="nil"/>
            </w:tcBorders>
            <w:vAlign w:val="center"/>
          </w:tcPr>
          <w:p w:rsidR="009510E0" w:rsidRPr="00765C97" w:rsidRDefault="009510E0" w:rsidP="003A752B">
            <w:pPr>
              <w:ind w:right="52"/>
              <w:jc w:val="right"/>
              <w:rPr>
                <w:rFonts w:ascii="Arial" w:hAnsi="Arial"/>
                <w:sz w:val="16"/>
                <w:lang w:val="pl-PL"/>
              </w:rPr>
            </w:pPr>
          </w:p>
        </w:tc>
      </w:tr>
      <w:tr w:rsidR="007860C5" w:rsidRPr="00765C97">
        <w:trPr>
          <w:trHeight w:val="255"/>
        </w:trPr>
        <w:tc>
          <w:tcPr>
            <w:tcW w:w="4680" w:type="dxa"/>
            <w:tcBorders>
              <w:left w:val="nil"/>
              <w:right w:val="nil"/>
            </w:tcBorders>
            <w:vAlign w:val="center"/>
          </w:tcPr>
          <w:p w:rsidR="007860C5" w:rsidRPr="00765C97" w:rsidRDefault="007860C5" w:rsidP="007860C5">
            <w:pPr>
              <w:rPr>
                <w:rFonts w:ascii="Arial" w:hAnsi="Arial" w:cs="Arial"/>
                <w:b/>
                <w:sz w:val="16"/>
                <w:szCs w:val="16"/>
                <w:lang w:val="pl-PL"/>
              </w:rPr>
            </w:pPr>
            <w:r w:rsidRPr="00765C97">
              <w:rPr>
                <w:rFonts w:ascii="Arial" w:hAnsi="Arial" w:cs="Arial"/>
                <w:b/>
                <w:sz w:val="16"/>
                <w:szCs w:val="16"/>
                <w:lang w:val="pl-PL"/>
              </w:rPr>
              <w:t>Zysk (strata) netto przypadający na akcjonariuszy jednostki dominującej</w:t>
            </w:r>
          </w:p>
        </w:tc>
        <w:tc>
          <w:tcPr>
            <w:tcW w:w="634" w:type="dxa"/>
            <w:tcBorders>
              <w:left w:val="nil"/>
              <w:right w:val="nil"/>
            </w:tcBorders>
            <w:vAlign w:val="center"/>
          </w:tcPr>
          <w:p w:rsidR="007860C5" w:rsidRPr="00765C97" w:rsidRDefault="007860C5">
            <w:pPr>
              <w:jc w:val="center"/>
              <w:rPr>
                <w:rFonts w:ascii="Arial" w:hAnsi="Arial"/>
                <w:sz w:val="16"/>
                <w:lang w:val="pl-PL"/>
              </w:rPr>
            </w:pPr>
          </w:p>
        </w:tc>
        <w:tc>
          <w:tcPr>
            <w:tcW w:w="360" w:type="dxa"/>
            <w:tcBorders>
              <w:left w:val="nil"/>
              <w:right w:val="nil"/>
            </w:tcBorders>
            <w:vAlign w:val="center"/>
          </w:tcPr>
          <w:p w:rsidR="007860C5" w:rsidRPr="00765C97" w:rsidRDefault="007860C5">
            <w:pPr>
              <w:ind w:right="425"/>
              <w:jc w:val="right"/>
              <w:rPr>
                <w:rFonts w:ascii="Arial" w:hAnsi="Arial"/>
                <w:sz w:val="16"/>
                <w:lang w:val="pl-PL"/>
              </w:rPr>
            </w:pPr>
          </w:p>
        </w:tc>
        <w:tc>
          <w:tcPr>
            <w:tcW w:w="1260" w:type="dxa"/>
            <w:tcBorders>
              <w:left w:val="nil"/>
              <w:right w:val="nil"/>
            </w:tcBorders>
            <w:vAlign w:val="center"/>
          </w:tcPr>
          <w:p w:rsidR="007860C5" w:rsidRPr="00765C97" w:rsidRDefault="007860C5" w:rsidP="00FF7970">
            <w:pPr>
              <w:ind w:right="52"/>
              <w:jc w:val="right"/>
              <w:rPr>
                <w:rFonts w:ascii="Arial" w:hAnsi="Arial" w:cs="Arial"/>
                <w:b/>
                <w:bCs/>
                <w:sz w:val="16"/>
                <w:szCs w:val="16"/>
                <w:lang w:val="pl-PL"/>
              </w:rPr>
            </w:pPr>
            <w:r w:rsidRPr="00765C97">
              <w:rPr>
                <w:rFonts w:ascii="Arial" w:hAnsi="Arial" w:cs="Arial"/>
                <w:b/>
                <w:bCs/>
                <w:sz w:val="16"/>
                <w:szCs w:val="16"/>
                <w:lang w:val="pl-PL"/>
              </w:rPr>
              <w:t>40 660</w:t>
            </w:r>
          </w:p>
        </w:tc>
        <w:tc>
          <w:tcPr>
            <w:tcW w:w="1260" w:type="dxa"/>
            <w:tcBorders>
              <w:left w:val="nil"/>
              <w:right w:val="nil"/>
            </w:tcBorders>
            <w:vAlign w:val="center"/>
          </w:tcPr>
          <w:p w:rsidR="007860C5" w:rsidRPr="00765C97" w:rsidRDefault="007860C5" w:rsidP="00F335D5">
            <w:pPr>
              <w:ind w:right="52"/>
              <w:jc w:val="right"/>
              <w:rPr>
                <w:rFonts w:ascii="Arial" w:hAnsi="Arial" w:cs="Arial"/>
                <w:b/>
                <w:bCs/>
                <w:sz w:val="16"/>
                <w:szCs w:val="16"/>
                <w:lang w:val="pl-PL"/>
              </w:rPr>
            </w:pPr>
            <w:r w:rsidRPr="00765C97">
              <w:rPr>
                <w:rFonts w:ascii="Arial" w:hAnsi="Arial" w:cs="Arial"/>
                <w:b/>
                <w:bCs/>
                <w:sz w:val="16"/>
                <w:szCs w:val="16"/>
                <w:lang w:val="pl-PL"/>
              </w:rPr>
              <w:t>36 257</w:t>
            </w:r>
          </w:p>
        </w:tc>
      </w:tr>
      <w:tr w:rsidR="007860C5" w:rsidRPr="00765C97" w:rsidTr="006F515E">
        <w:trPr>
          <w:trHeight w:val="255"/>
        </w:trPr>
        <w:tc>
          <w:tcPr>
            <w:tcW w:w="4680" w:type="dxa"/>
            <w:tcBorders>
              <w:left w:val="nil"/>
              <w:right w:val="nil"/>
            </w:tcBorders>
            <w:vAlign w:val="center"/>
          </w:tcPr>
          <w:p w:rsidR="007860C5" w:rsidRPr="00765C97" w:rsidRDefault="007860C5" w:rsidP="007860C5">
            <w:pPr>
              <w:pStyle w:val="BalloonText1"/>
              <w:rPr>
                <w:rFonts w:ascii="Arial" w:hAnsi="Arial" w:cs="Arial"/>
                <w:lang w:val="pl-PL"/>
              </w:rPr>
            </w:pPr>
            <w:r w:rsidRPr="00765C97">
              <w:rPr>
                <w:rFonts w:ascii="Arial" w:hAnsi="Arial" w:cs="Arial"/>
                <w:lang w:val="pl-PL"/>
              </w:rPr>
              <w:t>Zysk (strata) netto przypadający udziałom niedającym kontroli</w:t>
            </w:r>
          </w:p>
        </w:tc>
        <w:tc>
          <w:tcPr>
            <w:tcW w:w="634" w:type="dxa"/>
            <w:tcBorders>
              <w:left w:val="nil"/>
              <w:right w:val="nil"/>
            </w:tcBorders>
            <w:vAlign w:val="center"/>
          </w:tcPr>
          <w:p w:rsidR="007860C5" w:rsidRPr="00765C97" w:rsidRDefault="007860C5" w:rsidP="00CD5CBD">
            <w:pPr>
              <w:jc w:val="center"/>
              <w:rPr>
                <w:rFonts w:ascii="Arial" w:hAnsi="Arial"/>
                <w:sz w:val="16"/>
                <w:lang w:val="pl-PL"/>
              </w:rPr>
            </w:pPr>
            <w:r w:rsidRPr="00765C97">
              <w:rPr>
                <w:rFonts w:ascii="Arial" w:hAnsi="Arial"/>
                <w:sz w:val="16"/>
                <w:lang w:val="pl-PL"/>
              </w:rPr>
              <w:t>3.15</w:t>
            </w:r>
          </w:p>
        </w:tc>
        <w:tc>
          <w:tcPr>
            <w:tcW w:w="360" w:type="dxa"/>
            <w:tcBorders>
              <w:left w:val="nil"/>
              <w:right w:val="nil"/>
            </w:tcBorders>
            <w:vAlign w:val="center"/>
          </w:tcPr>
          <w:p w:rsidR="007860C5" w:rsidRPr="00765C97" w:rsidRDefault="007860C5">
            <w:pPr>
              <w:ind w:right="425"/>
              <w:jc w:val="right"/>
              <w:rPr>
                <w:rFonts w:ascii="Arial" w:hAnsi="Arial"/>
                <w:sz w:val="16"/>
                <w:lang w:val="pl-PL"/>
              </w:rPr>
            </w:pPr>
          </w:p>
        </w:tc>
        <w:tc>
          <w:tcPr>
            <w:tcW w:w="1260" w:type="dxa"/>
            <w:tcBorders>
              <w:left w:val="nil"/>
              <w:bottom w:val="single" w:sz="4" w:space="0" w:color="auto"/>
              <w:right w:val="nil"/>
            </w:tcBorders>
            <w:vAlign w:val="center"/>
          </w:tcPr>
          <w:p w:rsidR="007860C5" w:rsidRPr="00765C97" w:rsidRDefault="007860C5" w:rsidP="00FF7970">
            <w:pPr>
              <w:ind w:right="52"/>
              <w:jc w:val="right"/>
              <w:rPr>
                <w:rFonts w:ascii="Arial" w:hAnsi="Arial" w:cs="Arial"/>
                <w:sz w:val="16"/>
                <w:szCs w:val="16"/>
                <w:lang w:val="pl-PL"/>
              </w:rPr>
            </w:pPr>
            <w:r w:rsidRPr="00765C97">
              <w:rPr>
                <w:rFonts w:ascii="Arial" w:hAnsi="Arial" w:cs="Arial"/>
                <w:sz w:val="16"/>
                <w:szCs w:val="16"/>
                <w:lang w:val="pl-PL"/>
              </w:rPr>
              <w:t>(3 408)</w:t>
            </w:r>
          </w:p>
        </w:tc>
        <w:tc>
          <w:tcPr>
            <w:tcW w:w="1260" w:type="dxa"/>
            <w:tcBorders>
              <w:left w:val="nil"/>
              <w:bottom w:val="single" w:sz="4" w:space="0" w:color="auto"/>
              <w:right w:val="nil"/>
            </w:tcBorders>
            <w:vAlign w:val="center"/>
          </w:tcPr>
          <w:p w:rsidR="007860C5" w:rsidRPr="00765C97" w:rsidRDefault="007860C5" w:rsidP="00F335D5">
            <w:pPr>
              <w:ind w:right="52"/>
              <w:jc w:val="right"/>
              <w:rPr>
                <w:rFonts w:ascii="Arial" w:hAnsi="Arial" w:cs="Arial"/>
                <w:sz w:val="16"/>
                <w:szCs w:val="16"/>
                <w:lang w:val="pl-PL"/>
              </w:rPr>
            </w:pPr>
            <w:r w:rsidRPr="00765C97">
              <w:rPr>
                <w:rFonts w:ascii="Arial" w:hAnsi="Arial" w:cs="Arial"/>
                <w:sz w:val="16"/>
                <w:szCs w:val="16"/>
                <w:lang w:val="pl-PL"/>
              </w:rPr>
              <w:t>(3 190)</w:t>
            </w:r>
          </w:p>
        </w:tc>
      </w:tr>
      <w:tr w:rsidR="00F335D5" w:rsidRPr="00765C97" w:rsidTr="006F515E">
        <w:trPr>
          <w:trHeight w:val="255"/>
        </w:trPr>
        <w:tc>
          <w:tcPr>
            <w:tcW w:w="4680" w:type="dxa"/>
            <w:tcBorders>
              <w:left w:val="nil"/>
              <w:right w:val="nil"/>
            </w:tcBorders>
            <w:vAlign w:val="center"/>
          </w:tcPr>
          <w:p w:rsidR="00F335D5" w:rsidRPr="00765C97" w:rsidRDefault="00F335D5">
            <w:pPr>
              <w:rPr>
                <w:rFonts w:ascii="Arial" w:hAnsi="Arial"/>
                <w:b/>
                <w:sz w:val="16"/>
                <w:lang w:val="pl-PL"/>
              </w:rPr>
            </w:pPr>
          </w:p>
        </w:tc>
        <w:tc>
          <w:tcPr>
            <w:tcW w:w="634" w:type="dxa"/>
            <w:tcBorders>
              <w:left w:val="nil"/>
              <w:right w:val="nil"/>
            </w:tcBorders>
            <w:vAlign w:val="center"/>
          </w:tcPr>
          <w:p w:rsidR="00F335D5" w:rsidRPr="00765C97" w:rsidRDefault="00F335D5">
            <w:pPr>
              <w:jc w:val="center"/>
              <w:rPr>
                <w:rFonts w:ascii="Arial" w:hAnsi="Arial"/>
                <w:sz w:val="16"/>
                <w:lang w:val="pl-PL"/>
              </w:rPr>
            </w:pPr>
          </w:p>
        </w:tc>
        <w:tc>
          <w:tcPr>
            <w:tcW w:w="360" w:type="dxa"/>
            <w:tcBorders>
              <w:left w:val="nil"/>
              <w:right w:val="nil"/>
            </w:tcBorders>
            <w:vAlign w:val="center"/>
          </w:tcPr>
          <w:p w:rsidR="00F335D5" w:rsidRPr="00765C97" w:rsidRDefault="00F335D5">
            <w:pPr>
              <w:ind w:right="425"/>
              <w:jc w:val="right"/>
              <w:rPr>
                <w:rFonts w:ascii="Arial" w:hAnsi="Arial"/>
                <w:sz w:val="16"/>
                <w:lang w:val="pl-PL"/>
              </w:rPr>
            </w:pPr>
          </w:p>
        </w:tc>
        <w:tc>
          <w:tcPr>
            <w:tcW w:w="1260" w:type="dxa"/>
            <w:tcBorders>
              <w:top w:val="single" w:sz="4" w:space="0" w:color="auto"/>
              <w:left w:val="nil"/>
              <w:bottom w:val="single" w:sz="4" w:space="0" w:color="auto"/>
              <w:right w:val="nil"/>
            </w:tcBorders>
            <w:vAlign w:val="center"/>
          </w:tcPr>
          <w:p w:rsidR="00F335D5" w:rsidRPr="00765C97" w:rsidRDefault="004B4EC1" w:rsidP="00FF7970">
            <w:pPr>
              <w:ind w:right="52"/>
              <w:jc w:val="right"/>
              <w:rPr>
                <w:rFonts w:ascii="Arial" w:hAnsi="Arial" w:cs="Arial"/>
                <w:b/>
                <w:sz w:val="16"/>
                <w:szCs w:val="16"/>
                <w:lang w:val="pl-PL"/>
              </w:rPr>
            </w:pPr>
            <w:r w:rsidRPr="00765C97">
              <w:rPr>
                <w:rFonts w:ascii="Arial" w:hAnsi="Arial" w:cs="Arial"/>
                <w:b/>
                <w:sz w:val="16"/>
                <w:szCs w:val="16"/>
                <w:lang w:val="pl-PL"/>
              </w:rPr>
              <w:t>37 252</w:t>
            </w:r>
          </w:p>
        </w:tc>
        <w:tc>
          <w:tcPr>
            <w:tcW w:w="1260" w:type="dxa"/>
            <w:tcBorders>
              <w:top w:val="single" w:sz="4" w:space="0" w:color="auto"/>
              <w:left w:val="nil"/>
              <w:bottom w:val="single" w:sz="4" w:space="0" w:color="auto"/>
              <w:right w:val="nil"/>
            </w:tcBorders>
            <w:vAlign w:val="center"/>
          </w:tcPr>
          <w:p w:rsidR="00F335D5" w:rsidRPr="00765C97" w:rsidRDefault="00F335D5" w:rsidP="00F335D5">
            <w:pPr>
              <w:ind w:right="52"/>
              <w:jc w:val="right"/>
              <w:rPr>
                <w:rFonts w:ascii="Arial" w:hAnsi="Arial" w:cs="Arial"/>
                <w:b/>
                <w:sz w:val="16"/>
                <w:szCs w:val="16"/>
                <w:lang w:val="pl-PL"/>
              </w:rPr>
            </w:pPr>
            <w:r w:rsidRPr="00765C97">
              <w:rPr>
                <w:rFonts w:ascii="Arial" w:hAnsi="Arial" w:cs="Arial"/>
                <w:b/>
                <w:sz w:val="16"/>
                <w:szCs w:val="16"/>
                <w:lang w:val="pl-PL"/>
              </w:rPr>
              <w:t>33 067</w:t>
            </w:r>
          </w:p>
        </w:tc>
      </w:tr>
      <w:tr w:rsidR="00F335D5" w:rsidRPr="00F346A4" w:rsidTr="006F515E">
        <w:trPr>
          <w:trHeight w:val="255"/>
        </w:trPr>
        <w:tc>
          <w:tcPr>
            <w:tcW w:w="4680" w:type="dxa"/>
            <w:tcBorders>
              <w:left w:val="nil"/>
              <w:right w:val="nil"/>
            </w:tcBorders>
            <w:vAlign w:val="center"/>
          </w:tcPr>
          <w:p w:rsidR="00F335D5" w:rsidRPr="00765C97" w:rsidRDefault="007860C5">
            <w:pPr>
              <w:rPr>
                <w:rFonts w:ascii="Arial" w:hAnsi="Arial"/>
                <w:b/>
                <w:sz w:val="16"/>
                <w:lang w:val="pl-PL"/>
              </w:rPr>
            </w:pPr>
            <w:r w:rsidRPr="00765C97">
              <w:rPr>
                <w:rFonts w:ascii="Arial" w:hAnsi="Arial" w:cs="Arial"/>
                <w:b/>
                <w:bCs/>
                <w:sz w:val="16"/>
                <w:szCs w:val="16"/>
                <w:lang w:val="pl-PL"/>
              </w:rPr>
              <w:t>Zysk (strata) na akcję przypadający akcjonariuszom jednostki dominującej za okres (wyrażony w zł na jedną akcję)</w:t>
            </w:r>
          </w:p>
        </w:tc>
        <w:tc>
          <w:tcPr>
            <w:tcW w:w="634" w:type="dxa"/>
            <w:tcBorders>
              <w:left w:val="nil"/>
              <w:right w:val="nil"/>
            </w:tcBorders>
            <w:vAlign w:val="center"/>
          </w:tcPr>
          <w:p w:rsidR="00F335D5" w:rsidRPr="00765C97" w:rsidRDefault="00F335D5">
            <w:pPr>
              <w:jc w:val="center"/>
              <w:rPr>
                <w:rFonts w:ascii="Arial" w:hAnsi="Arial"/>
                <w:sz w:val="16"/>
                <w:lang w:val="pl-PL"/>
              </w:rPr>
            </w:pPr>
          </w:p>
        </w:tc>
        <w:tc>
          <w:tcPr>
            <w:tcW w:w="360" w:type="dxa"/>
            <w:tcBorders>
              <w:left w:val="nil"/>
              <w:right w:val="nil"/>
            </w:tcBorders>
            <w:vAlign w:val="center"/>
          </w:tcPr>
          <w:p w:rsidR="00F335D5" w:rsidRPr="00765C97" w:rsidRDefault="00F335D5">
            <w:pPr>
              <w:ind w:right="425"/>
              <w:jc w:val="right"/>
              <w:rPr>
                <w:rFonts w:ascii="Arial" w:hAnsi="Arial"/>
                <w:sz w:val="16"/>
                <w:lang w:val="pl-PL"/>
              </w:rPr>
            </w:pPr>
          </w:p>
        </w:tc>
        <w:tc>
          <w:tcPr>
            <w:tcW w:w="1260" w:type="dxa"/>
            <w:tcBorders>
              <w:top w:val="single" w:sz="4" w:space="0" w:color="auto"/>
              <w:left w:val="nil"/>
              <w:right w:val="nil"/>
            </w:tcBorders>
            <w:vAlign w:val="center"/>
          </w:tcPr>
          <w:p w:rsidR="00F335D5" w:rsidRPr="00765C97" w:rsidRDefault="00F335D5" w:rsidP="00FF7970">
            <w:pPr>
              <w:ind w:right="52"/>
              <w:jc w:val="right"/>
              <w:rPr>
                <w:rFonts w:ascii="Arial" w:hAnsi="Arial" w:cs="Arial"/>
                <w:sz w:val="16"/>
                <w:szCs w:val="16"/>
                <w:lang w:val="pl-PL"/>
              </w:rPr>
            </w:pPr>
          </w:p>
        </w:tc>
        <w:tc>
          <w:tcPr>
            <w:tcW w:w="1260" w:type="dxa"/>
            <w:tcBorders>
              <w:top w:val="single" w:sz="4" w:space="0" w:color="auto"/>
              <w:left w:val="nil"/>
              <w:right w:val="nil"/>
            </w:tcBorders>
            <w:vAlign w:val="center"/>
          </w:tcPr>
          <w:p w:rsidR="00F335D5" w:rsidRPr="00765C97" w:rsidRDefault="00F335D5" w:rsidP="00F335D5">
            <w:pPr>
              <w:ind w:right="52"/>
              <w:jc w:val="right"/>
              <w:rPr>
                <w:rFonts w:ascii="Arial" w:hAnsi="Arial" w:cs="Arial"/>
                <w:sz w:val="16"/>
                <w:szCs w:val="16"/>
                <w:lang w:val="pl-PL"/>
              </w:rPr>
            </w:pPr>
          </w:p>
        </w:tc>
      </w:tr>
      <w:tr w:rsidR="00F335D5" w:rsidRPr="00765C97" w:rsidTr="006F515E">
        <w:trPr>
          <w:trHeight w:val="255"/>
        </w:trPr>
        <w:tc>
          <w:tcPr>
            <w:tcW w:w="4680" w:type="dxa"/>
            <w:tcBorders>
              <w:left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 podstawowy</w:t>
            </w:r>
          </w:p>
        </w:tc>
        <w:tc>
          <w:tcPr>
            <w:tcW w:w="634" w:type="dxa"/>
            <w:tcBorders>
              <w:left w:val="nil"/>
              <w:right w:val="nil"/>
            </w:tcBorders>
            <w:vAlign w:val="center"/>
          </w:tcPr>
          <w:p w:rsidR="00F335D5" w:rsidRPr="00765C97" w:rsidRDefault="00F335D5" w:rsidP="00CD5CBD">
            <w:pPr>
              <w:jc w:val="center"/>
              <w:rPr>
                <w:rFonts w:ascii="Arial" w:hAnsi="Arial"/>
                <w:sz w:val="16"/>
                <w:lang w:val="pl-PL"/>
              </w:rPr>
            </w:pPr>
            <w:r w:rsidRPr="00765C97">
              <w:rPr>
                <w:rFonts w:ascii="Arial" w:hAnsi="Arial"/>
                <w:sz w:val="16"/>
                <w:lang w:val="pl-PL"/>
              </w:rPr>
              <w:t>3.29</w:t>
            </w:r>
          </w:p>
        </w:tc>
        <w:tc>
          <w:tcPr>
            <w:tcW w:w="360" w:type="dxa"/>
            <w:tcBorders>
              <w:left w:val="nil"/>
              <w:right w:val="nil"/>
            </w:tcBorders>
            <w:vAlign w:val="center"/>
          </w:tcPr>
          <w:p w:rsidR="00F335D5" w:rsidRPr="00765C97" w:rsidRDefault="00F335D5">
            <w:pPr>
              <w:ind w:right="425"/>
              <w:jc w:val="right"/>
              <w:rPr>
                <w:rFonts w:ascii="Arial" w:hAnsi="Arial"/>
                <w:sz w:val="16"/>
                <w:lang w:val="pl-PL"/>
              </w:rPr>
            </w:pPr>
          </w:p>
        </w:tc>
        <w:tc>
          <w:tcPr>
            <w:tcW w:w="1260" w:type="dxa"/>
            <w:tcBorders>
              <w:left w:val="nil"/>
              <w:bottom w:val="single" w:sz="4" w:space="0" w:color="auto"/>
              <w:right w:val="nil"/>
            </w:tcBorders>
            <w:vAlign w:val="center"/>
          </w:tcPr>
          <w:p w:rsidR="00F335D5" w:rsidRPr="00765C97" w:rsidRDefault="005E4DF4" w:rsidP="00E42646">
            <w:pPr>
              <w:ind w:right="52"/>
              <w:jc w:val="right"/>
              <w:rPr>
                <w:rFonts w:ascii="Arial" w:hAnsi="Arial" w:cs="Arial"/>
                <w:sz w:val="16"/>
                <w:szCs w:val="16"/>
                <w:lang w:val="pl-PL"/>
              </w:rPr>
            </w:pPr>
            <w:r w:rsidRPr="00765C97">
              <w:rPr>
                <w:rFonts w:ascii="Arial" w:hAnsi="Arial" w:cs="Arial"/>
                <w:sz w:val="16"/>
                <w:szCs w:val="16"/>
                <w:lang w:val="pl-PL"/>
              </w:rPr>
              <w:t>5,05</w:t>
            </w:r>
          </w:p>
        </w:tc>
        <w:tc>
          <w:tcPr>
            <w:tcW w:w="1260" w:type="dxa"/>
            <w:tcBorders>
              <w:left w:val="nil"/>
              <w:bottom w:val="single" w:sz="4" w:space="0" w:color="auto"/>
              <w:right w:val="nil"/>
            </w:tcBorders>
            <w:vAlign w:val="center"/>
          </w:tcPr>
          <w:p w:rsidR="00F335D5" w:rsidRPr="00765C97" w:rsidRDefault="00F335D5" w:rsidP="00F335D5">
            <w:pPr>
              <w:ind w:right="52"/>
              <w:jc w:val="right"/>
              <w:rPr>
                <w:rFonts w:ascii="Arial" w:hAnsi="Arial" w:cs="Arial"/>
                <w:sz w:val="16"/>
                <w:szCs w:val="16"/>
                <w:lang w:val="pl-PL"/>
              </w:rPr>
            </w:pPr>
            <w:r w:rsidRPr="00765C97">
              <w:rPr>
                <w:rFonts w:ascii="Arial" w:hAnsi="Arial" w:cs="Arial"/>
                <w:sz w:val="16"/>
                <w:szCs w:val="16"/>
                <w:lang w:val="pl-PL"/>
              </w:rPr>
              <w:t>4,50</w:t>
            </w:r>
          </w:p>
        </w:tc>
      </w:tr>
      <w:tr w:rsidR="00F335D5" w:rsidRPr="00765C97" w:rsidTr="006F515E">
        <w:trPr>
          <w:trHeight w:val="255"/>
        </w:trPr>
        <w:tc>
          <w:tcPr>
            <w:tcW w:w="4680" w:type="dxa"/>
            <w:tcBorders>
              <w:left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 rozwodniony</w:t>
            </w:r>
          </w:p>
        </w:tc>
        <w:tc>
          <w:tcPr>
            <w:tcW w:w="634" w:type="dxa"/>
            <w:tcBorders>
              <w:left w:val="nil"/>
              <w:right w:val="nil"/>
            </w:tcBorders>
            <w:vAlign w:val="center"/>
          </w:tcPr>
          <w:p w:rsidR="00F335D5" w:rsidRPr="00765C97" w:rsidRDefault="00F335D5">
            <w:pPr>
              <w:jc w:val="center"/>
              <w:rPr>
                <w:rFonts w:ascii="Arial" w:hAnsi="Arial"/>
                <w:sz w:val="16"/>
                <w:lang w:val="pl-PL"/>
              </w:rPr>
            </w:pPr>
          </w:p>
        </w:tc>
        <w:tc>
          <w:tcPr>
            <w:tcW w:w="360" w:type="dxa"/>
            <w:tcBorders>
              <w:left w:val="nil"/>
              <w:right w:val="nil"/>
            </w:tcBorders>
            <w:vAlign w:val="center"/>
          </w:tcPr>
          <w:p w:rsidR="00F335D5" w:rsidRPr="00765C97" w:rsidRDefault="00F335D5">
            <w:pPr>
              <w:ind w:right="425"/>
              <w:jc w:val="right"/>
              <w:rPr>
                <w:rFonts w:ascii="Arial" w:hAnsi="Arial"/>
                <w:sz w:val="16"/>
                <w:lang w:val="pl-PL"/>
              </w:rPr>
            </w:pPr>
          </w:p>
        </w:tc>
        <w:tc>
          <w:tcPr>
            <w:tcW w:w="1260" w:type="dxa"/>
            <w:tcBorders>
              <w:top w:val="single" w:sz="4" w:space="0" w:color="auto"/>
              <w:left w:val="nil"/>
              <w:bottom w:val="single" w:sz="4" w:space="0" w:color="auto"/>
              <w:right w:val="nil"/>
            </w:tcBorders>
            <w:vAlign w:val="center"/>
          </w:tcPr>
          <w:p w:rsidR="00F335D5" w:rsidRPr="00765C97" w:rsidRDefault="005E4DF4" w:rsidP="00FF7970">
            <w:pPr>
              <w:ind w:right="52"/>
              <w:jc w:val="right"/>
              <w:rPr>
                <w:rFonts w:ascii="Arial" w:hAnsi="Arial" w:cs="Arial"/>
                <w:sz w:val="16"/>
                <w:szCs w:val="16"/>
                <w:lang w:val="pl-PL"/>
              </w:rPr>
            </w:pPr>
            <w:r w:rsidRPr="00765C97">
              <w:rPr>
                <w:rFonts w:ascii="Arial" w:hAnsi="Arial" w:cs="Arial"/>
                <w:sz w:val="16"/>
                <w:szCs w:val="16"/>
                <w:lang w:val="pl-PL"/>
              </w:rPr>
              <w:t>5,05</w:t>
            </w:r>
          </w:p>
        </w:tc>
        <w:tc>
          <w:tcPr>
            <w:tcW w:w="1260" w:type="dxa"/>
            <w:tcBorders>
              <w:top w:val="single" w:sz="4" w:space="0" w:color="auto"/>
              <w:left w:val="nil"/>
              <w:bottom w:val="single" w:sz="4" w:space="0" w:color="auto"/>
              <w:right w:val="nil"/>
            </w:tcBorders>
            <w:vAlign w:val="center"/>
          </w:tcPr>
          <w:p w:rsidR="00F335D5" w:rsidRPr="00765C97" w:rsidRDefault="00F335D5" w:rsidP="00F335D5">
            <w:pPr>
              <w:ind w:right="52"/>
              <w:jc w:val="right"/>
              <w:rPr>
                <w:rFonts w:ascii="Arial" w:hAnsi="Arial" w:cs="Arial"/>
                <w:sz w:val="16"/>
                <w:szCs w:val="16"/>
                <w:lang w:val="pl-PL"/>
              </w:rPr>
            </w:pPr>
            <w:r w:rsidRPr="00765C97">
              <w:rPr>
                <w:rFonts w:ascii="Arial" w:hAnsi="Arial" w:cs="Arial"/>
                <w:sz w:val="16"/>
                <w:szCs w:val="16"/>
                <w:lang w:val="pl-PL"/>
              </w:rPr>
              <w:t>4,50</w:t>
            </w:r>
          </w:p>
        </w:tc>
      </w:tr>
      <w:tr w:rsidR="009510E0" w:rsidRPr="00765C97" w:rsidTr="006F515E">
        <w:trPr>
          <w:trHeight w:val="255"/>
        </w:trPr>
        <w:tc>
          <w:tcPr>
            <w:tcW w:w="4680" w:type="dxa"/>
            <w:tcBorders>
              <w:left w:val="nil"/>
              <w:right w:val="nil"/>
            </w:tcBorders>
            <w:vAlign w:val="center"/>
          </w:tcPr>
          <w:p w:rsidR="009510E0" w:rsidRPr="00765C97" w:rsidRDefault="009510E0">
            <w:pPr>
              <w:rPr>
                <w:rFonts w:ascii="Arial" w:hAnsi="Arial"/>
                <w:sz w:val="16"/>
                <w:lang w:val="pl-PL"/>
              </w:rPr>
            </w:pPr>
          </w:p>
        </w:tc>
        <w:tc>
          <w:tcPr>
            <w:tcW w:w="634" w:type="dxa"/>
            <w:tcBorders>
              <w:left w:val="nil"/>
              <w:right w:val="nil"/>
            </w:tcBorders>
            <w:vAlign w:val="center"/>
          </w:tcPr>
          <w:p w:rsidR="009510E0" w:rsidRPr="00765C97" w:rsidRDefault="009510E0">
            <w:pPr>
              <w:jc w:val="center"/>
              <w:rPr>
                <w:rFonts w:ascii="Arial" w:hAnsi="Arial"/>
                <w:sz w:val="16"/>
                <w:lang w:val="pl-PL"/>
              </w:rPr>
            </w:pPr>
          </w:p>
        </w:tc>
        <w:tc>
          <w:tcPr>
            <w:tcW w:w="360" w:type="dxa"/>
            <w:tcBorders>
              <w:left w:val="nil"/>
              <w:right w:val="nil"/>
            </w:tcBorders>
          </w:tcPr>
          <w:p w:rsidR="009510E0" w:rsidRPr="00765C97" w:rsidRDefault="009510E0">
            <w:pPr>
              <w:ind w:right="425"/>
              <w:jc w:val="right"/>
              <w:rPr>
                <w:rFonts w:ascii="Arial" w:hAnsi="Arial"/>
                <w:sz w:val="16"/>
                <w:lang w:val="pl-PL"/>
              </w:rPr>
            </w:pPr>
          </w:p>
        </w:tc>
        <w:tc>
          <w:tcPr>
            <w:tcW w:w="1260" w:type="dxa"/>
            <w:tcBorders>
              <w:top w:val="single" w:sz="4" w:space="0" w:color="auto"/>
              <w:left w:val="nil"/>
              <w:right w:val="nil"/>
            </w:tcBorders>
          </w:tcPr>
          <w:p w:rsidR="009510E0" w:rsidRPr="00765C97" w:rsidRDefault="009510E0">
            <w:pPr>
              <w:ind w:right="274"/>
              <w:jc w:val="right"/>
              <w:rPr>
                <w:rFonts w:ascii="Arial" w:hAnsi="Arial"/>
                <w:sz w:val="16"/>
                <w:lang w:val="pl-PL"/>
              </w:rPr>
            </w:pPr>
          </w:p>
        </w:tc>
        <w:tc>
          <w:tcPr>
            <w:tcW w:w="1260" w:type="dxa"/>
            <w:tcBorders>
              <w:top w:val="single" w:sz="4" w:space="0" w:color="auto"/>
              <w:left w:val="nil"/>
              <w:right w:val="nil"/>
            </w:tcBorders>
          </w:tcPr>
          <w:p w:rsidR="009510E0" w:rsidRPr="00765C97" w:rsidRDefault="009510E0">
            <w:pPr>
              <w:ind w:right="274"/>
              <w:jc w:val="right"/>
              <w:rPr>
                <w:rFonts w:ascii="Arial" w:hAnsi="Arial"/>
                <w:sz w:val="16"/>
                <w:lang w:val="pl-PL"/>
              </w:rPr>
            </w:pPr>
          </w:p>
        </w:tc>
      </w:tr>
    </w:tbl>
    <w:p w:rsidR="00B24DA9" w:rsidRPr="00765C97" w:rsidRDefault="00B24DA9">
      <w:pPr>
        <w:rPr>
          <w:rFonts w:ascii="Arial" w:hAnsi="Arial"/>
          <w:sz w:val="16"/>
          <w:lang w:val="pl-PL"/>
        </w:rPr>
      </w:pPr>
      <w:bookmarkStart w:id="8" w:name="_Toc115093948"/>
      <w:bookmarkStart w:id="9" w:name="_Toc115094325"/>
    </w:p>
    <w:p w:rsidR="00B24DA9" w:rsidRPr="00765C97" w:rsidRDefault="00B24DA9">
      <w:pPr>
        <w:pStyle w:val="Nagwek1"/>
        <w:tabs>
          <w:tab w:val="clear" w:pos="360"/>
          <w:tab w:val="num" w:pos="720"/>
          <w:tab w:val="right" w:leader="dot" w:pos="9000"/>
        </w:tabs>
        <w:spacing w:before="480" w:after="240"/>
        <w:ind w:right="23"/>
        <w:rPr>
          <w:sz w:val="24"/>
          <w:lang w:val="pl-PL"/>
        </w:rPr>
      </w:pPr>
      <w:bookmarkStart w:id="10" w:name="_Toc255234993"/>
      <w:bookmarkStart w:id="11" w:name="_Toc353973194"/>
      <w:r w:rsidRPr="00765C97">
        <w:rPr>
          <w:sz w:val="24"/>
          <w:lang w:val="pl-PL"/>
        </w:rPr>
        <w:t>Skonsolidowane sprawozdanie z całkowitych dochodów</w:t>
      </w:r>
      <w:bookmarkEnd w:id="10"/>
      <w:bookmarkEnd w:id="11"/>
    </w:p>
    <w:tbl>
      <w:tblPr>
        <w:tblW w:w="8180" w:type="dxa"/>
        <w:jc w:val="center"/>
        <w:tblLayout w:type="fixed"/>
        <w:tblCellMar>
          <w:left w:w="0" w:type="dxa"/>
          <w:right w:w="0" w:type="dxa"/>
        </w:tblCellMar>
        <w:tblLook w:val="0000"/>
      </w:tblPr>
      <w:tblGrid>
        <w:gridCol w:w="5378"/>
        <w:gridCol w:w="283"/>
        <w:gridCol w:w="1276"/>
        <w:gridCol w:w="1243"/>
      </w:tblGrid>
      <w:tr w:rsidR="00703714" w:rsidRPr="00765C97">
        <w:trPr>
          <w:trHeight w:val="255"/>
          <w:jc w:val="center"/>
        </w:trPr>
        <w:tc>
          <w:tcPr>
            <w:tcW w:w="5378" w:type="dxa"/>
            <w:tcBorders>
              <w:left w:val="nil"/>
              <w:right w:val="nil"/>
            </w:tcBorders>
          </w:tcPr>
          <w:p w:rsidR="00703714" w:rsidRPr="00765C97" w:rsidRDefault="00703714">
            <w:pPr>
              <w:ind w:left="180"/>
              <w:rPr>
                <w:rFonts w:ascii="Arial" w:hAnsi="Arial"/>
                <w:b/>
                <w:sz w:val="16"/>
                <w:lang w:val="pl-PL"/>
              </w:rPr>
            </w:pPr>
          </w:p>
        </w:tc>
        <w:tc>
          <w:tcPr>
            <w:tcW w:w="283" w:type="dxa"/>
            <w:tcBorders>
              <w:left w:val="nil"/>
              <w:right w:val="nil"/>
            </w:tcBorders>
            <w:vAlign w:val="center"/>
          </w:tcPr>
          <w:p w:rsidR="00703714" w:rsidRPr="00765C97" w:rsidRDefault="00703714">
            <w:pPr>
              <w:ind w:right="56"/>
              <w:jc w:val="center"/>
              <w:rPr>
                <w:rFonts w:ascii="Arial" w:hAnsi="Arial"/>
                <w:sz w:val="16"/>
                <w:lang w:val="pl-PL"/>
              </w:rPr>
            </w:pPr>
          </w:p>
        </w:tc>
        <w:tc>
          <w:tcPr>
            <w:tcW w:w="1276" w:type="dxa"/>
            <w:tcBorders>
              <w:left w:val="nil"/>
              <w:right w:val="nil"/>
            </w:tcBorders>
            <w:vAlign w:val="center"/>
          </w:tcPr>
          <w:p w:rsidR="00703714" w:rsidRPr="00765C97" w:rsidRDefault="00703714" w:rsidP="003D2589">
            <w:pPr>
              <w:ind w:right="52"/>
              <w:jc w:val="right"/>
              <w:rPr>
                <w:rFonts w:ascii="Arial" w:hAnsi="Arial"/>
                <w:b/>
                <w:sz w:val="16"/>
                <w:lang w:val="pl-PL"/>
              </w:rPr>
            </w:pPr>
            <w:r w:rsidRPr="00765C97">
              <w:rPr>
                <w:rFonts w:ascii="Arial" w:hAnsi="Arial"/>
                <w:b/>
                <w:color w:val="000000"/>
                <w:sz w:val="16"/>
                <w:lang w:val="pl-PL"/>
              </w:rPr>
              <w:t>12 miesięcy 201</w:t>
            </w:r>
            <w:r w:rsidR="00F335D5" w:rsidRPr="00765C97">
              <w:rPr>
                <w:rFonts w:ascii="Arial" w:hAnsi="Arial"/>
                <w:b/>
                <w:color w:val="000000"/>
                <w:sz w:val="16"/>
                <w:lang w:val="pl-PL"/>
              </w:rPr>
              <w:t>2</w:t>
            </w:r>
          </w:p>
        </w:tc>
        <w:tc>
          <w:tcPr>
            <w:tcW w:w="1243" w:type="dxa"/>
            <w:tcBorders>
              <w:left w:val="nil"/>
              <w:right w:val="nil"/>
            </w:tcBorders>
            <w:vAlign w:val="center"/>
          </w:tcPr>
          <w:p w:rsidR="00703714" w:rsidRPr="00765C97" w:rsidRDefault="00703714" w:rsidP="003D2589">
            <w:pPr>
              <w:ind w:right="52"/>
              <w:jc w:val="right"/>
              <w:rPr>
                <w:rFonts w:ascii="Arial" w:hAnsi="Arial"/>
                <w:b/>
                <w:sz w:val="16"/>
                <w:lang w:val="pl-PL"/>
              </w:rPr>
            </w:pPr>
            <w:r w:rsidRPr="00765C97">
              <w:rPr>
                <w:rFonts w:ascii="Arial" w:hAnsi="Arial"/>
                <w:b/>
                <w:color w:val="000000"/>
                <w:sz w:val="16"/>
                <w:lang w:val="pl-PL"/>
              </w:rPr>
              <w:t>12 miesięcy 20</w:t>
            </w:r>
            <w:r w:rsidR="003D2589" w:rsidRPr="00765C97">
              <w:rPr>
                <w:rFonts w:ascii="Arial" w:hAnsi="Arial"/>
                <w:b/>
                <w:color w:val="000000"/>
                <w:sz w:val="16"/>
                <w:lang w:val="pl-PL"/>
              </w:rPr>
              <w:t>1</w:t>
            </w:r>
            <w:r w:rsidR="00F335D5" w:rsidRPr="00765C97">
              <w:rPr>
                <w:rFonts w:ascii="Arial" w:hAnsi="Arial"/>
                <w:b/>
                <w:color w:val="000000"/>
                <w:sz w:val="16"/>
                <w:lang w:val="pl-PL"/>
              </w:rPr>
              <w:t>1</w:t>
            </w:r>
          </w:p>
        </w:tc>
      </w:tr>
      <w:tr w:rsidR="00703714" w:rsidRPr="00765C97">
        <w:trPr>
          <w:trHeight w:val="255"/>
          <w:jc w:val="center"/>
        </w:trPr>
        <w:tc>
          <w:tcPr>
            <w:tcW w:w="5378" w:type="dxa"/>
            <w:tcBorders>
              <w:left w:val="nil"/>
              <w:right w:val="nil"/>
            </w:tcBorders>
            <w:vAlign w:val="center"/>
          </w:tcPr>
          <w:p w:rsidR="00703714" w:rsidRPr="00765C97" w:rsidRDefault="00703714">
            <w:pPr>
              <w:rPr>
                <w:rFonts w:ascii="Arial" w:hAnsi="Arial"/>
                <w:b/>
                <w:sz w:val="16"/>
                <w:lang w:val="pl-PL"/>
              </w:rPr>
            </w:pPr>
          </w:p>
        </w:tc>
        <w:tc>
          <w:tcPr>
            <w:tcW w:w="283" w:type="dxa"/>
            <w:tcBorders>
              <w:left w:val="nil"/>
              <w:right w:val="nil"/>
            </w:tcBorders>
            <w:vAlign w:val="center"/>
          </w:tcPr>
          <w:p w:rsidR="00703714" w:rsidRPr="00765C97" w:rsidRDefault="00703714">
            <w:pPr>
              <w:ind w:right="186"/>
              <w:jc w:val="center"/>
              <w:rPr>
                <w:rFonts w:ascii="Arial" w:hAnsi="Arial"/>
                <w:sz w:val="16"/>
                <w:lang w:val="pl-PL"/>
              </w:rPr>
            </w:pPr>
          </w:p>
        </w:tc>
        <w:tc>
          <w:tcPr>
            <w:tcW w:w="1276" w:type="dxa"/>
            <w:tcBorders>
              <w:left w:val="nil"/>
              <w:right w:val="nil"/>
            </w:tcBorders>
            <w:vAlign w:val="center"/>
          </w:tcPr>
          <w:p w:rsidR="00703714" w:rsidRPr="00765C97" w:rsidRDefault="00703714">
            <w:pPr>
              <w:ind w:right="52"/>
              <w:jc w:val="right"/>
              <w:rPr>
                <w:rFonts w:ascii="Arial" w:hAnsi="Arial"/>
                <w:b/>
                <w:sz w:val="16"/>
                <w:lang w:val="pl-PL"/>
              </w:rPr>
            </w:pPr>
          </w:p>
        </w:tc>
        <w:tc>
          <w:tcPr>
            <w:tcW w:w="1243" w:type="dxa"/>
            <w:tcBorders>
              <w:left w:val="nil"/>
              <w:right w:val="nil"/>
            </w:tcBorders>
            <w:vAlign w:val="center"/>
          </w:tcPr>
          <w:p w:rsidR="00703714" w:rsidRPr="00765C97" w:rsidRDefault="00703714" w:rsidP="004347A0">
            <w:pPr>
              <w:ind w:right="52"/>
              <w:jc w:val="right"/>
              <w:rPr>
                <w:rFonts w:ascii="Arial" w:hAnsi="Arial"/>
                <w:b/>
                <w:sz w:val="16"/>
                <w:lang w:val="pl-PL"/>
              </w:rPr>
            </w:pPr>
          </w:p>
        </w:tc>
      </w:tr>
      <w:tr w:rsidR="00F335D5" w:rsidRPr="00765C97">
        <w:trPr>
          <w:trHeight w:val="255"/>
          <w:jc w:val="center"/>
        </w:trPr>
        <w:tc>
          <w:tcPr>
            <w:tcW w:w="5378" w:type="dxa"/>
            <w:tcBorders>
              <w:left w:val="nil"/>
              <w:right w:val="nil"/>
            </w:tcBorders>
            <w:vAlign w:val="center"/>
          </w:tcPr>
          <w:p w:rsidR="00F335D5" w:rsidRPr="00765C97" w:rsidRDefault="00F335D5">
            <w:pPr>
              <w:rPr>
                <w:rFonts w:ascii="Arial" w:hAnsi="Arial"/>
                <w:b/>
                <w:sz w:val="16"/>
                <w:lang w:val="pl-PL"/>
              </w:rPr>
            </w:pPr>
            <w:r w:rsidRPr="00765C97">
              <w:rPr>
                <w:rFonts w:ascii="Arial" w:hAnsi="Arial"/>
                <w:b/>
                <w:sz w:val="16"/>
                <w:lang w:val="pl-PL"/>
              </w:rPr>
              <w:t>Zysk netto za okres</w:t>
            </w:r>
          </w:p>
        </w:tc>
        <w:tc>
          <w:tcPr>
            <w:tcW w:w="283" w:type="dxa"/>
            <w:tcBorders>
              <w:left w:val="nil"/>
              <w:right w:val="nil"/>
            </w:tcBorders>
            <w:vAlign w:val="center"/>
          </w:tcPr>
          <w:p w:rsidR="00F335D5" w:rsidRPr="00765C97" w:rsidRDefault="00F335D5">
            <w:pPr>
              <w:ind w:right="186"/>
              <w:jc w:val="center"/>
              <w:rPr>
                <w:rFonts w:ascii="Arial" w:hAnsi="Arial"/>
                <w:sz w:val="16"/>
                <w:lang w:val="pl-PL"/>
              </w:rPr>
            </w:pPr>
          </w:p>
        </w:tc>
        <w:tc>
          <w:tcPr>
            <w:tcW w:w="1276" w:type="dxa"/>
            <w:tcBorders>
              <w:left w:val="nil"/>
              <w:right w:val="nil"/>
            </w:tcBorders>
            <w:vAlign w:val="center"/>
          </w:tcPr>
          <w:p w:rsidR="00F335D5" w:rsidRPr="00765C97" w:rsidRDefault="006F1F2C" w:rsidP="00FF7970">
            <w:pPr>
              <w:ind w:right="52"/>
              <w:jc w:val="right"/>
              <w:rPr>
                <w:rFonts w:ascii="Arial" w:hAnsi="Arial" w:cs="Arial"/>
                <w:b/>
                <w:sz w:val="16"/>
                <w:szCs w:val="16"/>
                <w:lang w:val="pl-PL"/>
              </w:rPr>
            </w:pPr>
            <w:r w:rsidRPr="00765C97">
              <w:rPr>
                <w:rFonts w:ascii="Arial" w:hAnsi="Arial" w:cs="Arial"/>
                <w:b/>
                <w:sz w:val="16"/>
                <w:szCs w:val="16"/>
                <w:lang w:val="pl-PL"/>
              </w:rPr>
              <w:t>37 252</w:t>
            </w:r>
          </w:p>
        </w:tc>
        <w:tc>
          <w:tcPr>
            <w:tcW w:w="1243" w:type="dxa"/>
            <w:tcBorders>
              <w:left w:val="nil"/>
              <w:right w:val="nil"/>
            </w:tcBorders>
            <w:vAlign w:val="center"/>
          </w:tcPr>
          <w:p w:rsidR="00F335D5" w:rsidRPr="00765C97" w:rsidRDefault="00F335D5" w:rsidP="00F335D5">
            <w:pPr>
              <w:ind w:right="52"/>
              <w:jc w:val="right"/>
              <w:rPr>
                <w:rFonts w:ascii="Arial" w:hAnsi="Arial" w:cs="Arial"/>
                <w:b/>
                <w:sz w:val="16"/>
                <w:szCs w:val="16"/>
                <w:lang w:val="pl-PL"/>
              </w:rPr>
            </w:pPr>
            <w:r w:rsidRPr="00765C97">
              <w:rPr>
                <w:rFonts w:ascii="Arial" w:hAnsi="Arial" w:cs="Arial"/>
                <w:b/>
                <w:sz w:val="16"/>
                <w:szCs w:val="16"/>
                <w:lang w:val="pl-PL"/>
              </w:rPr>
              <w:t>33 067</w:t>
            </w:r>
          </w:p>
        </w:tc>
      </w:tr>
      <w:tr w:rsidR="00F335D5" w:rsidRPr="00765C97">
        <w:trPr>
          <w:trHeight w:val="255"/>
          <w:jc w:val="center"/>
        </w:trPr>
        <w:tc>
          <w:tcPr>
            <w:tcW w:w="5378" w:type="dxa"/>
            <w:tcBorders>
              <w:left w:val="nil"/>
              <w:right w:val="nil"/>
            </w:tcBorders>
            <w:vAlign w:val="center"/>
          </w:tcPr>
          <w:p w:rsidR="00F335D5" w:rsidRPr="00765C97" w:rsidRDefault="00F335D5">
            <w:pPr>
              <w:rPr>
                <w:rFonts w:ascii="Arial" w:hAnsi="Arial"/>
                <w:b/>
                <w:sz w:val="16"/>
                <w:lang w:val="pl-PL"/>
              </w:rPr>
            </w:pPr>
            <w:r w:rsidRPr="00765C97">
              <w:rPr>
                <w:rFonts w:ascii="Arial" w:hAnsi="Arial"/>
                <w:b/>
                <w:sz w:val="16"/>
                <w:lang w:val="pl-PL"/>
              </w:rPr>
              <w:t>Pozostałe dochody całkowite</w:t>
            </w:r>
          </w:p>
        </w:tc>
        <w:tc>
          <w:tcPr>
            <w:tcW w:w="283" w:type="dxa"/>
            <w:tcBorders>
              <w:left w:val="nil"/>
              <w:right w:val="nil"/>
            </w:tcBorders>
            <w:vAlign w:val="center"/>
          </w:tcPr>
          <w:p w:rsidR="00F335D5" w:rsidRPr="00765C97" w:rsidRDefault="00F335D5">
            <w:pPr>
              <w:ind w:right="186"/>
              <w:jc w:val="center"/>
              <w:rPr>
                <w:rFonts w:ascii="Arial" w:hAnsi="Arial"/>
                <w:sz w:val="16"/>
                <w:lang w:val="pl-PL"/>
              </w:rPr>
            </w:pPr>
          </w:p>
        </w:tc>
        <w:tc>
          <w:tcPr>
            <w:tcW w:w="1276" w:type="dxa"/>
            <w:tcBorders>
              <w:left w:val="nil"/>
              <w:right w:val="nil"/>
            </w:tcBorders>
            <w:vAlign w:val="center"/>
          </w:tcPr>
          <w:p w:rsidR="00F335D5" w:rsidRPr="00765C97" w:rsidRDefault="00F335D5" w:rsidP="00FF7970">
            <w:pPr>
              <w:ind w:right="52"/>
              <w:jc w:val="right"/>
              <w:rPr>
                <w:rFonts w:ascii="Arial" w:hAnsi="Arial" w:cs="Arial"/>
                <w:b/>
                <w:sz w:val="16"/>
                <w:szCs w:val="16"/>
                <w:lang w:val="pl-PL"/>
              </w:rPr>
            </w:pPr>
          </w:p>
        </w:tc>
        <w:tc>
          <w:tcPr>
            <w:tcW w:w="1243" w:type="dxa"/>
            <w:tcBorders>
              <w:left w:val="nil"/>
              <w:right w:val="nil"/>
            </w:tcBorders>
            <w:vAlign w:val="center"/>
          </w:tcPr>
          <w:p w:rsidR="00F335D5" w:rsidRPr="00765C97" w:rsidRDefault="00F335D5" w:rsidP="00F335D5">
            <w:pPr>
              <w:ind w:right="52"/>
              <w:jc w:val="right"/>
              <w:rPr>
                <w:rFonts w:ascii="Arial" w:hAnsi="Arial" w:cs="Arial"/>
                <w:b/>
                <w:sz w:val="16"/>
                <w:szCs w:val="16"/>
                <w:lang w:val="pl-PL"/>
              </w:rPr>
            </w:pPr>
          </w:p>
        </w:tc>
      </w:tr>
      <w:tr w:rsidR="00F335D5" w:rsidRPr="00765C97">
        <w:trPr>
          <w:trHeight w:val="255"/>
          <w:jc w:val="center"/>
        </w:trPr>
        <w:tc>
          <w:tcPr>
            <w:tcW w:w="5378" w:type="dxa"/>
            <w:tcBorders>
              <w:left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Różnice kursowe z przeliczenia jednostek podporządkowanych</w:t>
            </w:r>
          </w:p>
        </w:tc>
        <w:tc>
          <w:tcPr>
            <w:tcW w:w="283" w:type="dxa"/>
            <w:tcBorders>
              <w:left w:val="nil"/>
              <w:right w:val="nil"/>
            </w:tcBorders>
            <w:vAlign w:val="center"/>
          </w:tcPr>
          <w:p w:rsidR="00F335D5" w:rsidRPr="00765C97" w:rsidRDefault="00F335D5">
            <w:pPr>
              <w:ind w:right="186"/>
              <w:jc w:val="center"/>
              <w:rPr>
                <w:rFonts w:ascii="Arial" w:hAnsi="Arial"/>
                <w:sz w:val="16"/>
                <w:lang w:val="pl-PL"/>
              </w:rPr>
            </w:pPr>
          </w:p>
        </w:tc>
        <w:tc>
          <w:tcPr>
            <w:tcW w:w="1276" w:type="dxa"/>
            <w:tcBorders>
              <w:left w:val="nil"/>
              <w:right w:val="nil"/>
            </w:tcBorders>
            <w:vAlign w:val="center"/>
          </w:tcPr>
          <w:p w:rsidR="00F335D5" w:rsidRPr="00765C97" w:rsidRDefault="007860C5" w:rsidP="00D22DEA">
            <w:pPr>
              <w:jc w:val="right"/>
              <w:rPr>
                <w:rFonts w:ascii="Arial" w:hAnsi="Arial" w:cs="Arial"/>
                <w:sz w:val="16"/>
                <w:szCs w:val="16"/>
                <w:lang w:val="pl-PL"/>
              </w:rPr>
            </w:pPr>
            <w:r w:rsidRPr="00765C97">
              <w:rPr>
                <w:rFonts w:ascii="Arial" w:hAnsi="Arial" w:cs="Arial"/>
                <w:sz w:val="16"/>
                <w:szCs w:val="16"/>
                <w:lang w:val="pl-PL"/>
              </w:rPr>
              <w:t>(3 557)</w:t>
            </w:r>
          </w:p>
        </w:tc>
        <w:tc>
          <w:tcPr>
            <w:tcW w:w="1243" w:type="dxa"/>
            <w:tcBorders>
              <w:left w:val="nil"/>
              <w:right w:val="nil"/>
            </w:tcBorders>
            <w:vAlign w:val="center"/>
          </w:tcPr>
          <w:p w:rsidR="00F335D5" w:rsidRPr="00765C97" w:rsidRDefault="00F335D5" w:rsidP="00F335D5">
            <w:pPr>
              <w:jc w:val="right"/>
              <w:rPr>
                <w:rFonts w:ascii="Arial" w:hAnsi="Arial" w:cs="Arial"/>
                <w:sz w:val="16"/>
                <w:szCs w:val="16"/>
              </w:rPr>
            </w:pPr>
            <w:r w:rsidRPr="00765C97">
              <w:rPr>
                <w:rFonts w:ascii="Arial" w:hAnsi="Arial" w:cs="Arial"/>
                <w:sz w:val="16"/>
                <w:szCs w:val="16"/>
              </w:rPr>
              <w:t>(3 380)</w:t>
            </w:r>
          </w:p>
        </w:tc>
      </w:tr>
      <w:tr w:rsidR="00F335D5" w:rsidRPr="00765C97">
        <w:trPr>
          <w:trHeight w:val="255"/>
          <w:jc w:val="center"/>
        </w:trPr>
        <w:tc>
          <w:tcPr>
            <w:tcW w:w="5378" w:type="dxa"/>
            <w:tcBorders>
              <w:left w:val="nil"/>
              <w:right w:val="nil"/>
            </w:tcBorders>
            <w:vAlign w:val="center"/>
          </w:tcPr>
          <w:p w:rsidR="00F335D5" w:rsidRPr="00765C97" w:rsidRDefault="00F335D5">
            <w:pPr>
              <w:rPr>
                <w:rFonts w:ascii="Arial" w:hAnsi="Arial"/>
                <w:b/>
                <w:sz w:val="16"/>
                <w:lang w:val="pl-PL"/>
              </w:rPr>
            </w:pPr>
            <w:r w:rsidRPr="00765C97">
              <w:rPr>
                <w:rFonts w:ascii="Arial" w:hAnsi="Arial"/>
                <w:b/>
                <w:sz w:val="16"/>
                <w:lang w:val="pl-PL"/>
              </w:rPr>
              <w:t>Razem pozostałe dochody całkowite</w:t>
            </w:r>
          </w:p>
        </w:tc>
        <w:tc>
          <w:tcPr>
            <w:tcW w:w="283" w:type="dxa"/>
            <w:tcBorders>
              <w:left w:val="nil"/>
              <w:right w:val="nil"/>
            </w:tcBorders>
            <w:vAlign w:val="center"/>
          </w:tcPr>
          <w:p w:rsidR="00F335D5" w:rsidRPr="00765C97" w:rsidRDefault="00F335D5">
            <w:pPr>
              <w:ind w:right="186"/>
              <w:jc w:val="center"/>
              <w:rPr>
                <w:rFonts w:ascii="Arial" w:hAnsi="Arial"/>
                <w:sz w:val="16"/>
                <w:lang w:val="pl-PL"/>
              </w:rPr>
            </w:pPr>
          </w:p>
        </w:tc>
        <w:tc>
          <w:tcPr>
            <w:tcW w:w="1276" w:type="dxa"/>
            <w:tcBorders>
              <w:left w:val="nil"/>
              <w:right w:val="nil"/>
            </w:tcBorders>
            <w:vAlign w:val="center"/>
          </w:tcPr>
          <w:p w:rsidR="00F335D5" w:rsidRPr="00765C97" w:rsidRDefault="007860C5" w:rsidP="00D22DEA">
            <w:pPr>
              <w:jc w:val="right"/>
              <w:rPr>
                <w:rFonts w:ascii="Arial" w:hAnsi="Arial" w:cs="Arial"/>
                <w:b/>
                <w:sz w:val="16"/>
                <w:szCs w:val="16"/>
              </w:rPr>
            </w:pPr>
            <w:r w:rsidRPr="00765C97">
              <w:rPr>
                <w:rFonts w:ascii="Arial" w:hAnsi="Arial" w:cs="Arial"/>
                <w:b/>
                <w:sz w:val="16"/>
                <w:szCs w:val="16"/>
              </w:rPr>
              <w:t>(3 557)</w:t>
            </w:r>
          </w:p>
        </w:tc>
        <w:tc>
          <w:tcPr>
            <w:tcW w:w="1243" w:type="dxa"/>
            <w:tcBorders>
              <w:left w:val="nil"/>
              <w:right w:val="nil"/>
            </w:tcBorders>
            <w:vAlign w:val="center"/>
          </w:tcPr>
          <w:p w:rsidR="00F335D5" w:rsidRPr="00765C97" w:rsidRDefault="00F335D5" w:rsidP="00F335D5">
            <w:pPr>
              <w:jc w:val="right"/>
              <w:rPr>
                <w:rFonts w:ascii="Arial" w:hAnsi="Arial" w:cs="Arial"/>
                <w:b/>
                <w:sz w:val="16"/>
                <w:szCs w:val="16"/>
              </w:rPr>
            </w:pPr>
            <w:r w:rsidRPr="00765C97">
              <w:rPr>
                <w:rFonts w:ascii="Arial" w:hAnsi="Arial" w:cs="Arial"/>
                <w:b/>
                <w:sz w:val="16"/>
                <w:szCs w:val="16"/>
              </w:rPr>
              <w:t>(3 380)</w:t>
            </w:r>
          </w:p>
        </w:tc>
      </w:tr>
      <w:tr w:rsidR="00F335D5" w:rsidRPr="00765C97">
        <w:trPr>
          <w:trHeight w:val="255"/>
          <w:jc w:val="center"/>
        </w:trPr>
        <w:tc>
          <w:tcPr>
            <w:tcW w:w="5378" w:type="dxa"/>
            <w:tcBorders>
              <w:left w:val="nil"/>
              <w:right w:val="nil"/>
            </w:tcBorders>
            <w:vAlign w:val="center"/>
          </w:tcPr>
          <w:p w:rsidR="00F335D5" w:rsidRPr="00765C97" w:rsidRDefault="00F335D5">
            <w:pPr>
              <w:rPr>
                <w:rFonts w:ascii="Arial" w:hAnsi="Arial"/>
                <w:b/>
                <w:sz w:val="16"/>
                <w:lang w:val="pl-PL"/>
              </w:rPr>
            </w:pPr>
          </w:p>
        </w:tc>
        <w:tc>
          <w:tcPr>
            <w:tcW w:w="283" w:type="dxa"/>
            <w:tcBorders>
              <w:left w:val="nil"/>
              <w:right w:val="nil"/>
            </w:tcBorders>
            <w:vAlign w:val="center"/>
          </w:tcPr>
          <w:p w:rsidR="00F335D5" w:rsidRPr="00765C97" w:rsidRDefault="00F335D5">
            <w:pPr>
              <w:ind w:right="186"/>
              <w:jc w:val="center"/>
              <w:rPr>
                <w:rFonts w:ascii="Arial" w:hAnsi="Arial"/>
                <w:sz w:val="16"/>
                <w:lang w:val="pl-PL"/>
              </w:rPr>
            </w:pPr>
          </w:p>
        </w:tc>
        <w:tc>
          <w:tcPr>
            <w:tcW w:w="1276" w:type="dxa"/>
            <w:tcBorders>
              <w:left w:val="nil"/>
              <w:right w:val="nil"/>
            </w:tcBorders>
            <w:vAlign w:val="center"/>
          </w:tcPr>
          <w:p w:rsidR="00F335D5" w:rsidRPr="00765C97" w:rsidRDefault="00F335D5" w:rsidP="00FF7970">
            <w:pPr>
              <w:ind w:right="52"/>
              <w:jc w:val="right"/>
              <w:rPr>
                <w:rFonts w:ascii="Arial" w:hAnsi="Arial" w:cs="Arial"/>
                <w:b/>
                <w:sz w:val="16"/>
                <w:szCs w:val="16"/>
                <w:lang w:val="pl-PL"/>
              </w:rPr>
            </w:pPr>
          </w:p>
        </w:tc>
        <w:tc>
          <w:tcPr>
            <w:tcW w:w="1243" w:type="dxa"/>
            <w:tcBorders>
              <w:left w:val="nil"/>
              <w:right w:val="nil"/>
            </w:tcBorders>
            <w:vAlign w:val="center"/>
          </w:tcPr>
          <w:p w:rsidR="00F335D5" w:rsidRPr="00765C97" w:rsidRDefault="00F335D5" w:rsidP="00F335D5">
            <w:pPr>
              <w:ind w:right="52"/>
              <w:jc w:val="right"/>
              <w:rPr>
                <w:rFonts w:ascii="Arial" w:hAnsi="Arial" w:cs="Arial"/>
                <w:b/>
                <w:sz w:val="16"/>
                <w:szCs w:val="16"/>
                <w:lang w:val="pl-PL"/>
              </w:rPr>
            </w:pPr>
          </w:p>
        </w:tc>
      </w:tr>
      <w:tr w:rsidR="00F335D5" w:rsidRPr="00765C97">
        <w:trPr>
          <w:trHeight w:val="299"/>
          <w:jc w:val="center"/>
        </w:trPr>
        <w:tc>
          <w:tcPr>
            <w:tcW w:w="5378" w:type="dxa"/>
            <w:tcBorders>
              <w:left w:val="nil"/>
              <w:right w:val="nil"/>
            </w:tcBorders>
            <w:vAlign w:val="center"/>
          </w:tcPr>
          <w:p w:rsidR="00F335D5" w:rsidRPr="00765C97" w:rsidRDefault="00F335D5">
            <w:pPr>
              <w:rPr>
                <w:rFonts w:ascii="Arial" w:hAnsi="Arial"/>
                <w:b/>
                <w:sz w:val="16"/>
                <w:lang w:val="pl-PL"/>
              </w:rPr>
            </w:pPr>
            <w:r w:rsidRPr="00765C97">
              <w:rPr>
                <w:rFonts w:ascii="Arial" w:hAnsi="Arial"/>
                <w:b/>
                <w:sz w:val="16"/>
                <w:lang w:val="pl-PL"/>
              </w:rPr>
              <w:t>Suma dochodów całkowitych za okres</w:t>
            </w:r>
          </w:p>
        </w:tc>
        <w:tc>
          <w:tcPr>
            <w:tcW w:w="283" w:type="dxa"/>
            <w:tcBorders>
              <w:left w:val="nil"/>
              <w:right w:val="nil"/>
            </w:tcBorders>
            <w:vAlign w:val="center"/>
          </w:tcPr>
          <w:p w:rsidR="00F335D5" w:rsidRPr="00765C97" w:rsidRDefault="00F335D5">
            <w:pPr>
              <w:ind w:right="186"/>
              <w:jc w:val="center"/>
              <w:rPr>
                <w:rFonts w:ascii="Arial" w:hAnsi="Arial"/>
                <w:sz w:val="16"/>
                <w:lang w:val="pl-PL"/>
              </w:rPr>
            </w:pPr>
          </w:p>
        </w:tc>
        <w:tc>
          <w:tcPr>
            <w:tcW w:w="1276" w:type="dxa"/>
            <w:tcBorders>
              <w:left w:val="nil"/>
              <w:right w:val="nil"/>
            </w:tcBorders>
            <w:vAlign w:val="center"/>
          </w:tcPr>
          <w:p w:rsidR="00F335D5" w:rsidRPr="00765C97" w:rsidRDefault="007860C5" w:rsidP="00FF7970">
            <w:pPr>
              <w:ind w:right="52"/>
              <w:jc w:val="right"/>
              <w:rPr>
                <w:rFonts w:ascii="Arial" w:hAnsi="Arial" w:cs="Arial"/>
                <w:b/>
                <w:sz w:val="16"/>
                <w:szCs w:val="16"/>
                <w:lang w:val="pl-PL"/>
              </w:rPr>
            </w:pPr>
            <w:r w:rsidRPr="00765C97">
              <w:rPr>
                <w:rFonts w:ascii="Arial" w:hAnsi="Arial" w:cs="Arial"/>
                <w:b/>
                <w:sz w:val="16"/>
                <w:szCs w:val="16"/>
                <w:lang w:val="pl-PL"/>
              </w:rPr>
              <w:t>33 695</w:t>
            </w:r>
          </w:p>
        </w:tc>
        <w:tc>
          <w:tcPr>
            <w:tcW w:w="1243" w:type="dxa"/>
            <w:tcBorders>
              <w:left w:val="nil"/>
              <w:right w:val="nil"/>
            </w:tcBorders>
            <w:vAlign w:val="center"/>
          </w:tcPr>
          <w:p w:rsidR="00F335D5" w:rsidRPr="00765C97" w:rsidRDefault="00F335D5" w:rsidP="00F335D5">
            <w:pPr>
              <w:ind w:right="52"/>
              <w:jc w:val="right"/>
              <w:rPr>
                <w:rFonts w:ascii="Arial" w:hAnsi="Arial" w:cs="Arial"/>
                <w:b/>
                <w:sz w:val="16"/>
                <w:szCs w:val="16"/>
                <w:lang w:val="pl-PL"/>
              </w:rPr>
            </w:pPr>
            <w:r w:rsidRPr="00765C97">
              <w:rPr>
                <w:rFonts w:ascii="Arial" w:hAnsi="Arial" w:cs="Arial"/>
                <w:b/>
                <w:sz w:val="16"/>
                <w:szCs w:val="16"/>
                <w:lang w:val="pl-PL"/>
              </w:rPr>
              <w:t>29 687</w:t>
            </w:r>
          </w:p>
        </w:tc>
      </w:tr>
      <w:tr w:rsidR="007860C5" w:rsidRPr="00765C97">
        <w:trPr>
          <w:trHeight w:val="299"/>
          <w:jc w:val="center"/>
        </w:trPr>
        <w:tc>
          <w:tcPr>
            <w:tcW w:w="5378" w:type="dxa"/>
            <w:tcBorders>
              <w:left w:val="nil"/>
              <w:right w:val="nil"/>
            </w:tcBorders>
            <w:vAlign w:val="center"/>
          </w:tcPr>
          <w:p w:rsidR="007860C5" w:rsidRPr="00765C97" w:rsidRDefault="007860C5" w:rsidP="007860C5">
            <w:pPr>
              <w:rPr>
                <w:rFonts w:ascii="Arial" w:hAnsi="Arial" w:cs="Arial"/>
                <w:bCs/>
                <w:sz w:val="16"/>
                <w:szCs w:val="16"/>
                <w:lang w:val="pl-PL"/>
              </w:rPr>
            </w:pPr>
            <w:r w:rsidRPr="00765C97">
              <w:rPr>
                <w:rFonts w:ascii="Arial" w:hAnsi="Arial" w:cs="Arial"/>
                <w:sz w:val="16"/>
                <w:szCs w:val="16"/>
                <w:lang w:val="pl-PL"/>
              </w:rPr>
              <w:t>przypadających akcjonariuszom jednostki dominującej</w:t>
            </w:r>
          </w:p>
        </w:tc>
        <w:tc>
          <w:tcPr>
            <w:tcW w:w="283" w:type="dxa"/>
            <w:tcBorders>
              <w:left w:val="nil"/>
              <w:right w:val="nil"/>
            </w:tcBorders>
            <w:vAlign w:val="center"/>
          </w:tcPr>
          <w:p w:rsidR="007860C5" w:rsidRPr="00765C97" w:rsidRDefault="007860C5">
            <w:pPr>
              <w:ind w:right="186"/>
              <w:jc w:val="center"/>
              <w:rPr>
                <w:rFonts w:ascii="Arial" w:hAnsi="Arial"/>
                <w:sz w:val="16"/>
                <w:lang w:val="pl-PL"/>
              </w:rPr>
            </w:pPr>
          </w:p>
        </w:tc>
        <w:tc>
          <w:tcPr>
            <w:tcW w:w="1276" w:type="dxa"/>
            <w:tcBorders>
              <w:left w:val="nil"/>
              <w:right w:val="nil"/>
            </w:tcBorders>
            <w:vAlign w:val="center"/>
          </w:tcPr>
          <w:p w:rsidR="007860C5" w:rsidRPr="00765C97" w:rsidRDefault="007860C5" w:rsidP="00FF7970">
            <w:pPr>
              <w:ind w:right="52"/>
              <w:jc w:val="right"/>
              <w:rPr>
                <w:rFonts w:ascii="Arial" w:hAnsi="Arial" w:cs="Arial"/>
                <w:sz w:val="16"/>
                <w:szCs w:val="16"/>
                <w:lang w:val="pl-PL"/>
              </w:rPr>
            </w:pPr>
            <w:r w:rsidRPr="00765C97">
              <w:rPr>
                <w:rFonts w:ascii="Arial" w:hAnsi="Arial" w:cs="Arial"/>
                <w:sz w:val="16"/>
                <w:szCs w:val="16"/>
                <w:lang w:val="pl-PL"/>
              </w:rPr>
              <w:t>37 155</w:t>
            </w:r>
          </w:p>
        </w:tc>
        <w:tc>
          <w:tcPr>
            <w:tcW w:w="1243" w:type="dxa"/>
            <w:tcBorders>
              <w:left w:val="nil"/>
              <w:right w:val="nil"/>
            </w:tcBorders>
            <w:vAlign w:val="center"/>
          </w:tcPr>
          <w:p w:rsidR="007860C5" w:rsidRPr="00765C97" w:rsidRDefault="007860C5" w:rsidP="00F335D5">
            <w:pPr>
              <w:ind w:right="52"/>
              <w:jc w:val="right"/>
              <w:rPr>
                <w:rFonts w:ascii="Arial" w:hAnsi="Arial" w:cs="Arial"/>
                <w:sz w:val="16"/>
                <w:szCs w:val="16"/>
                <w:lang w:val="pl-PL"/>
              </w:rPr>
            </w:pPr>
            <w:r w:rsidRPr="00765C97">
              <w:rPr>
                <w:rFonts w:ascii="Arial" w:hAnsi="Arial" w:cs="Arial"/>
                <w:sz w:val="16"/>
                <w:szCs w:val="16"/>
                <w:lang w:val="pl-PL"/>
              </w:rPr>
              <w:t>32 794</w:t>
            </w:r>
          </w:p>
        </w:tc>
      </w:tr>
      <w:tr w:rsidR="007860C5" w:rsidRPr="00765C97">
        <w:trPr>
          <w:trHeight w:val="299"/>
          <w:jc w:val="center"/>
        </w:trPr>
        <w:tc>
          <w:tcPr>
            <w:tcW w:w="5378" w:type="dxa"/>
            <w:tcBorders>
              <w:left w:val="nil"/>
              <w:right w:val="nil"/>
            </w:tcBorders>
            <w:vAlign w:val="center"/>
          </w:tcPr>
          <w:p w:rsidR="007860C5" w:rsidRPr="00765C97" w:rsidRDefault="007860C5" w:rsidP="007860C5">
            <w:pPr>
              <w:rPr>
                <w:rFonts w:ascii="Arial" w:hAnsi="Arial" w:cs="Arial"/>
                <w:bCs/>
                <w:sz w:val="16"/>
                <w:szCs w:val="16"/>
                <w:lang w:val="pl-PL"/>
              </w:rPr>
            </w:pPr>
            <w:r w:rsidRPr="00765C97">
              <w:rPr>
                <w:rFonts w:ascii="Arial" w:hAnsi="Arial" w:cs="Arial"/>
                <w:sz w:val="16"/>
                <w:szCs w:val="16"/>
                <w:lang w:val="pl-PL"/>
              </w:rPr>
              <w:t>przypadających udziałom niedającym kontroli</w:t>
            </w:r>
          </w:p>
        </w:tc>
        <w:tc>
          <w:tcPr>
            <w:tcW w:w="283" w:type="dxa"/>
            <w:tcBorders>
              <w:left w:val="nil"/>
              <w:right w:val="nil"/>
            </w:tcBorders>
            <w:vAlign w:val="center"/>
          </w:tcPr>
          <w:p w:rsidR="007860C5" w:rsidRPr="00765C97" w:rsidRDefault="007860C5">
            <w:pPr>
              <w:ind w:right="186"/>
              <w:jc w:val="center"/>
              <w:rPr>
                <w:rFonts w:ascii="Arial" w:hAnsi="Arial"/>
                <w:sz w:val="16"/>
                <w:lang w:val="pl-PL"/>
              </w:rPr>
            </w:pPr>
          </w:p>
        </w:tc>
        <w:tc>
          <w:tcPr>
            <w:tcW w:w="1276" w:type="dxa"/>
            <w:tcBorders>
              <w:left w:val="nil"/>
              <w:right w:val="nil"/>
            </w:tcBorders>
            <w:vAlign w:val="center"/>
          </w:tcPr>
          <w:p w:rsidR="007860C5" w:rsidRPr="00765C97" w:rsidRDefault="007860C5" w:rsidP="00D22DEA">
            <w:pPr>
              <w:ind w:right="52"/>
              <w:jc w:val="right"/>
              <w:rPr>
                <w:rFonts w:ascii="Arial" w:hAnsi="Arial" w:cs="Arial"/>
                <w:sz w:val="16"/>
                <w:szCs w:val="16"/>
                <w:lang w:val="pl-PL"/>
              </w:rPr>
            </w:pPr>
            <w:r w:rsidRPr="00765C97">
              <w:rPr>
                <w:rFonts w:ascii="Arial" w:hAnsi="Arial" w:cs="Arial"/>
                <w:sz w:val="16"/>
                <w:szCs w:val="16"/>
                <w:lang w:val="pl-PL"/>
              </w:rPr>
              <w:t>(3 460)</w:t>
            </w:r>
          </w:p>
        </w:tc>
        <w:tc>
          <w:tcPr>
            <w:tcW w:w="1243" w:type="dxa"/>
            <w:tcBorders>
              <w:left w:val="nil"/>
              <w:right w:val="nil"/>
            </w:tcBorders>
            <w:vAlign w:val="center"/>
          </w:tcPr>
          <w:p w:rsidR="007860C5" w:rsidRPr="00765C97" w:rsidRDefault="007860C5" w:rsidP="00F335D5">
            <w:pPr>
              <w:ind w:right="52"/>
              <w:jc w:val="right"/>
              <w:rPr>
                <w:rFonts w:ascii="Arial" w:hAnsi="Arial" w:cs="Arial"/>
                <w:sz w:val="16"/>
                <w:szCs w:val="16"/>
                <w:lang w:val="pl-PL"/>
              </w:rPr>
            </w:pPr>
            <w:r w:rsidRPr="00765C97">
              <w:rPr>
                <w:rFonts w:ascii="Arial" w:hAnsi="Arial" w:cs="Arial"/>
                <w:sz w:val="16"/>
                <w:szCs w:val="16"/>
                <w:lang w:val="pl-PL"/>
              </w:rPr>
              <w:t>(3 107)</w:t>
            </w:r>
          </w:p>
        </w:tc>
      </w:tr>
    </w:tbl>
    <w:p w:rsidR="00B24DA9" w:rsidRPr="00765C97" w:rsidRDefault="00B24DA9">
      <w:pPr>
        <w:pStyle w:val="Nagwek1"/>
        <w:tabs>
          <w:tab w:val="right" w:leader="dot" w:pos="9000"/>
        </w:tabs>
        <w:spacing w:before="480" w:after="240"/>
        <w:ind w:right="23"/>
        <w:rPr>
          <w:sz w:val="24"/>
          <w:lang w:val="pl-PL"/>
        </w:rPr>
      </w:pPr>
      <w:r w:rsidRPr="00765C97">
        <w:rPr>
          <w:b w:val="0"/>
          <w:lang w:val="pl-PL"/>
        </w:rPr>
        <w:br w:type="page"/>
      </w:r>
      <w:bookmarkStart w:id="12" w:name="_Toc353973195"/>
      <w:r w:rsidRPr="00765C97">
        <w:rPr>
          <w:sz w:val="24"/>
          <w:lang w:val="pl-PL"/>
        </w:rPr>
        <w:lastRenderedPageBreak/>
        <w:t>Skonsolidowane zestawienie zmian w kapitale własnym</w:t>
      </w:r>
      <w:bookmarkEnd w:id="8"/>
      <w:bookmarkEnd w:id="9"/>
      <w:bookmarkEnd w:id="12"/>
    </w:p>
    <w:tbl>
      <w:tblPr>
        <w:tblW w:w="8568" w:type="dxa"/>
        <w:tblInd w:w="142" w:type="dxa"/>
        <w:tblLayout w:type="fixed"/>
        <w:tblCellMar>
          <w:left w:w="0" w:type="dxa"/>
          <w:right w:w="0" w:type="dxa"/>
        </w:tblCellMar>
        <w:tblLook w:val="0000"/>
      </w:tblPr>
      <w:tblGrid>
        <w:gridCol w:w="2378"/>
        <w:gridCol w:w="900"/>
        <w:gridCol w:w="833"/>
        <w:gridCol w:w="709"/>
        <w:gridCol w:w="708"/>
        <w:gridCol w:w="1186"/>
        <w:gridCol w:w="1134"/>
        <w:gridCol w:w="720"/>
      </w:tblGrid>
      <w:tr w:rsidR="00B24DA9" w:rsidRPr="00765C97" w:rsidTr="007860C5">
        <w:trPr>
          <w:cantSplit/>
          <w:trHeight w:val="255"/>
        </w:trPr>
        <w:tc>
          <w:tcPr>
            <w:tcW w:w="2378" w:type="dxa"/>
            <w:tcBorders>
              <w:top w:val="nil"/>
              <w:left w:val="nil"/>
              <w:bottom w:val="nil"/>
              <w:right w:val="nil"/>
            </w:tcBorders>
            <w:vAlign w:val="center"/>
          </w:tcPr>
          <w:p w:rsidR="00B24DA9" w:rsidRPr="00765C97" w:rsidRDefault="00B24DA9">
            <w:pPr>
              <w:rPr>
                <w:rFonts w:ascii="Arial" w:hAnsi="Arial"/>
                <w:lang w:val="pl-PL"/>
              </w:rPr>
            </w:pPr>
          </w:p>
        </w:tc>
        <w:tc>
          <w:tcPr>
            <w:tcW w:w="4336" w:type="dxa"/>
            <w:gridSpan w:val="5"/>
            <w:tcBorders>
              <w:top w:val="nil"/>
              <w:left w:val="nil"/>
              <w:bottom w:val="single" w:sz="2" w:space="0" w:color="auto"/>
              <w:right w:val="nil"/>
            </w:tcBorders>
            <w:vAlign w:val="center"/>
          </w:tcPr>
          <w:p w:rsidR="00B24DA9" w:rsidRPr="00765C97" w:rsidRDefault="00B24DA9">
            <w:pPr>
              <w:ind w:right="57"/>
              <w:jc w:val="center"/>
              <w:rPr>
                <w:rFonts w:ascii="Arial" w:hAnsi="Arial"/>
                <w:b/>
                <w:sz w:val="16"/>
                <w:lang w:val="pl-PL"/>
              </w:rPr>
            </w:pPr>
            <w:r w:rsidRPr="00765C97">
              <w:rPr>
                <w:rFonts w:ascii="Arial" w:hAnsi="Arial"/>
                <w:b/>
                <w:sz w:val="16"/>
                <w:lang w:val="pl-PL"/>
              </w:rPr>
              <w:t xml:space="preserve">Przypadające </w:t>
            </w:r>
            <w:r w:rsidR="003B48FC" w:rsidRPr="00765C97">
              <w:rPr>
                <w:rFonts w:ascii="Arial" w:hAnsi="Arial"/>
                <w:b/>
                <w:sz w:val="16"/>
                <w:lang w:val="pl-PL"/>
              </w:rPr>
              <w:t xml:space="preserve">na </w:t>
            </w:r>
            <w:r w:rsidR="007860C5" w:rsidRPr="00765C97">
              <w:rPr>
                <w:rFonts w:ascii="Arial" w:hAnsi="Arial" w:cs="Arial"/>
                <w:b/>
                <w:bCs/>
                <w:sz w:val="16"/>
                <w:szCs w:val="16"/>
                <w:lang w:val="pl-PL"/>
              </w:rPr>
              <w:t>akcjonariuszy jednostki dominującej</w:t>
            </w:r>
          </w:p>
        </w:tc>
        <w:tc>
          <w:tcPr>
            <w:tcW w:w="1134" w:type="dxa"/>
            <w:vMerge w:val="restart"/>
            <w:tcBorders>
              <w:top w:val="nil"/>
              <w:left w:val="nil"/>
              <w:right w:val="nil"/>
            </w:tcBorders>
            <w:vAlign w:val="center"/>
          </w:tcPr>
          <w:p w:rsidR="00B24DA9" w:rsidRPr="00765C97" w:rsidRDefault="007860C5" w:rsidP="007860C5">
            <w:pPr>
              <w:jc w:val="right"/>
              <w:rPr>
                <w:rFonts w:ascii="Arial" w:hAnsi="Arial"/>
                <w:b/>
                <w:spacing w:val="-3"/>
                <w:sz w:val="16"/>
                <w:lang w:val="pl-PL"/>
              </w:rPr>
            </w:pPr>
            <w:r w:rsidRPr="00765C97">
              <w:rPr>
                <w:rFonts w:ascii="Arial" w:hAnsi="Arial" w:cs="Arial"/>
                <w:b/>
                <w:bCs/>
                <w:color w:val="000000"/>
                <w:sz w:val="16"/>
                <w:szCs w:val="16"/>
                <w:lang w:val="pl-PL"/>
              </w:rPr>
              <w:t>Kapitały przypadające udziałom niedającym kontroli</w:t>
            </w:r>
          </w:p>
        </w:tc>
        <w:tc>
          <w:tcPr>
            <w:tcW w:w="720" w:type="dxa"/>
            <w:vMerge w:val="restart"/>
            <w:tcBorders>
              <w:top w:val="nil"/>
              <w:left w:val="nil"/>
              <w:right w:val="nil"/>
            </w:tcBorders>
            <w:vAlign w:val="center"/>
          </w:tcPr>
          <w:p w:rsidR="00B24DA9" w:rsidRPr="00765C97" w:rsidRDefault="00B24DA9" w:rsidP="007860C5">
            <w:pPr>
              <w:ind w:right="57"/>
              <w:jc w:val="right"/>
              <w:rPr>
                <w:rFonts w:ascii="Arial" w:hAnsi="Arial"/>
                <w:b/>
                <w:sz w:val="16"/>
                <w:lang w:val="pl-PL"/>
              </w:rPr>
            </w:pPr>
            <w:r w:rsidRPr="00765C97">
              <w:rPr>
                <w:rFonts w:ascii="Arial" w:hAnsi="Arial"/>
                <w:b/>
                <w:sz w:val="16"/>
                <w:lang w:val="pl-PL"/>
              </w:rPr>
              <w:t>Kapitał własny razem</w:t>
            </w:r>
          </w:p>
        </w:tc>
      </w:tr>
      <w:tr w:rsidR="00B24DA9" w:rsidRPr="00765C97" w:rsidTr="007860C5">
        <w:trPr>
          <w:cantSplit/>
          <w:trHeight w:val="1219"/>
        </w:trPr>
        <w:tc>
          <w:tcPr>
            <w:tcW w:w="2378" w:type="dxa"/>
            <w:tcBorders>
              <w:top w:val="nil"/>
              <w:left w:val="nil"/>
              <w:right w:val="nil"/>
            </w:tcBorders>
            <w:vAlign w:val="center"/>
          </w:tcPr>
          <w:p w:rsidR="00B24DA9" w:rsidRPr="00765C97" w:rsidRDefault="00B24DA9">
            <w:pPr>
              <w:ind w:right="180"/>
              <w:rPr>
                <w:rFonts w:ascii="Arial" w:hAnsi="Arial"/>
                <w:b/>
                <w:spacing w:val="-7"/>
                <w:sz w:val="16"/>
                <w:lang w:val="pl-PL"/>
              </w:rPr>
            </w:pPr>
          </w:p>
        </w:tc>
        <w:tc>
          <w:tcPr>
            <w:tcW w:w="900" w:type="dxa"/>
            <w:tcBorders>
              <w:top w:val="single" w:sz="2" w:space="0" w:color="auto"/>
              <w:left w:val="nil"/>
              <w:right w:val="nil"/>
            </w:tcBorders>
            <w:vAlign w:val="center"/>
          </w:tcPr>
          <w:p w:rsidR="00B24DA9" w:rsidRPr="00765C97" w:rsidRDefault="00B24DA9" w:rsidP="007860C5">
            <w:pPr>
              <w:ind w:right="18"/>
              <w:jc w:val="right"/>
              <w:rPr>
                <w:rFonts w:ascii="Arial" w:hAnsi="Arial"/>
                <w:b/>
                <w:sz w:val="16"/>
                <w:lang w:val="pl-PL"/>
              </w:rPr>
            </w:pPr>
            <w:r w:rsidRPr="00765C97">
              <w:rPr>
                <w:rFonts w:ascii="Arial" w:hAnsi="Arial"/>
                <w:b/>
                <w:sz w:val="16"/>
                <w:lang w:val="pl-PL"/>
              </w:rPr>
              <w:t>Kapitał zakładowy</w:t>
            </w:r>
          </w:p>
        </w:tc>
        <w:tc>
          <w:tcPr>
            <w:tcW w:w="833" w:type="dxa"/>
            <w:tcBorders>
              <w:top w:val="single" w:sz="2" w:space="0" w:color="auto"/>
              <w:left w:val="nil"/>
              <w:right w:val="nil"/>
            </w:tcBorders>
            <w:vAlign w:val="center"/>
          </w:tcPr>
          <w:p w:rsidR="00B24DA9" w:rsidRPr="00765C97" w:rsidRDefault="00B24DA9" w:rsidP="007860C5">
            <w:pPr>
              <w:ind w:right="18"/>
              <w:jc w:val="right"/>
              <w:rPr>
                <w:rFonts w:ascii="Arial" w:hAnsi="Arial"/>
                <w:b/>
                <w:sz w:val="16"/>
                <w:lang w:val="pl-PL"/>
              </w:rPr>
            </w:pPr>
            <w:r w:rsidRPr="00765C97">
              <w:rPr>
                <w:rFonts w:ascii="Arial" w:hAnsi="Arial"/>
                <w:b/>
                <w:sz w:val="16"/>
                <w:lang w:val="pl-PL"/>
              </w:rPr>
              <w:t xml:space="preserve">Pozostałe kapitały </w:t>
            </w:r>
          </w:p>
        </w:tc>
        <w:tc>
          <w:tcPr>
            <w:tcW w:w="709" w:type="dxa"/>
            <w:tcBorders>
              <w:top w:val="single" w:sz="2" w:space="0" w:color="auto"/>
              <w:left w:val="nil"/>
              <w:right w:val="nil"/>
            </w:tcBorders>
            <w:vAlign w:val="center"/>
          </w:tcPr>
          <w:p w:rsidR="00B24DA9" w:rsidRPr="00765C97" w:rsidRDefault="00B24DA9" w:rsidP="007860C5">
            <w:pPr>
              <w:ind w:right="18"/>
              <w:jc w:val="right"/>
              <w:rPr>
                <w:rFonts w:ascii="Arial" w:hAnsi="Arial"/>
                <w:b/>
                <w:sz w:val="16"/>
                <w:lang w:val="pl-PL"/>
              </w:rPr>
            </w:pPr>
            <w:r w:rsidRPr="00765C97">
              <w:rPr>
                <w:rFonts w:ascii="Arial" w:hAnsi="Arial"/>
                <w:b/>
                <w:sz w:val="16"/>
                <w:lang w:val="pl-PL"/>
              </w:rPr>
              <w:t>Różnice kursowe</w:t>
            </w:r>
          </w:p>
        </w:tc>
        <w:tc>
          <w:tcPr>
            <w:tcW w:w="708" w:type="dxa"/>
            <w:tcBorders>
              <w:top w:val="single" w:sz="2" w:space="0" w:color="auto"/>
              <w:left w:val="nil"/>
              <w:right w:val="nil"/>
            </w:tcBorders>
            <w:vAlign w:val="center"/>
          </w:tcPr>
          <w:p w:rsidR="00B24DA9" w:rsidRPr="00765C97" w:rsidRDefault="00B24DA9" w:rsidP="007860C5">
            <w:pPr>
              <w:ind w:right="18"/>
              <w:jc w:val="right"/>
              <w:rPr>
                <w:rFonts w:ascii="Arial" w:hAnsi="Arial"/>
                <w:b/>
                <w:sz w:val="16"/>
                <w:lang w:val="pl-PL"/>
              </w:rPr>
            </w:pPr>
            <w:r w:rsidRPr="00765C97">
              <w:rPr>
                <w:rFonts w:ascii="Arial" w:hAnsi="Arial"/>
                <w:b/>
                <w:sz w:val="16"/>
                <w:lang w:val="pl-PL"/>
              </w:rPr>
              <w:t>Zysk netto za okres bieżący</w:t>
            </w:r>
          </w:p>
        </w:tc>
        <w:tc>
          <w:tcPr>
            <w:tcW w:w="1186" w:type="dxa"/>
            <w:tcBorders>
              <w:top w:val="single" w:sz="2" w:space="0" w:color="auto"/>
              <w:left w:val="nil"/>
              <w:right w:val="nil"/>
            </w:tcBorders>
            <w:vAlign w:val="center"/>
          </w:tcPr>
          <w:p w:rsidR="00B24DA9" w:rsidRPr="00765C97" w:rsidRDefault="00B24DA9" w:rsidP="007860C5">
            <w:pPr>
              <w:ind w:right="18"/>
              <w:jc w:val="right"/>
              <w:rPr>
                <w:rFonts w:ascii="Arial" w:hAnsi="Arial"/>
                <w:b/>
                <w:color w:val="000000"/>
                <w:sz w:val="16"/>
                <w:lang w:val="pl-PL"/>
              </w:rPr>
            </w:pPr>
            <w:r w:rsidRPr="00765C97">
              <w:rPr>
                <w:rFonts w:ascii="Arial" w:hAnsi="Arial"/>
                <w:b/>
                <w:color w:val="000000"/>
                <w:sz w:val="16"/>
                <w:lang w:val="pl-PL"/>
              </w:rPr>
              <w:t>Niepodzielony wynik finansowy</w:t>
            </w:r>
          </w:p>
        </w:tc>
        <w:tc>
          <w:tcPr>
            <w:tcW w:w="1134" w:type="dxa"/>
            <w:vMerge/>
            <w:tcBorders>
              <w:left w:val="nil"/>
              <w:right w:val="nil"/>
            </w:tcBorders>
            <w:vAlign w:val="center"/>
          </w:tcPr>
          <w:p w:rsidR="00B24DA9" w:rsidRPr="00765C97" w:rsidRDefault="00B24DA9">
            <w:pPr>
              <w:ind w:right="18"/>
              <w:jc w:val="right"/>
              <w:rPr>
                <w:rFonts w:ascii="Arial" w:hAnsi="Arial"/>
                <w:b/>
                <w:sz w:val="16"/>
                <w:lang w:val="pl-PL"/>
              </w:rPr>
            </w:pPr>
          </w:p>
        </w:tc>
        <w:tc>
          <w:tcPr>
            <w:tcW w:w="720" w:type="dxa"/>
            <w:vMerge/>
            <w:tcBorders>
              <w:left w:val="nil"/>
              <w:right w:val="nil"/>
            </w:tcBorders>
            <w:vAlign w:val="center"/>
          </w:tcPr>
          <w:p w:rsidR="00B24DA9" w:rsidRPr="00765C97" w:rsidRDefault="00B24DA9">
            <w:pPr>
              <w:tabs>
                <w:tab w:val="left" w:pos="604"/>
              </w:tabs>
              <w:ind w:right="18"/>
              <w:jc w:val="right"/>
              <w:rPr>
                <w:rFonts w:ascii="Arial" w:hAnsi="Arial"/>
                <w:b/>
                <w:sz w:val="16"/>
                <w:lang w:val="pl-PL"/>
              </w:rPr>
            </w:pPr>
          </w:p>
        </w:tc>
      </w:tr>
      <w:tr w:rsidR="00F335D5" w:rsidRPr="00765C97" w:rsidTr="007860C5">
        <w:trPr>
          <w:trHeight w:val="255"/>
        </w:trPr>
        <w:tc>
          <w:tcPr>
            <w:tcW w:w="2378" w:type="dxa"/>
            <w:tcBorders>
              <w:top w:val="nil"/>
              <w:left w:val="nil"/>
              <w:right w:val="nil"/>
            </w:tcBorders>
            <w:vAlign w:val="center"/>
          </w:tcPr>
          <w:p w:rsidR="00F335D5" w:rsidRPr="00765C97" w:rsidRDefault="00F335D5" w:rsidP="007860C5">
            <w:pPr>
              <w:rPr>
                <w:rFonts w:ascii="Arial" w:hAnsi="Arial"/>
                <w:sz w:val="16"/>
                <w:lang w:val="pl-PL"/>
              </w:rPr>
            </w:pPr>
            <w:r w:rsidRPr="00765C97">
              <w:rPr>
                <w:rFonts w:ascii="Arial" w:hAnsi="Arial"/>
                <w:b/>
                <w:sz w:val="16"/>
                <w:lang w:val="pl-PL"/>
              </w:rPr>
              <w:t>Stan na 1 stycznia 2011 r.</w:t>
            </w:r>
          </w:p>
        </w:tc>
        <w:tc>
          <w:tcPr>
            <w:tcW w:w="900" w:type="dxa"/>
            <w:tcBorders>
              <w:top w:val="nil"/>
              <w:left w:val="nil"/>
              <w:right w:val="nil"/>
            </w:tcBorders>
            <w:vAlign w:val="center"/>
          </w:tcPr>
          <w:p w:rsidR="00F335D5" w:rsidRPr="00765C97" w:rsidRDefault="00F335D5" w:rsidP="007860C5">
            <w:pPr>
              <w:ind w:right="57"/>
              <w:jc w:val="right"/>
              <w:rPr>
                <w:rFonts w:ascii="Arial" w:hAnsi="Arial" w:cs="Arial"/>
                <w:b/>
                <w:sz w:val="16"/>
                <w:szCs w:val="16"/>
                <w:lang w:val="pl-PL"/>
              </w:rPr>
            </w:pPr>
            <w:r w:rsidRPr="00765C97">
              <w:rPr>
                <w:rFonts w:ascii="Arial" w:hAnsi="Arial" w:cs="Arial"/>
                <w:b/>
                <w:sz w:val="16"/>
                <w:szCs w:val="16"/>
                <w:lang w:val="pl-PL"/>
              </w:rPr>
              <w:t>8 051</w:t>
            </w:r>
          </w:p>
        </w:tc>
        <w:tc>
          <w:tcPr>
            <w:tcW w:w="833" w:type="dxa"/>
            <w:tcBorders>
              <w:top w:val="nil"/>
              <w:left w:val="nil"/>
              <w:right w:val="nil"/>
            </w:tcBorders>
            <w:vAlign w:val="center"/>
          </w:tcPr>
          <w:p w:rsidR="00F335D5" w:rsidRPr="00765C97" w:rsidRDefault="00F335D5" w:rsidP="007860C5">
            <w:pPr>
              <w:ind w:right="57"/>
              <w:jc w:val="right"/>
              <w:rPr>
                <w:rFonts w:ascii="Arial" w:hAnsi="Arial" w:cs="Arial"/>
                <w:b/>
                <w:sz w:val="16"/>
                <w:szCs w:val="16"/>
                <w:lang w:val="pl-PL"/>
              </w:rPr>
            </w:pPr>
            <w:r w:rsidRPr="00765C97">
              <w:rPr>
                <w:rFonts w:ascii="Arial" w:hAnsi="Arial" w:cs="Arial"/>
                <w:b/>
                <w:sz w:val="16"/>
                <w:szCs w:val="16"/>
                <w:lang w:val="pl-PL"/>
              </w:rPr>
              <w:t>140 441</w:t>
            </w:r>
          </w:p>
        </w:tc>
        <w:tc>
          <w:tcPr>
            <w:tcW w:w="709" w:type="dxa"/>
            <w:tcBorders>
              <w:top w:val="nil"/>
              <w:left w:val="nil"/>
              <w:right w:val="nil"/>
            </w:tcBorders>
            <w:vAlign w:val="center"/>
          </w:tcPr>
          <w:p w:rsidR="00F335D5" w:rsidRPr="00765C97" w:rsidRDefault="00F335D5" w:rsidP="007860C5">
            <w:pPr>
              <w:ind w:right="57"/>
              <w:jc w:val="right"/>
              <w:rPr>
                <w:rFonts w:ascii="Arial" w:hAnsi="Arial" w:cs="Arial"/>
                <w:b/>
                <w:sz w:val="16"/>
                <w:szCs w:val="16"/>
                <w:lang w:val="pl-PL"/>
              </w:rPr>
            </w:pPr>
            <w:r w:rsidRPr="00765C97">
              <w:rPr>
                <w:rFonts w:ascii="Arial" w:hAnsi="Arial" w:cs="Arial"/>
                <w:b/>
                <w:sz w:val="16"/>
                <w:szCs w:val="16"/>
                <w:lang w:val="pl-PL"/>
              </w:rPr>
              <w:t>10 058</w:t>
            </w:r>
          </w:p>
        </w:tc>
        <w:tc>
          <w:tcPr>
            <w:tcW w:w="708" w:type="dxa"/>
            <w:tcBorders>
              <w:top w:val="nil"/>
              <w:left w:val="nil"/>
              <w:right w:val="nil"/>
            </w:tcBorders>
            <w:vAlign w:val="center"/>
          </w:tcPr>
          <w:p w:rsidR="00F335D5" w:rsidRPr="00765C97" w:rsidRDefault="00F335D5" w:rsidP="007860C5">
            <w:pPr>
              <w:ind w:right="57"/>
              <w:jc w:val="right"/>
              <w:rPr>
                <w:rFonts w:ascii="Arial" w:hAnsi="Arial" w:cs="Arial"/>
                <w:b/>
                <w:sz w:val="16"/>
                <w:szCs w:val="16"/>
                <w:lang w:val="pl-PL"/>
              </w:rPr>
            </w:pPr>
            <w:r w:rsidRPr="00765C97">
              <w:rPr>
                <w:rFonts w:ascii="Arial" w:hAnsi="Arial" w:cs="Arial"/>
                <w:b/>
                <w:sz w:val="16"/>
                <w:szCs w:val="16"/>
                <w:lang w:val="pl-PL"/>
              </w:rPr>
              <w:t>43 717</w:t>
            </w:r>
          </w:p>
        </w:tc>
        <w:tc>
          <w:tcPr>
            <w:tcW w:w="1186" w:type="dxa"/>
            <w:tcBorders>
              <w:top w:val="nil"/>
              <w:left w:val="nil"/>
              <w:right w:val="nil"/>
            </w:tcBorders>
            <w:vAlign w:val="center"/>
          </w:tcPr>
          <w:p w:rsidR="00F335D5" w:rsidRPr="00765C97" w:rsidRDefault="00F335D5" w:rsidP="007860C5">
            <w:pPr>
              <w:ind w:right="57"/>
              <w:jc w:val="right"/>
              <w:rPr>
                <w:rFonts w:ascii="Arial" w:hAnsi="Arial" w:cs="Arial"/>
                <w:b/>
                <w:color w:val="000000"/>
                <w:sz w:val="16"/>
                <w:szCs w:val="16"/>
                <w:lang w:val="pl-PL"/>
              </w:rPr>
            </w:pPr>
            <w:r w:rsidRPr="00765C97">
              <w:rPr>
                <w:rFonts w:ascii="Arial" w:hAnsi="Arial" w:cs="Arial"/>
                <w:b/>
                <w:color w:val="000000"/>
                <w:sz w:val="16"/>
                <w:szCs w:val="16"/>
                <w:lang w:val="pl-PL"/>
              </w:rPr>
              <w:t>372 680</w:t>
            </w:r>
          </w:p>
        </w:tc>
        <w:tc>
          <w:tcPr>
            <w:tcW w:w="1134" w:type="dxa"/>
            <w:tcBorders>
              <w:top w:val="nil"/>
              <w:left w:val="nil"/>
              <w:right w:val="nil"/>
            </w:tcBorders>
            <w:vAlign w:val="center"/>
          </w:tcPr>
          <w:p w:rsidR="00F335D5" w:rsidRPr="00765C97" w:rsidRDefault="00F335D5" w:rsidP="007860C5">
            <w:pPr>
              <w:ind w:right="18"/>
              <w:jc w:val="right"/>
              <w:rPr>
                <w:rFonts w:ascii="Arial" w:hAnsi="Arial" w:cs="Arial"/>
                <w:b/>
                <w:sz w:val="16"/>
                <w:szCs w:val="16"/>
                <w:lang w:val="pl-PL"/>
              </w:rPr>
            </w:pPr>
            <w:r w:rsidRPr="00765C97">
              <w:rPr>
                <w:rFonts w:ascii="Arial" w:hAnsi="Arial" w:cs="Arial"/>
                <w:b/>
                <w:sz w:val="16"/>
                <w:szCs w:val="16"/>
                <w:lang w:val="pl-PL"/>
              </w:rPr>
              <w:t>9 242</w:t>
            </w:r>
          </w:p>
        </w:tc>
        <w:tc>
          <w:tcPr>
            <w:tcW w:w="720" w:type="dxa"/>
            <w:tcBorders>
              <w:top w:val="nil"/>
              <w:left w:val="nil"/>
              <w:right w:val="nil"/>
            </w:tcBorders>
            <w:vAlign w:val="center"/>
          </w:tcPr>
          <w:p w:rsidR="00F335D5" w:rsidRPr="00765C97" w:rsidRDefault="00F335D5" w:rsidP="007860C5">
            <w:pPr>
              <w:ind w:right="18"/>
              <w:jc w:val="right"/>
              <w:rPr>
                <w:rFonts w:ascii="Arial" w:hAnsi="Arial" w:cs="Arial"/>
                <w:b/>
                <w:sz w:val="16"/>
                <w:szCs w:val="16"/>
                <w:lang w:val="pl-PL"/>
              </w:rPr>
            </w:pPr>
            <w:r w:rsidRPr="00765C97">
              <w:rPr>
                <w:rFonts w:ascii="Arial" w:hAnsi="Arial" w:cs="Arial"/>
                <w:b/>
                <w:sz w:val="16"/>
                <w:szCs w:val="16"/>
                <w:lang w:val="pl-PL"/>
              </w:rPr>
              <w:t>584 189</w:t>
            </w:r>
          </w:p>
        </w:tc>
      </w:tr>
      <w:tr w:rsidR="00F335D5" w:rsidRPr="00765C97" w:rsidTr="007860C5">
        <w:trPr>
          <w:trHeight w:val="255"/>
        </w:trPr>
        <w:tc>
          <w:tcPr>
            <w:tcW w:w="2378" w:type="dxa"/>
            <w:tcBorders>
              <w:left w:val="nil"/>
              <w:right w:val="nil"/>
            </w:tcBorders>
            <w:vAlign w:val="center"/>
          </w:tcPr>
          <w:p w:rsidR="00F335D5" w:rsidRPr="00765C97" w:rsidRDefault="00F335D5" w:rsidP="00F335D5">
            <w:pPr>
              <w:rPr>
                <w:rFonts w:ascii="Arial" w:hAnsi="Arial"/>
                <w:sz w:val="16"/>
                <w:lang w:val="pl-PL"/>
              </w:rPr>
            </w:pPr>
            <w:r w:rsidRPr="00765C97">
              <w:rPr>
                <w:rFonts w:ascii="Arial" w:hAnsi="Arial"/>
                <w:sz w:val="16"/>
                <w:lang w:val="pl-PL"/>
              </w:rPr>
              <w:t xml:space="preserve">Przeniesienie wyniku za rok 2010 </w:t>
            </w:r>
          </w:p>
        </w:tc>
        <w:tc>
          <w:tcPr>
            <w:tcW w:w="900"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833"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9"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8"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(43 717)</w:t>
            </w:r>
          </w:p>
        </w:tc>
        <w:tc>
          <w:tcPr>
            <w:tcW w:w="1186" w:type="dxa"/>
            <w:tcBorders>
              <w:left w:val="nil"/>
              <w:right w:val="nil"/>
            </w:tcBorders>
            <w:vAlign w:val="center"/>
          </w:tcPr>
          <w:p w:rsidR="00F335D5" w:rsidRPr="00765C97" w:rsidRDefault="00F335D5" w:rsidP="007860C5">
            <w:pPr>
              <w:ind w:right="57"/>
              <w:jc w:val="right"/>
              <w:rPr>
                <w:rFonts w:ascii="Arial" w:hAnsi="Arial" w:cs="Arial"/>
                <w:color w:val="000000"/>
                <w:sz w:val="16"/>
                <w:szCs w:val="16"/>
                <w:lang w:val="pl-PL"/>
              </w:rPr>
            </w:pPr>
            <w:r w:rsidRPr="00765C97">
              <w:rPr>
                <w:rFonts w:ascii="Arial" w:hAnsi="Arial" w:cs="Arial"/>
                <w:color w:val="000000"/>
                <w:sz w:val="16"/>
                <w:szCs w:val="16"/>
                <w:lang w:val="pl-PL"/>
              </w:rPr>
              <w:t>43 717</w:t>
            </w:r>
          </w:p>
        </w:tc>
        <w:tc>
          <w:tcPr>
            <w:tcW w:w="1134" w:type="dxa"/>
            <w:tcBorders>
              <w:left w:val="nil"/>
              <w:right w:val="nil"/>
            </w:tcBorders>
            <w:vAlign w:val="center"/>
          </w:tcPr>
          <w:p w:rsidR="00F335D5" w:rsidRPr="00765C97" w:rsidRDefault="00F335D5" w:rsidP="007860C5">
            <w:pPr>
              <w:ind w:right="18"/>
              <w:jc w:val="right"/>
              <w:rPr>
                <w:rFonts w:ascii="Arial" w:hAnsi="Arial" w:cs="Arial"/>
                <w:sz w:val="16"/>
                <w:szCs w:val="16"/>
                <w:lang w:val="pl-PL"/>
              </w:rPr>
            </w:pPr>
            <w:r w:rsidRPr="00765C97">
              <w:rPr>
                <w:rFonts w:ascii="Arial" w:hAnsi="Arial" w:cs="Arial"/>
                <w:sz w:val="16"/>
                <w:szCs w:val="16"/>
                <w:lang w:val="pl-PL"/>
              </w:rPr>
              <w:t>-</w:t>
            </w:r>
          </w:p>
        </w:tc>
        <w:tc>
          <w:tcPr>
            <w:tcW w:w="720" w:type="dxa"/>
            <w:tcBorders>
              <w:left w:val="nil"/>
              <w:right w:val="nil"/>
            </w:tcBorders>
            <w:vAlign w:val="center"/>
          </w:tcPr>
          <w:p w:rsidR="00F335D5" w:rsidRPr="00765C97" w:rsidRDefault="00F335D5" w:rsidP="007860C5">
            <w:pPr>
              <w:ind w:right="18"/>
              <w:jc w:val="right"/>
              <w:rPr>
                <w:rFonts w:ascii="Arial" w:hAnsi="Arial" w:cs="Arial"/>
                <w:sz w:val="16"/>
                <w:szCs w:val="16"/>
                <w:lang w:val="pl-PL"/>
              </w:rPr>
            </w:pPr>
            <w:r w:rsidRPr="00765C97">
              <w:rPr>
                <w:rFonts w:ascii="Arial" w:hAnsi="Arial" w:cs="Arial"/>
                <w:sz w:val="16"/>
                <w:szCs w:val="16"/>
                <w:lang w:val="pl-PL"/>
              </w:rPr>
              <w:t>-</w:t>
            </w:r>
          </w:p>
        </w:tc>
      </w:tr>
      <w:tr w:rsidR="00F335D5" w:rsidRPr="00765C97" w:rsidTr="007860C5">
        <w:trPr>
          <w:trHeight w:val="255"/>
        </w:trPr>
        <w:tc>
          <w:tcPr>
            <w:tcW w:w="2378" w:type="dxa"/>
            <w:tcBorders>
              <w:left w:val="nil"/>
              <w:right w:val="nil"/>
            </w:tcBorders>
            <w:vAlign w:val="center"/>
          </w:tcPr>
          <w:p w:rsidR="00F335D5" w:rsidRPr="00765C97" w:rsidRDefault="00F335D5" w:rsidP="00F335D5">
            <w:pPr>
              <w:rPr>
                <w:rFonts w:ascii="Arial" w:hAnsi="Arial" w:cs="Arial"/>
                <w:sz w:val="16"/>
                <w:szCs w:val="16"/>
                <w:lang w:val="pl-PL"/>
              </w:rPr>
            </w:pPr>
            <w:r w:rsidRPr="00765C97">
              <w:rPr>
                <w:rFonts w:ascii="Arial" w:hAnsi="Arial" w:cs="Arial"/>
                <w:sz w:val="16"/>
                <w:szCs w:val="16"/>
                <w:lang w:val="pl-PL"/>
              </w:rPr>
              <w:t>Cena nabycia akcji Comarch AG od udziałowca mniejszościowego</w:t>
            </w:r>
          </w:p>
        </w:tc>
        <w:tc>
          <w:tcPr>
            <w:tcW w:w="900"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833"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9"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8"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1186"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1134"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(4 876)</w:t>
            </w:r>
          </w:p>
        </w:tc>
        <w:tc>
          <w:tcPr>
            <w:tcW w:w="720"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(4 876)</w:t>
            </w:r>
          </w:p>
        </w:tc>
      </w:tr>
      <w:tr w:rsidR="00F335D5" w:rsidRPr="00765C97" w:rsidTr="007860C5">
        <w:trPr>
          <w:trHeight w:val="255"/>
        </w:trPr>
        <w:tc>
          <w:tcPr>
            <w:tcW w:w="2378" w:type="dxa"/>
            <w:tcBorders>
              <w:left w:val="nil"/>
              <w:right w:val="nil"/>
            </w:tcBorders>
            <w:vAlign w:val="center"/>
          </w:tcPr>
          <w:p w:rsidR="00F335D5" w:rsidRPr="00765C97" w:rsidRDefault="00F335D5" w:rsidP="00F335D5">
            <w:pPr>
              <w:rPr>
                <w:rFonts w:ascii="Arial" w:hAnsi="Arial" w:cs="Arial"/>
                <w:sz w:val="16"/>
                <w:szCs w:val="16"/>
                <w:lang w:val="pl-PL"/>
              </w:rPr>
            </w:pPr>
            <w:r w:rsidRPr="00765C97">
              <w:rPr>
                <w:rFonts w:ascii="Arial" w:hAnsi="Arial" w:cs="Arial"/>
                <w:sz w:val="16"/>
                <w:szCs w:val="16"/>
                <w:lang w:val="pl-PL"/>
              </w:rPr>
              <w:t>Zmiana kapitału  w związku z odkupieniem udziałów w Comarch AG i innych spółkach Grupy od udziałowców mniejszościowych</w:t>
            </w:r>
          </w:p>
        </w:tc>
        <w:tc>
          <w:tcPr>
            <w:tcW w:w="900"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833"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9"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8"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1186"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(7 758)</w:t>
            </w:r>
          </w:p>
        </w:tc>
        <w:tc>
          <w:tcPr>
            <w:tcW w:w="1134"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7 758</w:t>
            </w:r>
          </w:p>
        </w:tc>
        <w:tc>
          <w:tcPr>
            <w:tcW w:w="720"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r>
      <w:tr w:rsidR="00F335D5" w:rsidRPr="00765C97" w:rsidTr="007860C5">
        <w:trPr>
          <w:trHeight w:val="255"/>
        </w:trPr>
        <w:tc>
          <w:tcPr>
            <w:tcW w:w="2378" w:type="dxa"/>
            <w:tcBorders>
              <w:top w:val="nil"/>
              <w:left w:val="nil"/>
              <w:right w:val="nil"/>
            </w:tcBorders>
            <w:vAlign w:val="center"/>
          </w:tcPr>
          <w:p w:rsidR="00F335D5" w:rsidRPr="00765C97" w:rsidRDefault="00F335D5" w:rsidP="00F335D5">
            <w:pPr>
              <w:rPr>
                <w:rFonts w:ascii="Arial" w:hAnsi="Arial" w:cs="Arial"/>
                <w:sz w:val="16"/>
                <w:szCs w:val="16"/>
                <w:lang w:val="pl-PL"/>
              </w:rPr>
            </w:pPr>
            <w:r w:rsidRPr="00765C97">
              <w:rPr>
                <w:rFonts w:ascii="Arial" w:hAnsi="Arial" w:cs="Arial"/>
                <w:sz w:val="16"/>
                <w:szCs w:val="16"/>
                <w:lang w:val="pl-PL"/>
              </w:rPr>
              <w:t>Dywidenda za rok 2011 wypłacona poza Grupę Comarch</w:t>
            </w:r>
          </w:p>
        </w:tc>
        <w:tc>
          <w:tcPr>
            <w:tcW w:w="900"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833"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9"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8"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1186"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(1 195)</w:t>
            </w:r>
          </w:p>
        </w:tc>
        <w:tc>
          <w:tcPr>
            <w:tcW w:w="1134"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20"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(1 195)</w:t>
            </w:r>
          </w:p>
        </w:tc>
      </w:tr>
      <w:tr w:rsidR="00F335D5" w:rsidRPr="00765C97" w:rsidTr="007860C5">
        <w:trPr>
          <w:trHeight w:val="255"/>
        </w:trPr>
        <w:tc>
          <w:tcPr>
            <w:tcW w:w="2378" w:type="dxa"/>
            <w:tcBorders>
              <w:left w:val="nil"/>
              <w:right w:val="nil"/>
            </w:tcBorders>
            <w:vAlign w:val="center"/>
          </w:tcPr>
          <w:p w:rsidR="00F335D5" w:rsidRPr="00765C97" w:rsidRDefault="00F335D5" w:rsidP="00F335D5">
            <w:pPr>
              <w:rPr>
                <w:rFonts w:ascii="Arial" w:hAnsi="Arial" w:cs="Arial"/>
                <w:sz w:val="16"/>
                <w:szCs w:val="16"/>
                <w:lang w:val="pl-PL"/>
              </w:rPr>
            </w:pPr>
            <w:r w:rsidRPr="00765C97">
              <w:rPr>
                <w:rFonts w:ascii="Arial" w:hAnsi="Arial" w:cs="Arial"/>
                <w:sz w:val="16"/>
                <w:szCs w:val="16"/>
                <w:lang w:val="pl-PL"/>
              </w:rPr>
              <w:t>Inne zmiany</w:t>
            </w:r>
          </w:p>
        </w:tc>
        <w:tc>
          <w:tcPr>
            <w:tcW w:w="900"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833"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9"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8"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1186"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1134"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19</w:t>
            </w:r>
          </w:p>
        </w:tc>
        <w:tc>
          <w:tcPr>
            <w:tcW w:w="720"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19</w:t>
            </w:r>
          </w:p>
        </w:tc>
      </w:tr>
      <w:tr w:rsidR="00F335D5" w:rsidRPr="00765C97" w:rsidTr="007860C5">
        <w:trPr>
          <w:trHeight w:val="255"/>
        </w:trPr>
        <w:tc>
          <w:tcPr>
            <w:tcW w:w="2378" w:type="dxa"/>
            <w:tcBorders>
              <w:top w:val="nil"/>
              <w:left w:val="nil"/>
              <w:right w:val="nil"/>
            </w:tcBorders>
            <w:vAlign w:val="center"/>
          </w:tcPr>
          <w:p w:rsidR="00F335D5" w:rsidRPr="00765C97" w:rsidRDefault="00F335D5" w:rsidP="00F335D5">
            <w:pPr>
              <w:rPr>
                <w:rFonts w:ascii="Arial" w:hAnsi="Arial"/>
                <w:sz w:val="16"/>
                <w:lang w:val="pl-PL"/>
              </w:rPr>
            </w:pPr>
            <w:r w:rsidRPr="00765C97">
              <w:rPr>
                <w:rFonts w:ascii="Arial" w:hAnsi="Arial"/>
                <w:sz w:val="16"/>
                <w:lang w:val="pl-PL"/>
              </w:rPr>
              <w:t>Kapitał z wyceny opcji menedżerskiej</w:t>
            </w:r>
          </w:p>
        </w:tc>
        <w:tc>
          <w:tcPr>
            <w:tcW w:w="900" w:type="dxa"/>
            <w:tcBorders>
              <w:top w:val="nil"/>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833" w:type="dxa"/>
            <w:tcBorders>
              <w:top w:val="nil"/>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1 566</w:t>
            </w:r>
          </w:p>
        </w:tc>
        <w:tc>
          <w:tcPr>
            <w:tcW w:w="709" w:type="dxa"/>
            <w:tcBorders>
              <w:top w:val="nil"/>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8" w:type="dxa"/>
            <w:tcBorders>
              <w:top w:val="nil"/>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1186" w:type="dxa"/>
            <w:tcBorders>
              <w:top w:val="nil"/>
              <w:left w:val="nil"/>
              <w:right w:val="nil"/>
            </w:tcBorders>
            <w:vAlign w:val="center"/>
          </w:tcPr>
          <w:p w:rsidR="00F335D5" w:rsidRPr="00765C97" w:rsidRDefault="00F335D5" w:rsidP="007860C5">
            <w:pPr>
              <w:ind w:right="57"/>
              <w:jc w:val="right"/>
              <w:rPr>
                <w:rFonts w:ascii="Arial" w:hAnsi="Arial" w:cs="Arial"/>
                <w:color w:val="000000"/>
                <w:sz w:val="16"/>
                <w:szCs w:val="16"/>
                <w:lang w:val="pl-PL"/>
              </w:rPr>
            </w:pPr>
            <w:r w:rsidRPr="00765C97">
              <w:rPr>
                <w:rFonts w:ascii="Arial" w:hAnsi="Arial" w:cs="Arial"/>
                <w:color w:val="000000"/>
                <w:sz w:val="16"/>
                <w:szCs w:val="16"/>
                <w:lang w:val="pl-PL"/>
              </w:rPr>
              <w:t>-</w:t>
            </w:r>
          </w:p>
        </w:tc>
        <w:tc>
          <w:tcPr>
            <w:tcW w:w="1134" w:type="dxa"/>
            <w:tcBorders>
              <w:top w:val="nil"/>
              <w:left w:val="nil"/>
              <w:right w:val="nil"/>
            </w:tcBorders>
            <w:vAlign w:val="center"/>
          </w:tcPr>
          <w:p w:rsidR="00F335D5" w:rsidRPr="00765C97" w:rsidRDefault="00F335D5" w:rsidP="007860C5">
            <w:pPr>
              <w:ind w:right="18"/>
              <w:jc w:val="right"/>
              <w:rPr>
                <w:rFonts w:ascii="Arial" w:hAnsi="Arial" w:cs="Arial"/>
                <w:sz w:val="16"/>
                <w:szCs w:val="16"/>
                <w:lang w:val="pl-PL"/>
              </w:rPr>
            </w:pPr>
            <w:r w:rsidRPr="00765C97">
              <w:rPr>
                <w:rFonts w:ascii="Arial" w:hAnsi="Arial" w:cs="Arial"/>
                <w:sz w:val="16"/>
                <w:szCs w:val="16"/>
                <w:lang w:val="pl-PL"/>
              </w:rPr>
              <w:t>-</w:t>
            </w:r>
          </w:p>
        </w:tc>
        <w:tc>
          <w:tcPr>
            <w:tcW w:w="720" w:type="dxa"/>
            <w:tcBorders>
              <w:top w:val="nil"/>
              <w:left w:val="nil"/>
              <w:right w:val="nil"/>
            </w:tcBorders>
            <w:vAlign w:val="center"/>
          </w:tcPr>
          <w:p w:rsidR="00F335D5" w:rsidRPr="00765C97" w:rsidRDefault="00F335D5" w:rsidP="007860C5">
            <w:pPr>
              <w:ind w:right="18"/>
              <w:jc w:val="right"/>
              <w:rPr>
                <w:rFonts w:ascii="Arial" w:hAnsi="Arial" w:cs="Arial"/>
                <w:sz w:val="16"/>
                <w:szCs w:val="16"/>
                <w:lang w:val="pl-PL"/>
              </w:rPr>
            </w:pPr>
            <w:r w:rsidRPr="00765C97">
              <w:rPr>
                <w:rFonts w:ascii="Arial" w:hAnsi="Arial" w:cs="Arial"/>
                <w:sz w:val="16"/>
                <w:szCs w:val="16"/>
                <w:lang w:val="pl-PL"/>
              </w:rPr>
              <w:t>1 566</w:t>
            </w:r>
          </w:p>
        </w:tc>
      </w:tr>
      <w:tr w:rsidR="00F335D5" w:rsidRPr="00765C97" w:rsidTr="007860C5">
        <w:trPr>
          <w:trHeight w:val="255"/>
        </w:trPr>
        <w:tc>
          <w:tcPr>
            <w:tcW w:w="2378" w:type="dxa"/>
            <w:tcBorders>
              <w:top w:val="nil"/>
              <w:left w:val="nil"/>
              <w:right w:val="nil"/>
            </w:tcBorders>
            <w:vAlign w:val="center"/>
          </w:tcPr>
          <w:p w:rsidR="00F335D5" w:rsidRPr="00765C97" w:rsidRDefault="00F335D5" w:rsidP="00F335D5">
            <w:pPr>
              <w:rPr>
                <w:rFonts w:ascii="Arial" w:hAnsi="Arial"/>
                <w:sz w:val="16"/>
                <w:lang w:val="pl-PL"/>
              </w:rPr>
            </w:pPr>
            <w:r w:rsidRPr="00765C97">
              <w:rPr>
                <w:rFonts w:ascii="Arial" w:hAnsi="Arial"/>
                <w:sz w:val="16"/>
                <w:lang w:val="pl-PL"/>
              </w:rPr>
              <w:t>Objęcie akcji w podwyższonym kapitale Comarch Sub</w:t>
            </w:r>
          </w:p>
        </w:tc>
        <w:tc>
          <w:tcPr>
            <w:tcW w:w="900"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833"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9"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8" w:type="dxa"/>
            <w:tcBorders>
              <w:left w:val="nil"/>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1186" w:type="dxa"/>
            <w:tcBorders>
              <w:left w:val="nil"/>
              <w:right w:val="nil"/>
            </w:tcBorders>
            <w:vAlign w:val="center"/>
          </w:tcPr>
          <w:p w:rsidR="00F335D5" w:rsidRPr="00765C97" w:rsidRDefault="00F335D5" w:rsidP="007860C5">
            <w:pPr>
              <w:ind w:right="57"/>
              <w:jc w:val="right"/>
              <w:rPr>
                <w:rFonts w:ascii="Arial" w:hAnsi="Arial" w:cs="Arial"/>
                <w:color w:val="000000"/>
                <w:sz w:val="16"/>
                <w:szCs w:val="16"/>
                <w:lang w:val="pl-PL"/>
              </w:rPr>
            </w:pPr>
            <w:r w:rsidRPr="00765C97">
              <w:rPr>
                <w:rFonts w:ascii="Arial" w:hAnsi="Arial" w:cs="Arial"/>
                <w:color w:val="000000"/>
                <w:sz w:val="16"/>
                <w:szCs w:val="16"/>
                <w:lang w:val="pl-PL"/>
              </w:rPr>
              <w:t>-</w:t>
            </w:r>
          </w:p>
        </w:tc>
        <w:tc>
          <w:tcPr>
            <w:tcW w:w="1134" w:type="dxa"/>
            <w:tcBorders>
              <w:left w:val="nil"/>
              <w:right w:val="nil"/>
            </w:tcBorders>
            <w:vAlign w:val="center"/>
          </w:tcPr>
          <w:p w:rsidR="00F335D5" w:rsidRPr="00765C97" w:rsidRDefault="00F335D5" w:rsidP="007860C5">
            <w:pPr>
              <w:ind w:right="18"/>
              <w:jc w:val="right"/>
              <w:rPr>
                <w:rFonts w:ascii="Arial" w:hAnsi="Arial" w:cs="Arial"/>
                <w:sz w:val="16"/>
                <w:szCs w:val="16"/>
                <w:lang w:val="pl-PL"/>
              </w:rPr>
            </w:pPr>
            <w:r w:rsidRPr="00765C97">
              <w:rPr>
                <w:rFonts w:ascii="Arial" w:hAnsi="Arial" w:cs="Arial"/>
                <w:sz w:val="16"/>
                <w:szCs w:val="16"/>
                <w:lang w:val="pl-PL"/>
              </w:rPr>
              <w:t>461</w:t>
            </w:r>
          </w:p>
        </w:tc>
        <w:tc>
          <w:tcPr>
            <w:tcW w:w="720" w:type="dxa"/>
            <w:tcBorders>
              <w:left w:val="nil"/>
              <w:right w:val="nil"/>
            </w:tcBorders>
            <w:vAlign w:val="center"/>
          </w:tcPr>
          <w:p w:rsidR="00F335D5" w:rsidRPr="00765C97" w:rsidRDefault="00F335D5" w:rsidP="007860C5">
            <w:pPr>
              <w:ind w:right="18"/>
              <w:jc w:val="right"/>
              <w:rPr>
                <w:rFonts w:ascii="Arial" w:hAnsi="Arial" w:cs="Arial"/>
                <w:sz w:val="16"/>
                <w:szCs w:val="16"/>
                <w:lang w:val="pl-PL"/>
              </w:rPr>
            </w:pPr>
            <w:r w:rsidRPr="00765C97">
              <w:rPr>
                <w:rFonts w:ascii="Arial" w:hAnsi="Arial" w:cs="Arial"/>
                <w:sz w:val="16"/>
                <w:szCs w:val="16"/>
                <w:lang w:val="pl-PL"/>
              </w:rPr>
              <w:t>461</w:t>
            </w:r>
          </w:p>
        </w:tc>
      </w:tr>
      <w:tr w:rsidR="00F335D5" w:rsidRPr="00765C97" w:rsidTr="007860C5">
        <w:trPr>
          <w:trHeight w:val="255"/>
        </w:trPr>
        <w:tc>
          <w:tcPr>
            <w:tcW w:w="2378" w:type="dxa"/>
            <w:tcBorders>
              <w:top w:val="nil"/>
              <w:left w:val="nil"/>
              <w:right w:val="nil"/>
            </w:tcBorders>
            <w:vAlign w:val="center"/>
          </w:tcPr>
          <w:p w:rsidR="00F335D5" w:rsidRPr="00765C97" w:rsidRDefault="00F335D5" w:rsidP="00F335D5">
            <w:pPr>
              <w:ind w:left="284" w:hanging="284"/>
              <w:rPr>
                <w:rFonts w:ascii="Arial" w:hAnsi="Arial"/>
                <w:i/>
                <w:sz w:val="16"/>
                <w:lang w:val="pl-PL"/>
              </w:rPr>
            </w:pPr>
            <w:r w:rsidRPr="00765C97">
              <w:rPr>
                <w:rFonts w:ascii="Arial" w:hAnsi="Arial"/>
                <w:i/>
                <w:sz w:val="16"/>
                <w:lang w:val="pl-PL"/>
              </w:rPr>
              <w:t xml:space="preserve">   Różnice kursowe</w:t>
            </w:r>
            <w:r w:rsidRPr="00765C97">
              <w:rPr>
                <w:rFonts w:ascii="Arial" w:hAnsi="Arial"/>
                <w:i/>
                <w:sz w:val="16"/>
                <w:vertAlign w:val="superscript"/>
                <w:lang w:val="pl-PL"/>
              </w:rPr>
              <w:t>(1)</w:t>
            </w:r>
          </w:p>
        </w:tc>
        <w:tc>
          <w:tcPr>
            <w:tcW w:w="900" w:type="dxa"/>
            <w:tcBorders>
              <w:left w:val="nil"/>
              <w:right w:val="nil"/>
            </w:tcBorders>
            <w:vAlign w:val="center"/>
          </w:tcPr>
          <w:p w:rsidR="00F335D5" w:rsidRPr="00765C97" w:rsidRDefault="00F335D5" w:rsidP="007860C5">
            <w:pPr>
              <w:ind w:right="57"/>
              <w:jc w:val="right"/>
              <w:rPr>
                <w:rFonts w:ascii="Arial" w:hAnsi="Arial" w:cs="Arial"/>
                <w:i/>
                <w:sz w:val="16"/>
                <w:szCs w:val="16"/>
                <w:lang w:val="pl-PL"/>
              </w:rPr>
            </w:pPr>
            <w:r w:rsidRPr="00765C97">
              <w:rPr>
                <w:rFonts w:ascii="Arial" w:hAnsi="Arial" w:cs="Arial"/>
                <w:i/>
                <w:sz w:val="16"/>
                <w:szCs w:val="16"/>
                <w:lang w:val="pl-PL"/>
              </w:rPr>
              <w:t>-</w:t>
            </w:r>
          </w:p>
        </w:tc>
        <w:tc>
          <w:tcPr>
            <w:tcW w:w="833" w:type="dxa"/>
            <w:tcBorders>
              <w:left w:val="nil"/>
              <w:right w:val="nil"/>
            </w:tcBorders>
            <w:vAlign w:val="center"/>
          </w:tcPr>
          <w:p w:rsidR="00F335D5" w:rsidRPr="00765C97" w:rsidRDefault="00F335D5" w:rsidP="007860C5">
            <w:pPr>
              <w:ind w:right="57"/>
              <w:jc w:val="right"/>
              <w:rPr>
                <w:rFonts w:ascii="Arial" w:hAnsi="Arial" w:cs="Arial"/>
                <w:i/>
                <w:sz w:val="16"/>
                <w:szCs w:val="16"/>
                <w:lang w:val="pl-PL"/>
              </w:rPr>
            </w:pPr>
            <w:r w:rsidRPr="00765C97">
              <w:rPr>
                <w:rFonts w:ascii="Arial" w:hAnsi="Arial" w:cs="Arial"/>
                <w:i/>
                <w:sz w:val="16"/>
                <w:szCs w:val="16"/>
                <w:lang w:val="pl-PL"/>
              </w:rPr>
              <w:t>-</w:t>
            </w:r>
          </w:p>
        </w:tc>
        <w:tc>
          <w:tcPr>
            <w:tcW w:w="709" w:type="dxa"/>
            <w:tcBorders>
              <w:left w:val="nil"/>
              <w:right w:val="nil"/>
            </w:tcBorders>
            <w:vAlign w:val="center"/>
          </w:tcPr>
          <w:p w:rsidR="00F335D5" w:rsidRPr="00765C97" w:rsidRDefault="00F335D5" w:rsidP="007860C5">
            <w:pPr>
              <w:ind w:right="57"/>
              <w:jc w:val="right"/>
              <w:rPr>
                <w:rFonts w:ascii="Arial" w:hAnsi="Arial" w:cs="Arial"/>
                <w:i/>
                <w:sz w:val="16"/>
                <w:szCs w:val="16"/>
                <w:lang w:val="pl-PL"/>
              </w:rPr>
            </w:pPr>
            <w:r w:rsidRPr="00765C97">
              <w:rPr>
                <w:rFonts w:ascii="Arial" w:hAnsi="Arial" w:cs="Arial"/>
                <w:i/>
                <w:sz w:val="16"/>
                <w:szCs w:val="16"/>
                <w:lang w:val="pl-PL"/>
              </w:rPr>
              <w:t>(3 463)</w:t>
            </w:r>
          </w:p>
        </w:tc>
        <w:tc>
          <w:tcPr>
            <w:tcW w:w="708" w:type="dxa"/>
            <w:tcBorders>
              <w:left w:val="nil"/>
              <w:right w:val="nil"/>
            </w:tcBorders>
            <w:vAlign w:val="center"/>
          </w:tcPr>
          <w:p w:rsidR="00F335D5" w:rsidRPr="00765C97" w:rsidRDefault="00F335D5" w:rsidP="007860C5">
            <w:pPr>
              <w:ind w:right="57"/>
              <w:jc w:val="right"/>
              <w:rPr>
                <w:rFonts w:ascii="Arial" w:hAnsi="Arial" w:cs="Arial"/>
                <w:i/>
                <w:sz w:val="16"/>
                <w:szCs w:val="16"/>
                <w:lang w:val="pl-PL"/>
              </w:rPr>
            </w:pPr>
            <w:r w:rsidRPr="00765C97">
              <w:rPr>
                <w:rFonts w:ascii="Arial" w:hAnsi="Arial" w:cs="Arial"/>
                <w:i/>
                <w:sz w:val="16"/>
                <w:szCs w:val="16"/>
                <w:lang w:val="pl-PL"/>
              </w:rPr>
              <w:t>-</w:t>
            </w:r>
          </w:p>
        </w:tc>
        <w:tc>
          <w:tcPr>
            <w:tcW w:w="1186" w:type="dxa"/>
            <w:tcBorders>
              <w:left w:val="nil"/>
              <w:right w:val="nil"/>
            </w:tcBorders>
            <w:vAlign w:val="center"/>
          </w:tcPr>
          <w:p w:rsidR="00F335D5" w:rsidRPr="00765C97" w:rsidRDefault="00F335D5" w:rsidP="007860C5">
            <w:pPr>
              <w:ind w:right="57"/>
              <w:jc w:val="right"/>
              <w:rPr>
                <w:rFonts w:ascii="Arial" w:hAnsi="Arial" w:cs="Arial"/>
                <w:i/>
                <w:color w:val="000000"/>
                <w:sz w:val="16"/>
                <w:szCs w:val="16"/>
                <w:lang w:val="pl-PL"/>
              </w:rPr>
            </w:pPr>
            <w:r w:rsidRPr="00765C97">
              <w:rPr>
                <w:rFonts w:ascii="Arial" w:hAnsi="Arial" w:cs="Arial"/>
                <w:i/>
                <w:color w:val="000000"/>
                <w:sz w:val="16"/>
                <w:szCs w:val="16"/>
                <w:lang w:val="pl-PL"/>
              </w:rPr>
              <w:t>-</w:t>
            </w:r>
          </w:p>
        </w:tc>
        <w:tc>
          <w:tcPr>
            <w:tcW w:w="1134" w:type="dxa"/>
            <w:tcBorders>
              <w:left w:val="nil"/>
              <w:right w:val="nil"/>
            </w:tcBorders>
            <w:vAlign w:val="center"/>
          </w:tcPr>
          <w:p w:rsidR="00F335D5" w:rsidRPr="00765C97" w:rsidRDefault="00F335D5" w:rsidP="007860C5">
            <w:pPr>
              <w:ind w:right="18"/>
              <w:jc w:val="right"/>
              <w:rPr>
                <w:rFonts w:ascii="Arial" w:hAnsi="Arial" w:cs="Arial"/>
                <w:i/>
                <w:sz w:val="16"/>
                <w:szCs w:val="16"/>
                <w:lang w:val="pl-PL"/>
              </w:rPr>
            </w:pPr>
            <w:r w:rsidRPr="00765C97">
              <w:rPr>
                <w:rFonts w:ascii="Arial" w:hAnsi="Arial" w:cs="Arial"/>
                <w:i/>
                <w:sz w:val="16"/>
                <w:szCs w:val="16"/>
                <w:lang w:val="pl-PL"/>
              </w:rPr>
              <w:t>83</w:t>
            </w:r>
          </w:p>
        </w:tc>
        <w:tc>
          <w:tcPr>
            <w:tcW w:w="720" w:type="dxa"/>
            <w:tcBorders>
              <w:left w:val="nil"/>
              <w:right w:val="nil"/>
            </w:tcBorders>
            <w:vAlign w:val="center"/>
          </w:tcPr>
          <w:p w:rsidR="00F335D5" w:rsidRPr="00765C97" w:rsidRDefault="00F335D5" w:rsidP="007860C5">
            <w:pPr>
              <w:ind w:right="18"/>
              <w:jc w:val="right"/>
              <w:rPr>
                <w:rFonts w:ascii="Arial" w:hAnsi="Arial" w:cs="Arial"/>
                <w:i/>
                <w:sz w:val="16"/>
                <w:szCs w:val="16"/>
                <w:lang w:val="pl-PL"/>
              </w:rPr>
            </w:pPr>
            <w:r w:rsidRPr="00765C97">
              <w:rPr>
                <w:rFonts w:ascii="Arial" w:hAnsi="Arial" w:cs="Arial"/>
                <w:i/>
                <w:sz w:val="16"/>
                <w:szCs w:val="16"/>
                <w:lang w:val="pl-PL"/>
              </w:rPr>
              <w:t>(3 380)</w:t>
            </w:r>
          </w:p>
        </w:tc>
      </w:tr>
      <w:tr w:rsidR="00F335D5" w:rsidRPr="00765C97" w:rsidTr="007860C5">
        <w:trPr>
          <w:trHeight w:val="255"/>
        </w:trPr>
        <w:tc>
          <w:tcPr>
            <w:tcW w:w="2378" w:type="dxa"/>
            <w:tcBorders>
              <w:top w:val="nil"/>
              <w:left w:val="nil"/>
              <w:right w:val="nil"/>
            </w:tcBorders>
            <w:vAlign w:val="center"/>
          </w:tcPr>
          <w:p w:rsidR="00F335D5" w:rsidRPr="00765C97" w:rsidRDefault="00F335D5" w:rsidP="00F335D5">
            <w:pPr>
              <w:ind w:left="142" w:hanging="142"/>
              <w:rPr>
                <w:rFonts w:ascii="Arial" w:hAnsi="Arial"/>
                <w:i/>
                <w:sz w:val="16"/>
                <w:lang w:val="pl-PL"/>
              </w:rPr>
            </w:pPr>
            <w:r w:rsidRPr="00765C97">
              <w:rPr>
                <w:rFonts w:ascii="Arial" w:hAnsi="Arial"/>
                <w:i/>
                <w:sz w:val="16"/>
                <w:lang w:val="pl-PL"/>
              </w:rPr>
              <w:t xml:space="preserve">   Zysk (strata) za okres</w:t>
            </w:r>
            <w:r w:rsidRPr="00765C97">
              <w:rPr>
                <w:rFonts w:ascii="Arial" w:hAnsi="Arial"/>
                <w:i/>
                <w:sz w:val="16"/>
                <w:vertAlign w:val="superscript"/>
                <w:lang w:val="pl-PL"/>
              </w:rPr>
              <w:t>(2)</w:t>
            </w:r>
          </w:p>
        </w:tc>
        <w:tc>
          <w:tcPr>
            <w:tcW w:w="900" w:type="dxa"/>
            <w:tcBorders>
              <w:left w:val="nil"/>
              <w:bottom w:val="single" w:sz="2" w:space="0" w:color="auto"/>
              <w:right w:val="nil"/>
            </w:tcBorders>
            <w:vAlign w:val="center"/>
          </w:tcPr>
          <w:p w:rsidR="00F335D5" w:rsidRPr="00765C97" w:rsidRDefault="00F335D5" w:rsidP="007860C5">
            <w:pPr>
              <w:ind w:right="57"/>
              <w:jc w:val="right"/>
              <w:rPr>
                <w:rFonts w:ascii="Arial" w:hAnsi="Arial" w:cs="Arial"/>
                <w:i/>
                <w:sz w:val="16"/>
                <w:szCs w:val="16"/>
                <w:lang w:val="pl-PL"/>
              </w:rPr>
            </w:pPr>
            <w:r w:rsidRPr="00765C97">
              <w:rPr>
                <w:rFonts w:ascii="Arial" w:hAnsi="Arial" w:cs="Arial"/>
                <w:i/>
                <w:sz w:val="16"/>
                <w:szCs w:val="16"/>
                <w:lang w:val="pl-PL"/>
              </w:rPr>
              <w:t>-</w:t>
            </w:r>
          </w:p>
        </w:tc>
        <w:tc>
          <w:tcPr>
            <w:tcW w:w="833" w:type="dxa"/>
            <w:tcBorders>
              <w:left w:val="nil"/>
              <w:bottom w:val="single" w:sz="2" w:space="0" w:color="auto"/>
              <w:right w:val="nil"/>
            </w:tcBorders>
            <w:vAlign w:val="center"/>
          </w:tcPr>
          <w:p w:rsidR="00F335D5" w:rsidRPr="00765C97" w:rsidRDefault="00F335D5" w:rsidP="007860C5">
            <w:pPr>
              <w:ind w:right="57"/>
              <w:jc w:val="right"/>
              <w:rPr>
                <w:rFonts w:ascii="Arial" w:hAnsi="Arial" w:cs="Arial"/>
                <w:i/>
                <w:sz w:val="16"/>
                <w:szCs w:val="16"/>
                <w:lang w:val="pl-PL"/>
              </w:rPr>
            </w:pPr>
            <w:r w:rsidRPr="00765C97">
              <w:rPr>
                <w:rFonts w:ascii="Arial" w:hAnsi="Arial" w:cs="Arial"/>
                <w:i/>
                <w:sz w:val="16"/>
                <w:szCs w:val="16"/>
                <w:lang w:val="pl-PL"/>
              </w:rPr>
              <w:t>-</w:t>
            </w:r>
          </w:p>
        </w:tc>
        <w:tc>
          <w:tcPr>
            <w:tcW w:w="709" w:type="dxa"/>
            <w:tcBorders>
              <w:left w:val="nil"/>
              <w:bottom w:val="single" w:sz="2" w:space="0" w:color="auto"/>
              <w:right w:val="nil"/>
            </w:tcBorders>
            <w:vAlign w:val="center"/>
          </w:tcPr>
          <w:p w:rsidR="00F335D5" w:rsidRPr="00765C97" w:rsidRDefault="00F335D5" w:rsidP="007860C5">
            <w:pPr>
              <w:ind w:right="57"/>
              <w:jc w:val="right"/>
              <w:rPr>
                <w:rFonts w:ascii="Arial" w:hAnsi="Arial" w:cs="Arial"/>
                <w:i/>
                <w:sz w:val="16"/>
                <w:szCs w:val="16"/>
                <w:lang w:val="pl-PL"/>
              </w:rPr>
            </w:pPr>
            <w:r w:rsidRPr="00765C97">
              <w:rPr>
                <w:rFonts w:ascii="Arial" w:hAnsi="Arial" w:cs="Arial"/>
                <w:i/>
                <w:sz w:val="16"/>
                <w:szCs w:val="16"/>
                <w:lang w:val="pl-PL"/>
              </w:rPr>
              <w:t xml:space="preserve"> -</w:t>
            </w:r>
          </w:p>
        </w:tc>
        <w:tc>
          <w:tcPr>
            <w:tcW w:w="708" w:type="dxa"/>
            <w:tcBorders>
              <w:left w:val="nil"/>
              <w:bottom w:val="single" w:sz="2" w:space="0" w:color="auto"/>
              <w:right w:val="nil"/>
            </w:tcBorders>
            <w:vAlign w:val="center"/>
          </w:tcPr>
          <w:p w:rsidR="00F335D5" w:rsidRPr="00765C97" w:rsidRDefault="00F335D5" w:rsidP="007860C5">
            <w:pPr>
              <w:ind w:right="57"/>
              <w:jc w:val="right"/>
              <w:rPr>
                <w:rFonts w:ascii="Arial" w:hAnsi="Arial" w:cs="Arial"/>
                <w:i/>
                <w:sz w:val="16"/>
                <w:szCs w:val="16"/>
                <w:lang w:val="pl-PL"/>
              </w:rPr>
            </w:pPr>
            <w:r w:rsidRPr="00765C97">
              <w:rPr>
                <w:rFonts w:ascii="Arial" w:hAnsi="Arial" w:cs="Arial"/>
                <w:i/>
                <w:sz w:val="16"/>
                <w:szCs w:val="16"/>
                <w:lang w:val="pl-PL"/>
              </w:rPr>
              <w:t>36 257</w:t>
            </w:r>
          </w:p>
        </w:tc>
        <w:tc>
          <w:tcPr>
            <w:tcW w:w="1186" w:type="dxa"/>
            <w:tcBorders>
              <w:left w:val="nil"/>
              <w:bottom w:val="single" w:sz="2" w:space="0" w:color="auto"/>
              <w:right w:val="nil"/>
            </w:tcBorders>
            <w:vAlign w:val="center"/>
          </w:tcPr>
          <w:p w:rsidR="00F335D5" w:rsidRPr="00765C97" w:rsidRDefault="00F335D5" w:rsidP="007860C5">
            <w:pPr>
              <w:ind w:right="57"/>
              <w:jc w:val="right"/>
              <w:rPr>
                <w:rFonts w:ascii="Arial" w:hAnsi="Arial" w:cs="Arial"/>
                <w:i/>
                <w:color w:val="000000"/>
                <w:sz w:val="16"/>
                <w:szCs w:val="16"/>
                <w:lang w:val="pl-PL"/>
              </w:rPr>
            </w:pPr>
            <w:r w:rsidRPr="00765C97">
              <w:rPr>
                <w:rFonts w:ascii="Arial" w:hAnsi="Arial" w:cs="Arial"/>
                <w:i/>
                <w:color w:val="000000"/>
                <w:sz w:val="16"/>
                <w:szCs w:val="16"/>
                <w:lang w:val="pl-PL"/>
              </w:rPr>
              <w:t>-</w:t>
            </w:r>
          </w:p>
        </w:tc>
        <w:tc>
          <w:tcPr>
            <w:tcW w:w="1134" w:type="dxa"/>
            <w:tcBorders>
              <w:left w:val="nil"/>
              <w:bottom w:val="single" w:sz="2" w:space="0" w:color="auto"/>
              <w:right w:val="nil"/>
            </w:tcBorders>
            <w:vAlign w:val="center"/>
          </w:tcPr>
          <w:p w:rsidR="00F335D5" w:rsidRPr="00765C97" w:rsidRDefault="00F335D5" w:rsidP="007860C5">
            <w:pPr>
              <w:ind w:right="18"/>
              <w:jc w:val="right"/>
              <w:rPr>
                <w:rFonts w:ascii="Arial" w:hAnsi="Arial" w:cs="Arial"/>
                <w:i/>
                <w:sz w:val="16"/>
                <w:szCs w:val="16"/>
                <w:lang w:val="pl-PL"/>
              </w:rPr>
            </w:pPr>
            <w:r w:rsidRPr="00765C97">
              <w:rPr>
                <w:rFonts w:ascii="Arial" w:hAnsi="Arial" w:cs="Arial"/>
                <w:i/>
                <w:sz w:val="16"/>
                <w:szCs w:val="16"/>
                <w:lang w:val="pl-PL"/>
              </w:rPr>
              <w:t>(3 190)</w:t>
            </w:r>
          </w:p>
        </w:tc>
        <w:tc>
          <w:tcPr>
            <w:tcW w:w="720" w:type="dxa"/>
            <w:tcBorders>
              <w:left w:val="nil"/>
              <w:bottom w:val="single" w:sz="2" w:space="0" w:color="auto"/>
              <w:right w:val="nil"/>
            </w:tcBorders>
            <w:vAlign w:val="center"/>
          </w:tcPr>
          <w:p w:rsidR="00F335D5" w:rsidRPr="00765C97" w:rsidRDefault="00F335D5" w:rsidP="007860C5">
            <w:pPr>
              <w:ind w:right="18"/>
              <w:jc w:val="right"/>
              <w:rPr>
                <w:rFonts w:ascii="Arial" w:hAnsi="Arial" w:cs="Arial"/>
                <w:i/>
                <w:sz w:val="16"/>
                <w:szCs w:val="16"/>
                <w:lang w:val="pl-PL"/>
              </w:rPr>
            </w:pPr>
            <w:r w:rsidRPr="00765C97">
              <w:rPr>
                <w:rFonts w:ascii="Arial" w:hAnsi="Arial" w:cs="Arial"/>
                <w:i/>
                <w:sz w:val="16"/>
                <w:szCs w:val="16"/>
                <w:lang w:val="pl-PL"/>
              </w:rPr>
              <w:t>33 067</w:t>
            </w:r>
          </w:p>
        </w:tc>
      </w:tr>
      <w:tr w:rsidR="00F335D5" w:rsidRPr="00765C97" w:rsidTr="007860C5">
        <w:trPr>
          <w:trHeight w:val="255"/>
        </w:trPr>
        <w:tc>
          <w:tcPr>
            <w:tcW w:w="2378" w:type="dxa"/>
            <w:tcBorders>
              <w:top w:val="nil"/>
              <w:left w:val="nil"/>
              <w:right w:val="nil"/>
            </w:tcBorders>
            <w:vAlign w:val="center"/>
          </w:tcPr>
          <w:p w:rsidR="00F335D5" w:rsidRPr="00765C97" w:rsidRDefault="00F335D5" w:rsidP="00F335D5">
            <w:pPr>
              <w:rPr>
                <w:rFonts w:ascii="Arial" w:hAnsi="Arial"/>
                <w:b/>
                <w:sz w:val="16"/>
                <w:lang w:val="pl-PL"/>
              </w:rPr>
            </w:pPr>
            <w:r w:rsidRPr="00765C97">
              <w:rPr>
                <w:rFonts w:ascii="Arial" w:hAnsi="Arial"/>
                <w:sz w:val="16"/>
                <w:lang w:val="pl-PL"/>
              </w:rPr>
              <w:t xml:space="preserve">Całkowite dochody za okres </w:t>
            </w:r>
            <w:r w:rsidRPr="00765C97">
              <w:rPr>
                <w:rFonts w:ascii="Arial" w:hAnsi="Arial"/>
                <w:sz w:val="12"/>
                <w:lang w:val="pl-PL"/>
              </w:rPr>
              <w:t>(1+2)</w:t>
            </w:r>
          </w:p>
        </w:tc>
        <w:tc>
          <w:tcPr>
            <w:tcW w:w="900" w:type="dxa"/>
            <w:tcBorders>
              <w:top w:val="single" w:sz="2" w:space="0" w:color="auto"/>
              <w:left w:val="nil"/>
              <w:bottom w:val="single" w:sz="2" w:space="0" w:color="auto"/>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833" w:type="dxa"/>
            <w:tcBorders>
              <w:top w:val="single" w:sz="2" w:space="0" w:color="auto"/>
              <w:left w:val="nil"/>
              <w:bottom w:val="single" w:sz="2" w:space="0" w:color="auto"/>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9" w:type="dxa"/>
            <w:tcBorders>
              <w:top w:val="single" w:sz="2" w:space="0" w:color="auto"/>
              <w:left w:val="nil"/>
              <w:bottom w:val="single" w:sz="2" w:space="0" w:color="auto"/>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(3 463)</w:t>
            </w:r>
          </w:p>
        </w:tc>
        <w:tc>
          <w:tcPr>
            <w:tcW w:w="708" w:type="dxa"/>
            <w:tcBorders>
              <w:top w:val="single" w:sz="2" w:space="0" w:color="auto"/>
              <w:left w:val="nil"/>
              <w:bottom w:val="single" w:sz="2" w:space="0" w:color="auto"/>
              <w:right w:val="nil"/>
            </w:tcBorders>
            <w:vAlign w:val="center"/>
          </w:tcPr>
          <w:p w:rsidR="00F335D5" w:rsidRPr="00765C97" w:rsidRDefault="00F335D5" w:rsidP="007860C5">
            <w:pPr>
              <w:ind w:right="57"/>
              <w:jc w:val="right"/>
              <w:rPr>
                <w:rFonts w:ascii="Arial" w:hAnsi="Arial" w:cs="Arial"/>
                <w:sz w:val="16"/>
                <w:szCs w:val="16"/>
                <w:lang w:val="pl-PL"/>
              </w:rPr>
            </w:pPr>
            <w:r w:rsidRPr="00765C97">
              <w:rPr>
                <w:rFonts w:ascii="Arial" w:hAnsi="Arial" w:cs="Arial"/>
                <w:sz w:val="16"/>
                <w:szCs w:val="16"/>
                <w:lang w:val="pl-PL"/>
              </w:rPr>
              <w:t>36 257</w:t>
            </w:r>
          </w:p>
        </w:tc>
        <w:tc>
          <w:tcPr>
            <w:tcW w:w="1186" w:type="dxa"/>
            <w:tcBorders>
              <w:top w:val="single" w:sz="2" w:space="0" w:color="auto"/>
              <w:left w:val="nil"/>
              <w:bottom w:val="single" w:sz="2" w:space="0" w:color="auto"/>
              <w:right w:val="nil"/>
            </w:tcBorders>
            <w:vAlign w:val="center"/>
          </w:tcPr>
          <w:p w:rsidR="00F335D5" w:rsidRPr="00765C97" w:rsidRDefault="00F335D5" w:rsidP="007860C5">
            <w:pPr>
              <w:ind w:right="57"/>
              <w:jc w:val="right"/>
              <w:rPr>
                <w:rFonts w:ascii="Arial" w:hAnsi="Arial" w:cs="Arial"/>
                <w:color w:val="000000"/>
                <w:sz w:val="16"/>
                <w:szCs w:val="16"/>
                <w:lang w:val="pl-PL"/>
              </w:rPr>
            </w:pPr>
            <w:r w:rsidRPr="00765C97">
              <w:rPr>
                <w:rFonts w:ascii="Arial" w:hAnsi="Arial" w:cs="Arial"/>
                <w:color w:val="000000"/>
                <w:sz w:val="16"/>
                <w:szCs w:val="16"/>
                <w:lang w:val="pl-PL"/>
              </w:rPr>
              <w:t>-</w:t>
            </w:r>
          </w:p>
        </w:tc>
        <w:tc>
          <w:tcPr>
            <w:tcW w:w="1134" w:type="dxa"/>
            <w:tcBorders>
              <w:top w:val="single" w:sz="2" w:space="0" w:color="auto"/>
              <w:left w:val="nil"/>
              <w:bottom w:val="single" w:sz="2" w:space="0" w:color="auto"/>
              <w:right w:val="nil"/>
            </w:tcBorders>
            <w:vAlign w:val="center"/>
          </w:tcPr>
          <w:p w:rsidR="00F335D5" w:rsidRPr="00765C97" w:rsidRDefault="00F335D5" w:rsidP="007860C5">
            <w:pPr>
              <w:ind w:right="18"/>
              <w:jc w:val="right"/>
              <w:rPr>
                <w:rFonts w:ascii="Arial" w:hAnsi="Arial" w:cs="Arial"/>
                <w:sz w:val="16"/>
                <w:szCs w:val="16"/>
                <w:lang w:val="pl-PL"/>
              </w:rPr>
            </w:pPr>
            <w:r w:rsidRPr="00765C97">
              <w:rPr>
                <w:rFonts w:ascii="Arial" w:hAnsi="Arial" w:cs="Arial"/>
                <w:sz w:val="16"/>
                <w:szCs w:val="16"/>
                <w:lang w:val="pl-PL"/>
              </w:rPr>
              <w:t>(3 107)</w:t>
            </w:r>
          </w:p>
        </w:tc>
        <w:tc>
          <w:tcPr>
            <w:tcW w:w="720" w:type="dxa"/>
            <w:tcBorders>
              <w:top w:val="single" w:sz="2" w:space="0" w:color="auto"/>
              <w:left w:val="nil"/>
              <w:bottom w:val="single" w:sz="2" w:space="0" w:color="auto"/>
              <w:right w:val="nil"/>
            </w:tcBorders>
            <w:vAlign w:val="center"/>
          </w:tcPr>
          <w:p w:rsidR="00F335D5" w:rsidRPr="00765C97" w:rsidRDefault="00F335D5" w:rsidP="007860C5">
            <w:pPr>
              <w:ind w:right="18"/>
              <w:jc w:val="right"/>
              <w:rPr>
                <w:rFonts w:ascii="Arial" w:hAnsi="Arial" w:cs="Arial"/>
                <w:sz w:val="16"/>
                <w:szCs w:val="16"/>
                <w:lang w:val="pl-PL"/>
              </w:rPr>
            </w:pPr>
            <w:r w:rsidRPr="00765C97">
              <w:rPr>
                <w:rFonts w:ascii="Arial" w:hAnsi="Arial" w:cs="Arial"/>
                <w:sz w:val="16"/>
                <w:szCs w:val="16"/>
                <w:lang w:val="pl-PL"/>
              </w:rPr>
              <w:t>29 687</w:t>
            </w:r>
          </w:p>
        </w:tc>
      </w:tr>
      <w:tr w:rsidR="00F335D5" w:rsidRPr="00765C97" w:rsidTr="007860C5">
        <w:trPr>
          <w:trHeight w:val="255"/>
        </w:trPr>
        <w:tc>
          <w:tcPr>
            <w:tcW w:w="2378" w:type="dxa"/>
            <w:tcBorders>
              <w:top w:val="nil"/>
              <w:left w:val="nil"/>
              <w:bottom w:val="nil"/>
              <w:right w:val="nil"/>
            </w:tcBorders>
            <w:vAlign w:val="center"/>
          </w:tcPr>
          <w:p w:rsidR="00F335D5" w:rsidRPr="00765C97" w:rsidRDefault="00F335D5" w:rsidP="007860C5">
            <w:pPr>
              <w:ind w:right="-120"/>
              <w:rPr>
                <w:rFonts w:ascii="Arial" w:hAnsi="Arial"/>
                <w:b/>
                <w:sz w:val="16"/>
                <w:lang w:val="pl-PL"/>
              </w:rPr>
            </w:pPr>
            <w:r w:rsidRPr="00765C97">
              <w:rPr>
                <w:rFonts w:ascii="Arial" w:hAnsi="Arial"/>
                <w:b/>
                <w:sz w:val="16"/>
                <w:lang w:val="pl-PL"/>
              </w:rPr>
              <w:t>Stan na</w:t>
            </w:r>
            <w:r w:rsidR="007860C5" w:rsidRPr="00765C97">
              <w:rPr>
                <w:rFonts w:ascii="Arial" w:hAnsi="Arial"/>
                <w:b/>
                <w:sz w:val="16"/>
                <w:lang w:val="pl-PL"/>
              </w:rPr>
              <w:t xml:space="preserve"> </w:t>
            </w:r>
            <w:r w:rsidRPr="00765C97">
              <w:rPr>
                <w:rFonts w:ascii="Arial" w:hAnsi="Arial"/>
                <w:b/>
                <w:sz w:val="16"/>
                <w:lang w:val="pl-PL"/>
              </w:rPr>
              <w:t>31 grudnia 2011 r.</w:t>
            </w:r>
          </w:p>
        </w:tc>
        <w:tc>
          <w:tcPr>
            <w:tcW w:w="900" w:type="dxa"/>
            <w:tcBorders>
              <w:top w:val="single" w:sz="2" w:space="0" w:color="auto"/>
              <w:left w:val="nil"/>
              <w:bottom w:val="single" w:sz="2" w:space="0" w:color="auto"/>
              <w:right w:val="nil"/>
            </w:tcBorders>
            <w:vAlign w:val="center"/>
          </w:tcPr>
          <w:p w:rsidR="00F335D5" w:rsidRPr="00765C97" w:rsidRDefault="00F335D5" w:rsidP="007860C5">
            <w:pPr>
              <w:ind w:right="57"/>
              <w:jc w:val="right"/>
              <w:rPr>
                <w:rFonts w:ascii="Arial" w:hAnsi="Arial" w:cs="Arial"/>
                <w:b/>
                <w:sz w:val="16"/>
                <w:szCs w:val="16"/>
                <w:lang w:val="pl-PL"/>
              </w:rPr>
            </w:pPr>
            <w:r w:rsidRPr="00765C97">
              <w:rPr>
                <w:rFonts w:ascii="Arial" w:hAnsi="Arial" w:cs="Arial"/>
                <w:b/>
                <w:sz w:val="16"/>
                <w:szCs w:val="16"/>
                <w:lang w:val="pl-PL"/>
              </w:rPr>
              <w:t>8 051</w:t>
            </w:r>
          </w:p>
        </w:tc>
        <w:tc>
          <w:tcPr>
            <w:tcW w:w="833" w:type="dxa"/>
            <w:tcBorders>
              <w:top w:val="single" w:sz="2" w:space="0" w:color="auto"/>
              <w:left w:val="nil"/>
              <w:bottom w:val="single" w:sz="2" w:space="0" w:color="auto"/>
              <w:right w:val="nil"/>
            </w:tcBorders>
            <w:vAlign w:val="center"/>
          </w:tcPr>
          <w:p w:rsidR="00F335D5" w:rsidRPr="00765C97" w:rsidRDefault="00F335D5" w:rsidP="007860C5">
            <w:pPr>
              <w:ind w:right="57"/>
              <w:jc w:val="right"/>
              <w:rPr>
                <w:rFonts w:ascii="Arial" w:hAnsi="Arial" w:cs="Arial"/>
                <w:b/>
                <w:sz w:val="16"/>
                <w:szCs w:val="16"/>
                <w:lang w:val="pl-PL"/>
              </w:rPr>
            </w:pPr>
            <w:r w:rsidRPr="00765C97">
              <w:rPr>
                <w:rFonts w:ascii="Arial" w:hAnsi="Arial" w:cs="Arial"/>
                <w:b/>
                <w:sz w:val="16"/>
                <w:szCs w:val="16"/>
                <w:lang w:val="pl-PL"/>
              </w:rPr>
              <w:t>142 007</w:t>
            </w:r>
          </w:p>
        </w:tc>
        <w:tc>
          <w:tcPr>
            <w:tcW w:w="709" w:type="dxa"/>
            <w:tcBorders>
              <w:top w:val="single" w:sz="2" w:space="0" w:color="auto"/>
              <w:left w:val="nil"/>
              <w:bottom w:val="single" w:sz="2" w:space="0" w:color="auto"/>
              <w:right w:val="nil"/>
            </w:tcBorders>
            <w:vAlign w:val="center"/>
          </w:tcPr>
          <w:p w:rsidR="00F335D5" w:rsidRPr="00765C97" w:rsidRDefault="00F335D5" w:rsidP="007860C5">
            <w:pPr>
              <w:ind w:right="57"/>
              <w:jc w:val="right"/>
              <w:rPr>
                <w:rFonts w:ascii="Arial" w:hAnsi="Arial" w:cs="Arial"/>
                <w:b/>
                <w:sz w:val="16"/>
                <w:szCs w:val="16"/>
                <w:lang w:val="pl-PL"/>
              </w:rPr>
            </w:pPr>
            <w:r w:rsidRPr="00765C97">
              <w:rPr>
                <w:rFonts w:ascii="Arial" w:hAnsi="Arial" w:cs="Arial"/>
                <w:b/>
                <w:sz w:val="16"/>
                <w:szCs w:val="16"/>
                <w:lang w:val="pl-PL"/>
              </w:rPr>
              <w:t>6 595</w:t>
            </w:r>
          </w:p>
        </w:tc>
        <w:tc>
          <w:tcPr>
            <w:tcW w:w="708" w:type="dxa"/>
            <w:tcBorders>
              <w:top w:val="single" w:sz="2" w:space="0" w:color="auto"/>
              <w:left w:val="nil"/>
              <w:bottom w:val="single" w:sz="2" w:space="0" w:color="auto"/>
              <w:right w:val="nil"/>
            </w:tcBorders>
            <w:vAlign w:val="center"/>
          </w:tcPr>
          <w:p w:rsidR="00F335D5" w:rsidRPr="00765C97" w:rsidRDefault="00F335D5" w:rsidP="007860C5">
            <w:pPr>
              <w:ind w:right="57"/>
              <w:jc w:val="right"/>
              <w:rPr>
                <w:rFonts w:ascii="Arial" w:hAnsi="Arial" w:cs="Arial"/>
                <w:b/>
                <w:sz w:val="16"/>
                <w:szCs w:val="16"/>
                <w:lang w:val="pl-PL"/>
              </w:rPr>
            </w:pPr>
            <w:r w:rsidRPr="00765C97">
              <w:rPr>
                <w:rFonts w:ascii="Arial" w:hAnsi="Arial" w:cs="Arial"/>
                <w:b/>
                <w:sz w:val="16"/>
                <w:szCs w:val="16"/>
                <w:lang w:val="pl-PL"/>
              </w:rPr>
              <w:t>36 257</w:t>
            </w:r>
          </w:p>
        </w:tc>
        <w:tc>
          <w:tcPr>
            <w:tcW w:w="1186" w:type="dxa"/>
            <w:tcBorders>
              <w:top w:val="single" w:sz="2" w:space="0" w:color="auto"/>
              <w:left w:val="nil"/>
              <w:bottom w:val="single" w:sz="2" w:space="0" w:color="auto"/>
              <w:right w:val="nil"/>
            </w:tcBorders>
            <w:vAlign w:val="center"/>
          </w:tcPr>
          <w:p w:rsidR="00F335D5" w:rsidRPr="00765C97" w:rsidRDefault="00F335D5" w:rsidP="007860C5">
            <w:pPr>
              <w:ind w:right="57"/>
              <w:jc w:val="right"/>
              <w:rPr>
                <w:rFonts w:ascii="Arial" w:hAnsi="Arial" w:cs="Arial"/>
                <w:b/>
                <w:color w:val="000000"/>
                <w:sz w:val="16"/>
                <w:szCs w:val="16"/>
                <w:lang w:val="pl-PL"/>
              </w:rPr>
            </w:pPr>
            <w:r w:rsidRPr="00765C97">
              <w:rPr>
                <w:rFonts w:ascii="Arial" w:hAnsi="Arial" w:cs="Arial"/>
                <w:b/>
                <w:color w:val="000000"/>
                <w:sz w:val="16"/>
                <w:szCs w:val="16"/>
                <w:lang w:val="pl-PL"/>
              </w:rPr>
              <w:t>407 444</w:t>
            </w:r>
          </w:p>
        </w:tc>
        <w:tc>
          <w:tcPr>
            <w:tcW w:w="1134" w:type="dxa"/>
            <w:tcBorders>
              <w:top w:val="single" w:sz="2" w:space="0" w:color="auto"/>
              <w:left w:val="nil"/>
              <w:bottom w:val="single" w:sz="2" w:space="0" w:color="auto"/>
              <w:right w:val="nil"/>
            </w:tcBorders>
            <w:vAlign w:val="center"/>
          </w:tcPr>
          <w:p w:rsidR="00F335D5" w:rsidRPr="00765C97" w:rsidRDefault="00F335D5" w:rsidP="007860C5">
            <w:pPr>
              <w:ind w:right="18"/>
              <w:jc w:val="right"/>
              <w:rPr>
                <w:rFonts w:ascii="Arial" w:hAnsi="Arial" w:cs="Arial"/>
                <w:b/>
                <w:sz w:val="16"/>
                <w:szCs w:val="16"/>
                <w:lang w:val="pl-PL"/>
              </w:rPr>
            </w:pPr>
            <w:r w:rsidRPr="00765C97">
              <w:rPr>
                <w:rFonts w:ascii="Arial" w:hAnsi="Arial" w:cs="Arial"/>
                <w:b/>
                <w:sz w:val="16"/>
                <w:szCs w:val="16"/>
                <w:lang w:val="pl-PL"/>
              </w:rPr>
              <w:t>9 497</w:t>
            </w:r>
          </w:p>
        </w:tc>
        <w:tc>
          <w:tcPr>
            <w:tcW w:w="720" w:type="dxa"/>
            <w:tcBorders>
              <w:top w:val="single" w:sz="2" w:space="0" w:color="auto"/>
              <w:left w:val="nil"/>
              <w:bottom w:val="single" w:sz="2" w:space="0" w:color="auto"/>
              <w:right w:val="nil"/>
            </w:tcBorders>
            <w:vAlign w:val="center"/>
          </w:tcPr>
          <w:p w:rsidR="00F335D5" w:rsidRPr="00765C97" w:rsidRDefault="00F335D5" w:rsidP="007860C5">
            <w:pPr>
              <w:ind w:right="18"/>
              <w:jc w:val="right"/>
              <w:rPr>
                <w:rFonts w:ascii="Arial" w:hAnsi="Arial" w:cs="Arial"/>
                <w:b/>
                <w:sz w:val="16"/>
                <w:szCs w:val="16"/>
                <w:lang w:val="pl-PL"/>
              </w:rPr>
            </w:pPr>
            <w:r w:rsidRPr="00765C97">
              <w:rPr>
                <w:rFonts w:ascii="Arial" w:hAnsi="Arial" w:cs="Arial"/>
                <w:b/>
                <w:sz w:val="16"/>
                <w:szCs w:val="16"/>
                <w:lang w:val="pl-PL"/>
              </w:rPr>
              <w:t>609 851</w:t>
            </w:r>
          </w:p>
        </w:tc>
      </w:tr>
      <w:tr w:rsidR="007860C5" w:rsidRPr="00765C97" w:rsidTr="007860C5">
        <w:trPr>
          <w:trHeight w:val="255"/>
        </w:trPr>
        <w:tc>
          <w:tcPr>
            <w:tcW w:w="2378" w:type="dxa"/>
            <w:tcBorders>
              <w:top w:val="nil"/>
              <w:left w:val="nil"/>
              <w:right w:val="nil"/>
            </w:tcBorders>
            <w:vAlign w:val="center"/>
          </w:tcPr>
          <w:p w:rsidR="007860C5" w:rsidRPr="00765C97" w:rsidRDefault="007860C5" w:rsidP="007860C5">
            <w:pPr>
              <w:spacing w:after="60"/>
              <w:rPr>
                <w:rFonts w:ascii="Arial" w:hAnsi="Arial"/>
                <w:sz w:val="16"/>
                <w:lang w:val="pl-PL"/>
              </w:rPr>
            </w:pPr>
            <w:r w:rsidRPr="00765C97">
              <w:rPr>
                <w:rFonts w:ascii="Arial" w:hAnsi="Arial"/>
                <w:b/>
                <w:sz w:val="16"/>
                <w:lang w:val="pl-PL"/>
              </w:rPr>
              <w:t>Stan na 1 stycznia 2012 r.</w:t>
            </w:r>
          </w:p>
        </w:tc>
        <w:tc>
          <w:tcPr>
            <w:tcW w:w="900" w:type="dxa"/>
            <w:tcBorders>
              <w:top w:val="single" w:sz="2" w:space="0" w:color="auto"/>
              <w:left w:val="nil"/>
              <w:right w:val="nil"/>
            </w:tcBorders>
            <w:vAlign w:val="center"/>
          </w:tcPr>
          <w:p w:rsidR="007860C5" w:rsidRPr="00765C97" w:rsidRDefault="007860C5" w:rsidP="007860C5">
            <w:pPr>
              <w:ind w:right="57"/>
              <w:jc w:val="right"/>
              <w:rPr>
                <w:rFonts w:ascii="Arial" w:hAnsi="Arial" w:cs="Arial"/>
                <w:b/>
                <w:sz w:val="16"/>
                <w:szCs w:val="16"/>
                <w:lang w:val="pl-PL"/>
              </w:rPr>
            </w:pPr>
            <w:r w:rsidRPr="00765C97">
              <w:rPr>
                <w:rFonts w:ascii="Arial" w:hAnsi="Arial" w:cs="Arial"/>
                <w:b/>
                <w:sz w:val="16"/>
                <w:szCs w:val="16"/>
                <w:lang w:val="pl-PL"/>
              </w:rPr>
              <w:t>8 051</w:t>
            </w:r>
          </w:p>
        </w:tc>
        <w:tc>
          <w:tcPr>
            <w:tcW w:w="833" w:type="dxa"/>
            <w:tcBorders>
              <w:top w:val="single" w:sz="2" w:space="0" w:color="auto"/>
              <w:left w:val="nil"/>
              <w:right w:val="nil"/>
            </w:tcBorders>
            <w:vAlign w:val="center"/>
          </w:tcPr>
          <w:p w:rsidR="007860C5" w:rsidRPr="00765C97" w:rsidRDefault="007860C5" w:rsidP="007860C5">
            <w:pPr>
              <w:ind w:right="57"/>
              <w:jc w:val="right"/>
              <w:rPr>
                <w:rFonts w:ascii="Arial" w:hAnsi="Arial" w:cs="Arial"/>
                <w:b/>
                <w:sz w:val="16"/>
                <w:szCs w:val="16"/>
                <w:lang w:val="pl-PL"/>
              </w:rPr>
            </w:pPr>
            <w:r w:rsidRPr="00765C97">
              <w:rPr>
                <w:rFonts w:ascii="Arial" w:hAnsi="Arial" w:cs="Arial"/>
                <w:b/>
                <w:sz w:val="16"/>
                <w:szCs w:val="16"/>
                <w:lang w:val="pl-PL"/>
              </w:rPr>
              <w:t>142 007</w:t>
            </w:r>
          </w:p>
        </w:tc>
        <w:tc>
          <w:tcPr>
            <w:tcW w:w="709" w:type="dxa"/>
            <w:tcBorders>
              <w:top w:val="single" w:sz="2" w:space="0" w:color="auto"/>
              <w:left w:val="nil"/>
              <w:right w:val="nil"/>
            </w:tcBorders>
            <w:vAlign w:val="center"/>
          </w:tcPr>
          <w:p w:rsidR="007860C5" w:rsidRPr="00765C97" w:rsidRDefault="007860C5" w:rsidP="007860C5">
            <w:pPr>
              <w:ind w:right="57"/>
              <w:jc w:val="right"/>
              <w:rPr>
                <w:rFonts w:ascii="Arial" w:hAnsi="Arial" w:cs="Arial"/>
                <w:b/>
                <w:sz w:val="16"/>
                <w:szCs w:val="16"/>
                <w:lang w:val="pl-PL"/>
              </w:rPr>
            </w:pPr>
            <w:r w:rsidRPr="00765C97">
              <w:rPr>
                <w:rFonts w:ascii="Arial" w:hAnsi="Arial" w:cs="Arial"/>
                <w:b/>
                <w:sz w:val="16"/>
                <w:szCs w:val="16"/>
                <w:lang w:val="pl-PL"/>
              </w:rPr>
              <w:t>6 595</w:t>
            </w:r>
          </w:p>
        </w:tc>
        <w:tc>
          <w:tcPr>
            <w:tcW w:w="708" w:type="dxa"/>
            <w:tcBorders>
              <w:top w:val="single" w:sz="2" w:space="0" w:color="auto"/>
              <w:left w:val="nil"/>
              <w:right w:val="nil"/>
            </w:tcBorders>
            <w:vAlign w:val="center"/>
          </w:tcPr>
          <w:p w:rsidR="007860C5" w:rsidRPr="00765C97" w:rsidRDefault="007860C5" w:rsidP="007860C5">
            <w:pPr>
              <w:ind w:right="57"/>
              <w:jc w:val="right"/>
              <w:rPr>
                <w:rFonts w:ascii="Arial" w:hAnsi="Arial" w:cs="Arial"/>
                <w:b/>
                <w:sz w:val="16"/>
                <w:szCs w:val="16"/>
                <w:lang w:val="pl-PL"/>
              </w:rPr>
            </w:pPr>
            <w:r w:rsidRPr="00765C97">
              <w:rPr>
                <w:rFonts w:ascii="Arial" w:hAnsi="Arial" w:cs="Arial"/>
                <w:b/>
                <w:sz w:val="16"/>
                <w:szCs w:val="16"/>
                <w:lang w:val="pl-PL"/>
              </w:rPr>
              <w:t>36 257</w:t>
            </w:r>
          </w:p>
        </w:tc>
        <w:tc>
          <w:tcPr>
            <w:tcW w:w="1186" w:type="dxa"/>
            <w:tcBorders>
              <w:top w:val="single" w:sz="2" w:space="0" w:color="auto"/>
              <w:left w:val="nil"/>
              <w:right w:val="nil"/>
            </w:tcBorders>
            <w:vAlign w:val="center"/>
          </w:tcPr>
          <w:p w:rsidR="007860C5" w:rsidRPr="00765C97" w:rsidRDefault="007860C5" w:rsidP="007860C5">
            <w:pPr>
              <w:ind w:right="57"/>
              <w:jc w:val="right"/>
              <w:rPr>
                <w:rFonts w:ascii="Arial" w:hAnsi="Arial" w:cs="Arial"/>
                <w:b/>
                <w:color w:val="000000"/>
                <w:sz w:val="16"/>
                <w:szCs w:val="16"/>
                <w:lang w:val="pl-PL"/>
              </w:rPr>
            </w:pPr>
            <w:r w:rsidRPr="00765C97">
              <w:rPr>
                <w:rFonts w:ascii="Arial" w:hAnsi="Arial" w:cs="Arial"/>
                <w:b/>
                <w:color w:val="000000"/>
                <w:sz w:val="16"/>
                <w:szCs w:val="16"/>
                <w:lang w:val="pl-PL"/>
              </w:rPr>
              <w:t>407 444</w:t>
            </w:r>
          </w:p>
        </w:tc>
        <w:tc>
          <w:tcPr>
            <w:tcW w:w="1134" w:type="dxa"/>
            <w:tcBorders>
              <w:top w:val="single" w:sz="2" w:space="0" w:color="auto"/>
              <w:left w:val="nil"/>
              <w:right w:val="nil"/>
            </w:tcBorders>
            <w:vAlign w:val="center"/>
          </w:tcPr>
          <w:p w:rsidR="007860C5" w:rsidRPr="00765C97" w:rsidRDefault="007860C5" w:rsidP="007860C5">
            <w:pPr>
              <w:ind w:right="18"/>
              <w:jc w:val="right"/>
              <w:rPr>
                <w:rFonts w:ascii="Arial" w:hAnsi="Arial" w:cs="Arial"/>
                <w:b/>
                <w:sz w:val="16"/>
                <w:szCs w:val="16"/>
                <w:lang w:val="pl-PL"/>
              </w:rPr>
            </w:pPr>
            <w:r w:rsidRPr="00765C97">
              <w:rPr>
                <w:rFonts w:ascii="Arial" w:hAnsi="Arial" w:cs="Arial"/>
                <w:b/>
                <w:sz w:val="16"/>
                <w:szCs w:val="16"/>
                <w:lang w:val="pl-PL"/>
              </w:rPr>
              <w:t>9 497</w:t>
            </w:r>
          </w:p>
        </w:tc>
        <w:tc>
          <w:tcPr>
            <w:tcW w:w="720" w:type="dxa"/>
            <w:tcBorders>
              <w:top w:val="single" w:sz="2" w:space="0" w:color="auto"/>
              <w:left w:val="nil"/>
              <w:right w:val="nil"/>
            </w:tcBorders>
            <w:vAlign w:val="center"/>
          </w:tcPr>
          <w:p w:rsidR="007860C5" w:rsidRPr="00765C97" w:rsidRDefault="007860C5" w:rsidP="007860C5">
            <w:pPr>
              <w:ind w:right="18"/>
              <w:jc w:val="right"/>
              <w:rPr>
                <w:rFonts w:ascii="Arial" w:hAnsi="Arial" w:cs="Arial"/>
                <w:b/>
                <w:sz w:val="16"/>
                <w:szCs w:val="16"/>
                <w:lang w:val="pl-PL"/>
              </w:rPr>
            </w:pPr>
            <w:r w:rsidRPr="00765C97">
              <w:rPr>
                <w:rFonts w:ascii="Arial" w:hAnsi="Arial" w:cs="Arial"/>
                <w:b/>
                <w:sz w:val="16"/>
                <w:szCs w:val="16"/>
                <w:lang w:val="pl-PL"/>
              </w:rPr>
              <w:t>609 851</w:t>
            </w:r>
          </w:p>
        </w:tc>
      </w:tr>
      <w:tr w:rsidR="007860C5" w:rsidRPr="00765C97" w:rsidTr="007860C5">
        <w:trPr>
          <w:trHeight w:val="255"/>
        </w:trPr>
        <w:tc>
          <w:tcPr>
            <w:tcW w:w="2378" w:type="dxa"/>
            <w:tcBorders>
              <w:top w:val="nil"/>
              <w:left w:val="nil"/>
              <w:right w:val="nil"/>
            </w:tcBorders>
            <w:vAlign w:val="center"/>
          </w:tcPr>
          <w:p w:rsidR="007860C5" w:rsidRPr="00765C97" w:rsidRDefault="007860C5" w:rsidP="007860C5">
            <w:pPr>
              <w:spacing w:after="60"/>
              <w:rPr>
                <w:rFonts w:ascii="Arial" w:hAnsi="Arial"/>
                <w:sz w:val="16"/>
                <w:lang w:val="pl-PL"/>
              </w:rPr>
            </w:pPr>
            <w:r w:rsidRPr="00765C97">
              <w:rPr>
                <w:rFonts w:ascii="Arial" w:hAnsi="Arial"/>
                <w:sz w:val="16"/>
                <w:lang w:val="pl-PL"/>
              </w:rPr>
              <w:t xml:space="preserve">Przeniesienie wyniku za rok 2011 </w:t>
            </w:r>
          </w:p>
        </w:tc>
        <w:tc>
          <w:tcPr>
            <w:tcW w:w="900" w:type="dxa"/>
            <w:tcBorders>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833" w:type="dxa"/>
            <w:tcBorders>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9" w:type="dxa"/>
            <w:tcBorders>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8" w:type="dxa"/>
            <w:tcBorders>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(36 257)</w:t>
            </w:r>
          </w:p>
        </w:tc>
        <w:tc>
          <w:tcPr>
            <w:tcW w:w="1186" w:type="dxa"/>
            <w:tcBorders>
              <w:left w:val="nil"/>
              <w:right w:val="nil"/>
            </w:tcBorders>
            <w:vAlign w:val="center"/>
          </w:tcPr>
          <w:p w:rsidR="007860C5" w:rsidRPr="00765C97" w:rsidRDefault="007860C5" w:rsidP="007860C5">
            <w:pPr>
              <w:ind w:right="57"/>
              <w:jc w:val="right"/>
              <w:rPr>
                <w:rFonts w:ascii="Arial" w:hAnsi="Arial" w:cs="Arial"/>
                <w:color w:val="000000"/>
                <w:sz w:val="16"/>
                <w:szCs w:val="16"/>
                <w:lang w:val="pl-PL"/>
              </w:rPr>
            </w:pPr>
            <w:r w:rsidRPr="00765C97">
              <w:rPr>
                <w:rFonts w:ascii="Arial" w:hAnsi="Arial" w:cs="Arial"/>
                <w:color w:val="000000"/>
                <w:sz w:val="16"/>
                <w:szCs w:val="16"/>
                <w:lang w:val="pl-PL"/>
              </w:rPr>
              <w:t>36 257</w:t>
            </w:r>
          </w:p>
        </w:tc>
        <w:tc>
          <w:tcPr>
            <w:tcW w:w="1134" w:type="dxa"/>
            <w:tcBorders>
              <w:left w:val="nil"/>
              <w:right w:val="nil"/>
            </w:tcBorders>
            <w:vAlign w:val="center"/>
          </w:tcPr>
          <w:p w:rsidR="007860C5" w:rsidRPr="00765C97" w:rsidRDefault="007860C5" w:rsidP="007860C5">
            <w:pPr>
              <w:ind w:right="18"/>
              <w:jc w:val="right"/>
              <w:rPr>
                <w:rFonts w:ascii="Arial" w:hAnsi="Arial" w:cs="Arial"/>
                <w:sz w:val="16"/>
                <w:szCs w:val="16"/>
                <w:lang w:val="pl-PL"/>
              </w:rPr>
            </w:pPr>
            <w:r w:rsidRPr="00765C97">
              <w:rPr>
                <w:rFonts w:ascii="Arial" w:hAnsi="Arial" w:cs="Arial"/>
                <w:sz w:val="16"/>
                <w:szCs w:val="16"/>
                <w:lang w:val="pl-PL"/>
              </w:rPr>
              <w:t>-</w:t>
            </w:r>
          </w:p>
        </w:tc>
        <w:tc>
          <w:tcPr>
            <w:tcW w:w="720" w:type="dxa"/>
            <w:tcBorders>
              <w:left w:val="nil"/>
              <w:right w:val="nil"/>
            </w:tcBorders>
            <w:vAlign w:val="center"/>
          </w:tcPr>
          <w:p w:rsidR="007860C5" w:rsidRPr="00765C97" w:rsidRDefault="007860C5" w:rsidP="007860C5">
            <w:pPr>
              <w:ind w:right="18"/>
              <w:jc w:val="right"/>
              <w:rPr>
                <w:rFonts w:ascii="Arial" w:hAnsi="Arial" w:cs="Arial"/>
                <w:sz w:val="16"/>
                <w:szCs w:val="16"/>
                <w:lang w:val="pl-PL"/>
              </w:rPr>
            </w:pPr>
            <w:r w:rsidRPr="00765C97">
              <w:rPr>
                <w:rFonts w:ascii="Arial" w:hAnsi="Arial" w:cs="Arial"/>
                <w:sz w:val="16"/>
                <w:szCs w:val="16"/>
                <w:lang w:val="pl-PL"/>
              </w:rPr>
              <w:t>-</w:t>
            </w:r>
          </w:p>
        </w:tc>
      </w:tr>
      <w:tr w:rsidR="007860C5" w:rsidRPr="00765C97" w:rsidTr="007860C5">
        <w:trPr>
          <w:trHeight w:val="255"/>
        </w:trPr>
        <w:tc>
          <w:tcPr>
            <w:tcW w:w="2378" w:type="dxa"/>
            <w:tcBorders>
              <w:left w:val="nil"/>
              <w:bottom w:val="nil"/>
              <w:right w:val="nil"/>
            </w:tcBorders>
            <w:vAlign w:val="center"/>
          </w:tcPr>
          <w:p w:rsidR="007860C5" w:rsidRPr="00765C97" w:rsidRDefault="007860C5" w:rsidP="007860C5">
            <w:pPr>
              <w:spacing w:after="60"/>
              <w:rPr>
                <w:rFonts w:ascii="Arial" w:hAnsi="Arial"/>
                <w:sz w:val="16"/>
                <w:lang w:val="pl-PL"/>
              </w:rPr>
            </w:pPr>
            <w:r w:rsidRPr="00765C97">
              <w:rPr>
                <w:rFonts w:ascii="Arial" w:hAnsi="Arial"/>
                <w:sz w:val="16"/>
                <w:lang w:val="pl-PL"/>
              </w:rPr>
              <w:t>Dywidenda wypłacona</w:t>
            </w:r>
          </w:p>
        </w:tc>
        <w:tc>
          <w:tcPr>
            <w:tcW w:w="900" w:type="dxa"/>
            <w:tcBorders>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833" w:type="dxa"/>
            <w:tcBorders>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9" w:type="dxa"/>
            <w:tcBorders>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8" w:type="dxa"/>
            <w:tcBorders>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1186" w:type="dxa"/>
            <w:tcBorders>
              <w:left w:val="nil"/>
              <w:right w:val="nil"/>
            </w:tcBorders>
            <w:vAlign w:val="center"/>
          </w:tcPr>
          <w:p w:rsidR="007860C5" w:rsidRPr="00765C97" w:rsidRDefault="007860C5" w:rsidP="007860C5">
            <w:pPr>
              <w:ind w:right="57"/>
              <w:jc w:val="right"/>
              <w:rPr>
                <w:rFonts w:ascii="Arial" w:hAnsi="Arial" w:cs="Arial"/>
                <w:color w:val="000000"/>
                <w:sz w:val="16"/>
                <w:szCs w:val="16"/>
                <w:lang w:val="pl-PL"/>
              </w:rPr>
            </w:pPr>
            <w:r w:rsidRPr="00765C97">
              <w:rPr>
                <w:rFonts w:ascii="Arial" w:hAnsi="Arial" w:cs="Arial"/>
                <w:color w:val="000000"/>
                <w:sz w:val="16"/>
                <w:szCs w:val="16"/>
                <w:lang w:val="pl-PL"/>
              </w:rPr>
              <w:t>(14 760)</w:t>
            </w:r>
          </w:p>
        </w:tc>
        <w:tc>
          <w:tcPr>
            <w:tcW w:w="1134" w:type="dxa"/>
            <w:tcBorders>
              <w:left w:val="nil"/>
              <w:right w:val="nil"/>
            </w:tcBorders>
            <w:vAlign w:val="center"/>
          </w:tcPr>
          <w:p w:rsidR="007860C5" w:rsidRPr="00765C97" w:rsidRDefault="007860C5" w:rsidP="007860C5">
            <w:pPr>
              <w:ind w:right="18"/>
              <w:jc w:val="right"/>
              <w:rPr>
                <w:rFonts w:ascii="Arial" w:hAnsi="Arial" w:cs="Arial"/>
                <w:sz w:val="16"/>
                <w:szCs w:val="16"/>
                <w:lang w:val="pl-PL"/>
              </w:rPr>
            </w:pPr>
            <w:r w:rsidRPr="00765C97">
              <w:rPr>
                <w:rFonts w:ascii="Arial" w:hAnsi="Arial" w:cs="Arial"/>
                <w:sz w:val="16"/>
                <w:szCs w:val="16"/>
                <w:lang w:val="pl-PL"/>
              </w:rPr>
              <w:t>-</w:t>
            </w:r>
          </w:p>
        </w:tc>
        <w:tc>
          <w:tcPr>
            <w:tcW w:w="720" w:type="dxa"/>
            <w:tcBorders>
              <w:left w:val="nil"/>
              <w:right w:val="nil"/>
            </w:tcBorders>
            <w:vAlign w:val="center"/>
          </w:tcPr>
          <w:p w:rsidR="007860C5" w:rsidRPr="00765C97" w:rsidRDefault="007860C5" w:rsidP="007860C5">
            <w:pPr>
              <w:ind w:right="18"/>
              <w:jc w:val="right"/>
              <w:rPr>
                <w:rFonts w:ascii="Arial" w:hAnsi="Arial" w:cs="Arial"/>
                <w:sz w:val="16"/>
                <w:szCs w:val="16"/>
                <w:lang w:val="pl-PL"/>
              </w:rPr>
            </w:pPr>
            <w:r w:rsidRPr="00765C97">
              <w:rPr>
                <w:rFonts w:ascii="Arial" w:hAnsi="Arial" w:cs="Arial"/>
                <w:sz w:val="16"/>
                <w:szCs w:val="16"/>
                <w:lang w:val="pl-PL"/>
              </w:rPr>
              <w:t>(14 760)</w:t>
            </w:r>
          </w:p>
        </w:tc>
      </w:tr>
      <w:tr w:rsidR="007860C5" w:rsidRPr="00765C97" w:rsidTr="007860C5">
        <w:trPr>
          <w:trHeight w:val="255"/>
        </w:trPr>
        <w:tc>
          <w:tcPr>
            <w:tcW w:w="2378" w:type="dxa"/>
            <w:tcBorders>
              <w:left w:val="nil"/>
              <w:bottom w:val="nil"/>
              <w:right w:val="nil"/>
            </w:tcBorders>
            <w:vAlign w:val="center"/>
          </w:tcPr>
          <w:p w:rsidR="007860C5" w:rsidRPr="00765C97" w:rsidRDefault="007860C5" w:rsidP="007860C5">
            <w:pPr>
              <w:spacing w:after="60"/>
              <w:rPr>
                <w:rFonts w:ascii="Arial" w:hAnsi="Arial" w:cs="Arial"/>
                <w:sz w:val="16"/>
                <w:szCs w:val="16"/>
                <w:lang w:val="pl-PL"/>
              </w:rPr>
            </w:pPr>
            <w:r w:rsidRPr="00765C97">
              <w:rPr>
                <w:rFonts w:ascii="Arial" w:hAnsi="Arial" w:cs="Arial"/>
                <w:sz w:val="16"/>
                <w:szCs w:val="16"/>
                <w:lang w:val="pl-PL"/>
              </w:rPr>
              <w:t>Zmiany struktury własnościowej w MKS Cracovia SSA, Ca Consulting S</w:t>
            </w:r>
            <w:r w:rsidR="00BA34F3" w:rsidRPr="00765C97">
              <w:rPr>
                <w:rFonts w:ascii="Arial" w:hAnsi="Arial" w:cs="Arial"/>
                <w:sz w:val="16"/>
                <w:szCs w:val="16"/>
                <w:lang w:val="pl-PL"/>
              </w:rPr>
              <w:t>.</w:t>
            </w:r>
            <w:r w:rsidRPr="00765C97">
              <w:rPr>
                <w:rFonts w:ascii="Arial" w:hAnsi="Arial" w:cs="Arial"/>
                <w:sz w:val="16"/>
                <w:szCs w:val="16"/>
                <w:lang w:val="pl-PL"/>
              </w:rPr>
              <w:t>A</w:t>
            </w:r>
            <w:r w:rsidR="00BA34F3" w:rsidRPr="00765C97">
              <w:rPr>
                <w:rFonts w:ascii="Arial" w:hAnsi="Arial" w:cs="Arial"/>
                <w:sz w:val="16"/>
                <w:szCs w:val="16"/>
                <w:lang w:val="pl-PL"/>
              </w:rPr>
              <w:t>.</w:t>
            </w:r>
            <w:r w:rsidRPr="00765C97">
              <w:rPr>
                <w:rFonts w:ascii="Arial" w:hAnsi="Arial" w:cs="Arial"/>
                <w:sz w:val="16"/>
                <w:szCs w:val="16"/>
                <w:lang w:val="pl-PL"/>
              </w:rPr>
              <w:t xml:space="preserve"> i Comarch R&amp;D S.à r.l.</w:t>
            </w:r>
          </w:p>
        </w:tc>
        <w:tc>
          <w:tcPr>
            <w:tcW w:w="900" w:type="dxa"/>
            <w:tcBorders>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833" w:type="dxa"/>
            <w:tcBorders>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9" w:type="dxa"/>
            <w:tcBorders>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8" w:type="dxa"/>
            <w:tcBorders>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1186" w:type="dxa"/>
            <w:tcBorders>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1 679</w:t>
            </w:r>
          </w:p>
        </w:tc>
        <w:tc>
          <w:tcPr>
            <w:tcW w:w="1134" w:type="dxa"/>
            <w:tcBorders>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(1 679)</w:t>
            </w:r>
          </w:p>
        </w:tc>
        <w:tc>
          <w:tcPr>
            <w:tcW w:w="720" w:type="dxa"/>
            <w:tcBorders>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r>
      <w:tr w:rsidR="007860C5" w:rsidRPr="00765C97" w:rsidTr="007860C5">
        <w:trPr>
          <w:trHeight w:val="255"/>
        </w:trPr>
        <w:tc>
          <w:tcPr>
            <w:tcW w:w="2378" w:type="dxa"/>
            <w:tcBorders>
              <w:top w:val="nil"/>
              <w:left w:val="nil"/>
              <w:bottom w:val="nil"/>
              <w:right w:val="nil"/>
            </w:tcBorders>
            <w:vAlign w:val="center"/>
          </w:tcPr>
          <w:p w:rsidR="007860C5" w:rsidRPr="00765C97" w:rsidRDefault="007860C5" w:rsidP="007860C5">
            <w:pPr>
              <w:spacing w:after="60"/>
              <w:rPr>
                <w:rFonts w:ascii="Arial" w:hAnsi="Arial"/>
                <w:sz w:val="16"/>
                <w:lang w:val="pl-PL"/>
              </w:rPr>
            </w:pPr>
            <w:r w:rsidRPr="00765C97">
              <w:rPr>
                <w:rFonts w:ascii="Arial" w:hAnsi="Arial"/>
                <w:sz w:val="16"/>
                <w:lang w:val="pl-PL"/>
              </w:rPr>
              <w:t>Kapitał własny z przejęcia udziałów niekontrolujących</w:t>
            </w:r>
          </w:p>
        </w:tc>
        <w:tc>
          <w:tcPr>
            <w:tcW w:w="900" w:type="dxa"/>
            <w:tcBorders>
              <w:left w:val="nil"/>
              <w:bottom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833" w:type="dxa"/>
            <w:tcBorders>
              <w:left w:val="nil"/>
              <w:bottom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9" w:type="dxa"/>
            <w:tcBorders>
              <w:left w:val="nil"/>
              <w:bottom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8" w:type="dxa"/>
            <w:tcBorders>
              <w:left w:val="nil"/>
              <w:bottom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1186" w:type="dxa"/>
            <w:tcBorders>
              <w:left w:val="nil"/>
              <w:bottom w:val="nil"/>
              <w:right w:val="nil"/>
            </w:tcBorders>
            <w:vAlign w:val="center"/>
          </w:tcPr>
          <w:p w:rsidR="007860C5" w:rsidRPr="00765C97" w:rsidRDefault="007860C5" w:rsidP="007860C5">
            <w:pPr>
              <w:ind w:right="57"/>
              <w:jc w:val="right"/>
              <w:rPr>
                <w:rFonts w:ascii="Arial" w:hAnsi="Arial" w:cs="Arial"/>
                <w:color w:val="000000"/>
                <w:sz w:val="16"/>
                <w:szCs w:val="16"/>
                <w:lang w:val="pl-PL"/>
              </w:rPr>
            </w:pPr>
            <w:r w:rsidRPr="00765C97">
              <w:rPr>
                <w:rFonts w:ascii="Arial" w:hAnsi="Arial" w:cs="Arial"/>
                <w:color w:val="000000"/>
                <w:sz w:val="16"/>
                <w:szCs w:val="16"/>
                <w:lang w:val="pl-PL"/>
              </w:rPr>
              <w:t>(3 130)</w:t>
            </w:r>
          </w:p>
        </w:tc>
        <w:tc>
          <w:tcPr>
            <w:tcW w:w="1134" w:type="dxa"/>
            <w:tcBorders>
              <w:left w:val="nil"/>
              <w:bottom w:val="nil"/>
              <w:right w:val="nil"/>
            </w:tcBorders>
            <w:vAlign w:val="center"/>
          </w:tcPr>
          <w:p w:rsidR="007860C5" w:rsidRPr="00765C97" w:rsidRDefault="007860C5" w:rsidP="007860C5">
            <w:pPr>
              <w:ind w:right="18"/>
              <w:jc w:val="right"/>
              <w:rPr>
                <w:rFonts w:ascii="Arial" w:hAnsi="Arial" w:cs="Arial"/>
                <w:sz w:val="16"/>
                <w:szCs w:val="16"/>
                <w:lang w:val="pl-PL"/>
              </w:rPr>
            </w:pPr>
            <w:r w:rsidRPr="00765C97">
              <w:rPr>
                <w:rFonts w:ascii="Arial" w:hAnsi="Arial" w:cs="Arial"/>
                <w:sz w:val="16"/>
                <w:szCs w:val="16"/>
                <w:lang w:val="pl-PL"/>
              </w:rPr>
              <w:t>(1 039)</w:t>
            </w:r>
          </w:p>
        </w:tc>
        <w:tc>
          <w:tcPr>
            <w:tcW w:w="720" w:type="dxa"/>
            <w:tcBorders>
              <w:left w:val="nil"/>
              <w:bottom w:val="nil"/>
              <w:right w:val="nil"/>
            </w:tcBorders>
            <w:vAlign w:val="center"/>
          </w:tcPr>
          <w:p w:rsidR="007860C5" w:rsidRPr="00765C97" w:rsidRDefault="007860C5" w:rsidP="007860C5">
            <w:pPr>
              <w:ind w:right="18"/>
              <w:jc w:val="right"/>
              <w:rPr>
                <w:rFonts w:ascii="Arial" w:hAnsi="Arial" w:cs="Arial"/>
                <w:sz w:val="16"/>
                <w:szCs w:val="16"/>
                <w:lang w:val="pl-PL"/>
              </w:rPr>
            </w:pPr>
            <w:r w:rsidRPr="00765C97">
              <w:rPr>
                <w:rFonts w:ascii="Arial" w:hAnsi="Arial" w:cs="Arial"/>
                <w:sz w:val="16"/>
                <w:szCs w:val="16"/>
                <w:lang w:val="pl-PL"/>
              </w:rPr>
              <w:t>(4 169)</w:t>
            </w:r>
          </w:p>
        </w:tc>
      </w:tr>
      <w:tr w:rsidR="007860C5" w:rsidRPr="00765C97" w:rsidTr="007860C5">
        <w:trPr>
          <w:trHeight w:val="255"/>
        </w:trPr>
        <w:tc>
          <w:tcPr>
            <w:tcW w:w="2378" w:type="dxa"/>
            <w:tcBorders>
              <w:top w:val="nil"/>
              <w:left w:val="nil"/>
              <w:right w:val="nil"/>
            </w:tcBorders>
            <w:vAlign w:val="center"/>
          </w:tcPr>
          <w:p w:rsidR="007860C5" w:rsidRPr="00765C97" w:rsidRDefault="007860C5" w:rsidP="007860C5">
            <w:pPr>
              <w:spacing w:after="60"/>
              <w:rPr>
                <w:rFonts w:ascii="Arial" w:hAnsi="Arial"/>
                <w:sz w:val="16"/>
                <w:lang w:val="pl-PL"/>
              </w:rPr>
            </w:pPr>
            <w:r w:rsidRPr="00765C97">
              <w:rPr>
                <w:rFonts w:ascii="Arial" w:hAnsi="Arial"/>
                <w:sz w:val="16"/>
                <w:lang w:val="pl-PL"/>
              </w:rPr>
              <w:t>Kapitał z wyceny opcji menedżerskiej</w:t>
            </w:r>
          </w:p>
        </w:tc>
        <w:tc>
          <w:tcPr>
            <w:tcW w:w="900" w:type="dxa"/>
            <w:tcBorders>
              <w:top w:val="nil"/>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833" w:type="dxa"/>
            <w:tcBorders>
              <w:top w:val="nil"/>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325</w:t>
            </w:r>
          </w:p>
        </w:tc>
        <w:tc>
          <w:tcPr>
            <w:tcW w:w="709" w:type="dxa"/>
            <w:tcBorders>
              <w:top w:val="nil"/>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8" w:type="dxa"/>
            <w:tcBorders>
              <w:top w:val="nil"/>
              <w:left w:val="nil"/>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1186" w:type="dxa"/>
            <w:tcBorders>
              <w:top w:val="nil"/>
              <w:left w:val="nil"/>
              <w:right w:val="nil"/>
            </w:tcBorders>
            <w:vAlign w:val="center"/>
          </w:tcPr>
          <w:p w:rsidR="007860C5" w:rsidRPr="00765C97" w:rsidRDefault="007860C5" w:rsidP="007860C5">
            <w:pPr>
              <w:ind w:right="57"/>
              <w:jc w:val="right"/>
              <w:rPr>
                <w:rFonts w:ascii="Arial" w:hAnsi="Arial" w:cs="Arial"/>
                <w:color w:val="000000"/>
                <w:sz w:val="16"/>
                <w:szCs w:val="16"/>
                <w:lang w:val="pl-PL"/>
              </w:rPr>
            </w:pPr>
            <w:r w:rsidRPr="00765C97">
              <w:rPr>
                <w:rFonts w:ascii="Arial" w:hAnsi="Arial" w:cs="Arial"/>
                <w:color w:val="000000"/>
                <w:sz w:val="16"/>
                <w:szCs w:val="16"/>
                <w:lang w:val="pl-PL"/>
              </w:rPr>
              <w:t>-</w:t>
            </w:r>
          </w:p>
        </w:tc>
        <w:tc>
          <w:tcPr>
            <w:tcW w:w="1134" w:type="dxa"/>
            <w:tcBorders>
              <w:top w:val="nil"/>
              <w:left w:val="nil"/>
              <w:right w:val="nil"/>
            </w:tcBorders>
            <w:vAlign w:val="center"/>
          </w:tcPr>
          <w:p w:rsidR="007860C5" w:rsidRPr="00765C97" w:rsidRDefault="007860C5" w:rsidP="007860C5">
            <w:pPr>
              <w:ind w:right="18"/>
              <w:jc w:val="right"/>
              <w:rPr>
                <w:rFonts w:ascii="Arial" w:hAnsi="Arial" w:cs="Arial"/>
                <w:sz w:val="16"/>
                <w:szCs w:val="16"/>
                <w:lang w:val="pl-PL"/>
              </w:rPr>
            </w:pPr>
            <w:r w:rsidRPr="00765C97">
              <w:rPr>
                <w:rFonts w:ascii="Arial" w:hAnsi="Arial" w:cs="Arial"/>
                <w:sz w:val="16"/>
                <w:szCs w:val="16"/>
                <w:lang w:val="pl-PL"/>
              </w:rPr>
              <w:t>-</w:t>
            </w:r>
          </w:p>
        </w:tc>
        <w:tc>
          <w:tcPr>
            <w:tcW w:w="720" w:type="dxa"/>
            <w:tcBorders>
              <w:top w:val="nil"/>
              <w:left w:val="nil"/>
              <w:right w:val="nil"/>
            </w:tcBorders>
            <w:vAlign w:val="center"/>
          </w:tcPr>
          <w:p w:rsidR="007860C5" w:rsidRPr="00765C97" w:rsidRDefault="007860C5" w:rsidP="007860C5">
            <w:pPr>
              <w:ind w:right="18"/>
              <w:jc w:val="right"/>
              <w:rPr>
                <w:rFonts w:ascii="Arial" w:hAnsi="Arial" w:cs="Arial"/>
                <w:sz w:val="16"/>
                <w:szCs w:val="16"/>
                <w:lang w:val="pl-PL"/>
              </w:rPr>
            </w:pPr>
            <w:r w:rsidRPr="00765C97">
              <w:rPr>
                <w:rFonts w:ascii="Arial" w:hAnsi="Arial" w:cs="Arial"/>
                <w:sz w:val="16"/>
                <w:szCs w:val="16"/>
                <w:lang w:val="pl-PL"/>
              </w:rPr>
              <w:t>325</w:t>
            </w:r>
          </w:p>
        </w:tc>
      </w:tr>
      <w:tr w:rsidR="007860C5" w:rsidRPr="00765C97" w:rsidTr="007860C5">
        <w:trPr>
          <w:trHeight w:val="255"/>
        </w:trPr>
        <w:tc>
          <w:tcPr>
            <w:tcW w:w="2378" w:type="dxa"/>
            <w:tcBorders>
              <w:top w:val="nil"/>
              <w:left w:val="nil"/>
              <w:bottom w:val="nil"/>
              <w:right w:val="nil"/>
            </w:tcBorders>
            <w:vAlign w:val="center"/>
          </w:tcPr>
          <w:p w:rsidR="007860C5" w:rsidRPr="00765C97" w:rsidRDefault="007860C5" w:rsidP="007860C5">
            <w:pPr>
              <w:spacing w:after="60"/>
              <w:ind w:left="284" w:hanging="284"/>
              <w:rPr>
                <w:rFonts w:ascii="Arial" w:hAnsi="Arial"/>
                <w:i/>
                <w:sz w:val="16"/>
                <w:lang w:val="pl-PL"/>
              </w:rPr>
            </w:pPr>
            <w:r w:rsidRPr="00765C97">
              <w:rPr>
                <w:rFonts w:ascii="Arial" w:hAnsi="Arial"/>
                <w:i/>
                <w:sz w:val="16"/>
                <w:lang w:val="pl-PL"/>
              </w:rPr>
              <w:t xml:space="preserve">   Różnice kursowe</w:t>
            </w:r>
            <w:r w:rsidRPr="00765C97">
              <w:rPr>
                <w:rFonts w:ascii="Arial" w:hAnsi="Arial"/>
                <w:i/>
                <w:sz w:val="16"/>
                <w:vertAlign w:val="superscript"/>
                <w:lang w:val="pl-PL"/>
              </w:rPr>
              <w:t>(1)</w:t>
            </w:r>
          </w:p>
        </w:tc>
        <w:tc>
          <w:tcPr>
            <w:tcW w:w="900" w:type="dxa"/>
            <w:tcBorders>
              <w:left w:val="nil"/>
              <w:right w:val="nil"/>
            </w:tcBorders>
            <w:vAlign w:val="center"/>
          </w:tcPr>
          <w:p w:rsidR="007860C5" w:rsidRPr="00765C97" w:rsidRDefault="007860C5" w:rsidP="007860C5">
            <w:pPr>
              <w:ind w:right="57"/>
              <w:jc w:val="right"/>
              <w:rPr>
                <w:rFonts w:ascii="Arial" w:hAnsi="Arial" w:cs="Arial"/>
                <w:i/>
                <w:sz w:val="16"/>
                <w:szCs w:val="16"/>
                <w:lang w:val="pl-PL"/>
              </w:rPr>
            </w:pPr>
            <w:r w:rsidRPr="00765C97">
              <w:rPr>
                <w:rFonts w:ascii="Arial" w:hAnsi="Arial" w:cs="Arial"/>
                <w:i/>
                <w:sz w:val="16"/>
                <w:szCs w:val="16"/>
                <w:lang w:val="pl-PL"/>
              </w:rPr>
              <w:t>-</w:t>
            </w:r>
          </w:p>
        </w:tc>
        <w:tc>
          <w:tcPr>
            <w:tcW w:w="833" w:type="dxa"/>
            <w:tcBorders>
              <w:left w:val="nil"/>
              <w:right w:val="nil"/>
            </w:tcBorders>
            <w:vAlign w:val="center"/>
          </w:tcPr>
          <w:p w:rsidR="007860C5" w:rsidRPr="00765C97" w:rsidRDefault="007860C5" w:rsidP="007860C5">
            <w:pPr>
              <w:ind w:right="57"/>
              <w:jc w:val="right"/>
              <w:rPr>
                <w:rFonts w:ascii="Arial" w:hAnsi="Arial" w:cs="Arial"/>
                <w:i/>
                <w:sz w:val="16"/>
                <w:szCs w:val="16"/>
                <w:lang w:val="pl-PL"/>
              </w:rPr>
            </w:pPr>
            <w:r w:rsidRPr="00765C97">
              <w:rPr>
                <w:rFonts w:ascii="Arial" w:hAnsi="Arial" w:cs="Arial"/>
                <w:i/>
                <w:sz w:val="16"/>
                <w:szCs w:val="16"/>
                <w:lang w:val="pl-PL"/>
              </w:rPr>
              <w:t>-</w:t>
            </w:r>
          </w:p>
        </w:tc>
        <w:tc>
          <w:tcPr>
            <w:tcW w:w="709" w:type="dxa"/>
            <w:tcBorders>
              <w:left w:val="nil"/>
              <w:right w:val="nil"/>
            </w:tcBorders>
            <w:vAlign w:val="center"/>
          </w:tcPr>
          <w:p w:rsidR="007860C5" w:rsidRPr="00765C97" w:rsidRDefault="007860C5" w:rsidP="007860C5">
            <w:pPr>
              <w:ind w:right="57"/>
              <w:jc w:val="right"/>
              <w:rPr>
                <w:rFonts w:ascii="Arial" w:hAnsi="Arial" w:cs="Arial"/>
                <w:i/>
                <w:sz w:val="16"/>
                <w:szCs w:val="16"/>
                <w:lang w:val="pl-PL"/>
              </w:rPr>
            </w:pPr>
            <w:r w:rsidRPr="00765C97">
              <w:rPr>
                <w:rFonts w:ascii="Arial" w:hAnsi="Arial" w:cs="Arial"/>
                <w:i/>
                <w:sz w:val="16"/>
                <w:szCs w:val="16"/>
                <w:lang w:val="pl-PL"/>
              </w:rPr>
              <w:t>(3 505)</w:t>
            </w:r>
          </w:p>
        </w:tc>
        <w:tc>
          <w:tcPr>
            <w:tcW w:w="708" w:type="dxa"/>
            <w:tcBorders>
              <w:left w:val="nil"/>
              <w:right w:val="nil"/>
            </w:tcBorders>
            <w:vAlign w:val="center"/>
          </w:tcPr>
          <w:p w:rsidR="007860C5" w:rsidRPr="00765C97" w:rsidRDefault="007860C5" w:rsidP="007860C5">
            <w:pPr>
              <w:ind w:right="57"/>
              <w:jc w:val="right"/>
              <w:rPr>
                <w:rFonts w:ascii="Arial" w:hAnsi="Arial" w:cs="Arial"/>
                <w:i/>
                <w:sz w:val="16"/>
                <w:szCs w:val="16"/>
                <w:lang w:val="pl-PL"/>
              </w:rPr>
            </w:pPr>
            <w:r w:rsidRPr="00765C97">
              <w:rPr>
                <w:rFonts w:ascii="Arial" w:hAnsi="Arial" w:cs="Arial"/>
                <w:i/>
                <w:sz w:val="16"/>
                <w:szCs w:val="16"/>
                <w:lang w:val="pl-PL"/>
              </w:rPr>
              <w:t>-</w:t>
            </w:r>
          </w:p>
        </w:tc>
        <w:tc>
          <w:tcPr>
            <w:tcW w:w="1186" w:type="dxa"/>
            <w:tcBorders>
              <w:left w:val="nil"/>
              <w:right w:val="nil"/>
            </w:tcBorders>
            <w:vAlign w:val="center"/>
          </w:tcPr>
          <w:p w:rsidR="007860C5" w:rsidRPr="00765C97" w:rsidRDefault="007860C5" w:rsidP="007860C5">
            <w:pPr>
              <w:ind w:right="57"/>
              <w:jc w:val="right"/>
              <w:rPr>
                <w:rFonts w:ascii="Arial" w:hAnsi="Arial" w:cs="Arial"/>
                <w:i/>
                <w:color w:val="000000"/>
                <w:sz w:val="16"/>
                <w:szCs w:val="16"/>
                <w:lang w:val="pl-PL"/>
              </w:rPr>
            </w:pPr>
            <w:r w:rsidRPr="00765C97">
              <w:rPr>
                <w:rFonts w:ascii="Arial" w:hAnsi="Arial" w:cs="Arial"/>
                <w:i/>
                <w:color w:val="000000"/>
                <w:sz w:val="16"/>
                <w:szCs w:val="16"/>
                <w:lang w:val="pl-PL"/>
              </w:rPr>
              <w:t>-</w:t>
            </w:r>
          </w:p>
        </w:tc>
        <w:tc>
          <w:tcPr>
            <w:tcW w:w="1134" w:type="dxa"/>
            <w:tcBorders>
              <w:left w:val="nil"/>
              <w:right w:val="nil"/>
            </w:tcBorders>
            <w:vAlign w:val="center"/>
          </w:tcPr>
          <w:p w:rsidR="007860C5" w:rsidRPr="00765C97" w:rsidRDefault="007860C5" w:rsidP="007860C5">
            <w:pPr>
              <w:ind w:right="18"/>
              <w:jc w:val="right"/>
              <w:rPr>
                <w:rFonts w:ascii="Arial" w:hAnsi="Arial" w:cs="Arial"/>
                <w:i/>
                <w:sz w:val="16"/>
                <w:szCs w:val="16"/>
                <w:lang w:val="pl-PL"/>
              </w:rPr>
            </w:pPr>
            <w:r w:rsidRPr="00765C97">
              <w:rPr>
                <w:rFonts w:ascii="Arial" w:hAnsi="Arial" w:cs="Arial"/>
                <w:i/>
                <w:sz w:val="16"/>
                <w:szCs w:val="16"/>
                <w:lang w:val="pl-PL"/>
              </w:rPr>
              <w:t>(52)</w:t>
            </w:r>
          </w:p>
        </w:tc>
        <w:tc>
          <w:tcPr>
            <w:tcW w:w="720" w:type="dxa"/>
            <w:tcBorders>
              <w:left w:val="nil"/>
              <w:right w:val="nil"/>
            </w:tcBorders>
            <w:vAlign w:val="center"/>
          </w:tcPr>
          <w:p w:rsidR="007860C5" w:rsidRPr="00765C97" w:rsidRDefault="007860C5" w:rsidP="007860C5">
            <w:pPr>
              <w:ind w:right="18"/>
              <w:jc w:val="right"/>
              <w:rPr>
                <w:rFonts w:ascii="Arial" w:hAnsi="Arial" w:cs="Arial"/>
                <w:i/>
                <w:sz w:val="16"/>
                <w:szCs w:val="16"/>
                <w:lang w:val="pl-PL"/>
              </w:rPr>
            </w:pPr>
            <w:r w:rsidRPr="00765C97">
              <w:rPr>
                <w:rFonts w:ascii="Arial" w:hAnsi="Arial" w:cs="Arial"/>
                <w:i/>
                <w:sz w:val="16"/>
                <w:szCs w:val="16"/>
                <w:lang w:val="pl-PL"/>
              </w:rPr>
              <w:t>(3 557)</w:t>
            </w:r>
          </w:p>
        </w:tc>
      </w:tr>
      <w:tr w:rsidR="007860C5" w:rsidRPr="00765C97" w:rsidTr="007860C5">
        <w:trPr>
          <w:trHeight w:val="255"/>
        </w:trPr>
        <w:tc>
          <w:tcPr>
            <w:tcW w:w="2378" w:type="dxa"/>
            <w:tcBorders>
              <w:top w:val="nil"/>
              <w:left w:val="nil"/>
              <w:bottom w:val="nil"/>
              <w:right w:val="nil"/>
            </w:tcBorders>
            <w:vAlign w:val="center"/>
          </w:tcPr>
          <w:p w:rsidR="007860C5" w:rsidRPr="00765C97" w:rsidRDefault="007860C5" w:rsidP="007860C5">
            <w:pPr>
              <w:spacing w:after="60"/>
              <w:ind w:left="142" w:hanging="142"/>
              <w:rPr>
                <w:rFonts w:ascii="Arial" w:hAnsi="Arial"/>
                <w:i/>
                <w:sz w:val="16"/>
                <w:lang w:val="pl-PL"/>
              </w:rPr>
            </w:pPr>
            <w:r w:rsidRPr="00765C97">
              <w:rPr>
                <w:rFonts w:ascii="Arial" w:hAnsi="Arial"/>
                <w:i/>
                <w:sz w:val="16"/>
                <w:lang w:val="pl-PL"/>
              </w:rPr>
              <w:t xml:space="preserve">   Zysk (strata) za okres</w:t>
            </w:r>
            <w:r w:rsidRPr="00765C97">
              <w:rPr>
                <w:rFonts w:ascii="Arial" w:hAnsi="Arial"/>
                <w:i/>
                <w:sz w:val="16"/>
                <w:vertAlign w:val="superscript"/>
                <w:lang w:val="pl-PL"/>
              </w:rPr>
              <w:t>(2)</w:t>
            </w:r>
          </w:p>
        </w:tc>
        <w:tc>
          <w:tcPr>
            <w:tcW w:w="900" w:type="dxa"/>
            <w:tcBorders>
              <w:left w:val="nil"/>
              <w:bottom w:val="single" w:sz="2" w:space="0" w:color="auto"/>
              <w:right w:val="nil"/>
            </w:tcBorders>
            <w:vAlign w:val="center"/>
          </w:tcPr>
          <w:p w:rsidR="007860C5" w:rsidRPr="00765C97" w:rsidRDefault="007860C5" w:rsidP="007860C5">
            <w:pPr>
              <w:ind w:right="57"/>
              <w:jc w:val="right"/>
              <w:rPr>
                <w:rFonts w:ascii="Arial" w:hAnsi="Arial" w:cs="Arial"/>
                <w:i/>
                <w:sz w:val="16"/>
                <w:szCs w:val="16"/>
                <w:lang w:val="pl-PL"/>
              </w:rPr>
            </w:pPr>
            <w:r w:rsidRPr="00765C97">
              <w:rPr>
                <w:rFonts w:ascii="Arial" w:hAnsi="Arial" w:cs="Arial"/>
                <w:i/>
                <w:sz w:val="16"/>
                <w:szCs w:val="16"/>
                <w:lang w:val="pl-PL"/>
              </w:rPr>
              <w:t>-</w:t>
            </w:r>
          </w:p>
        </w:tc>
        <w:tc>
          <w:tcPr>
            <w:tcW w:w="833" w:type="dxa"/>
            <w:tcBorders>
              <w:left w:val="nil"/>
              <w:bottom w:val="single" w:sz="2" w:space="0" w:color="auto"/>
              <w:right w:val="nil"/>
            </w:tcBorders>
            <w:vAlign w:val="center"/>
          </w:tcPr>
          <w:p w:rsidR="007860C5" w:rsidRPr="00765C97" w:rsidRDefault="007860C5" w:rsidP="007860C5">
            <w:pPr>
              <w:ind w:right="57"/>
              <w:jc w:val="right"/>
              <w:rPr>
                <w:rFonts w:ascii="Arial" w:hAnsi="Arial" w:cs="Arial"/>
                <w:i/>
                <w:sz w:val="16"/>
                <w:szCs w:val="16"/>
                <w:lang w:val="pl-PL"/>
              </w:rPr>
            </w:pPr>
            <w:r w:rsidRPr="00765C97">
              <w:rPr>
                <w:rFonts w:ascii="Arial" w:hAnsi="Arial" w:cs="Arial"/>
                <w:i/>
                <w:sz w:val="16"/>
                <w:szCs w:val="16"/>
                <w:lang w:val="pl-PL"/>
              </w:rPr>
              <w:t>-</w:t>
            </w:r>
          </w:p>
        </w:tc>
        <w:tc>
          <w:tcPr>
            <w:tcW w:w="709" w:type="dxa"/>
            <w:tcBorders>
              <w:left w:val="nil"/>
              <w:bottom w:val="single" w:sz="2" w:space="0" w:color="auto"/>
              <w:right w:val="nil"/>
            </w:tcBorders>
            <w:vAlign w:val="center"/>
          </w:tcPr>
          <w:p w:rsidR="007860C5" w:rsidRPr="00765C97" w:rsidRDefault="007860C5" w:rsidP="007860C5">
            <w:pPr>
              <w:ind w:right="57"/>
              <w:jc w:val="right"/>
              <w:rPr>
                <w:rFonts w:ascii="Arial" w:hAnsi="Arial" w:cs="Arial"/>
                <w:i/>
                <w:sz w:val="16"/>
                <w:szCs w:val="16"/>
                <w:lang w:val="pl-PL"/>
              </w:rPr>
            </w:pPr>
            <w:r w:rsidRPr="00765C97">
              <w:rPr>
                <w:rFonts w:ascii="Arial" w:hAnsi="Arial" w:cs="Arial"/>
                <w:i/>
                <w:sz w:val="16"/>
                <w:szCs w:val="16"/>
                <w:lang w:val="pl-PL"/>
              </w:rPr>
              <w:t>-</w:t>
            </w:r>
          </w:p>
        </w:tc>
        <w:tc>
          <w:tcPr>
            <w:tcW w:w="708" w:type="dxa"/>
            <w:tcBorders>
              <w:left w:val="nil"/>
              <w:bottom w:val="single" w:sz="2" w:space="0" w:color="auto"/>
              <w:right w:val="nil"/>
            </w:tcBorders>
            <w:vAlign w:val="center"/>
          </w:tcPr>
          <w:p w:rsidR="007860C5" w:rsidRPr="00765C97" w:rsidRDefault="007860C5" w:rsidP="007860C5">
            <w:pPr>
              <w:ind w:right="57"/>
              <w:jc w:val="right"/>
              <w:rPr>
                <w:rFonts w:ascii="Arial" w:hAnsi="Arial" w:cs="Arial"/>
                <w:i/>
                <w:sz w:val="16"/>
                <w:szCs w:val="16"/>
                <w:lang w:val="pl-PL"/>
              </w:rPr>
            </w:pPr>
            <w:r w:rsidRPr="00765C97">
              <w:rPr>
                <w:rFonts w:ascii="Arial" w:hAnsi="Arial" w:cs="Arial"/>
                <w:i/>
                <w:sz w:val="16"/>
                <w:szCs w:val="16"/>
                <w:lang w:val="pl-PL"/>
              </w:rPr>
              <w:t>40 660</w:t>
            </w:r>
          </w:p>
        </w:tc>
        <w:tc>
          <w:tcPr>
            <w:tcW w:w="1186" w:type="dxa"/>
            <w:tcBorders>
              <w:left w:val="nil"/>
              <w:bottom w:val="single" w:sz="2" w:space="0" w:color="auto"/>
              <w:right w:val="nil"/>
            </w:tcBorders>
            <w:vAlign w:val="center"/>
          </w:tcPr>
          <w:p w:rsidR="007860C5" w:rsidRPr="00765C97" w:rsidRDefault="007860C5" w:rsidP="007860C5">
            <w:pPr>
              <w:ind w:right="57"/>
              <w:jc w:val="right"/>
              <w:rPr>
                <w:rFonts w:ascii="Arial" w:hAnsi="Arial" w:cs="Arial"/>
                <w:i/>
                <w:color w:val="000000"/>
                <w:sz w:val="16"/>
                <w:szCs w:val="16"/>
                <w:lang w:val="pl-PL"/>
              </w:rPr>
            </w:pPr>
            <w:r w:rsidRPr="00765C97">
              <w:rPr>
                <w:rFonts w:ascii="Arial" w:hAnsi="Arial" w:cs="Arial"/>
                <w:i/>
                <w:color w:val="000000"/>
                <w:sz w:val="16"/>
                <w:szCs w:val="16"/>
                <w:lang w:val="pl-PL"/>
              </w:rPr>
              <w:t>-</w:t>
            </w:r>
          </w:p>
        </w:tc>
        <w:tc>
          <w:tcPr>
            <w:tcW w:w="1134" w:type="dxa"/>
            <w:tcBorders>
              <w:left w:val="nil"/>
              <w:bottom w:val="single" w:sz="2" w:space="0" w:color="auto"/>
              <w:right w:val="nil"/>
            </w:tcBorders>
            <w:vAlign w:val="center"/>
          </w:tcPr>
          <w:p w:rsidR="007860C5" w:rsidRPr="00765C97" w:rsidRDefault="007860C5" w:rsidP="007860C5">
            <w:pPr>
              <w:ind w:right="18"/>
              <w:jc w:val="right"/>
              <w:rPr>
                <w:rFonts w:ascii="Arial" w:hAnsi="Arial" w:cs="Arial"/>
                <w:i/>
                <w:sz w:val="16"/>
                <w:szCs w:val="16"/>
                <w:lang w:val="pl-PL"/>
              </w:rPr>
            </w:pPr>
            <w:r w:rsidRPr="00765C97">
              <w:rPr>
                <w:rFonts w:ascii="Arial" w:hAnsi="Arial" w:cs="Arial"/>
                <w:i/>
                <w:sz w:val="16"/>
                <w:szCs w:val="16"/>
                <w:lang w:val="pl-PL"/>
              </w:rPr>
              <w:t>(3 408)</w:t>
            </w:r>
          </w:p>
        </w:tc>
        <w:tc>
          <w:tcPr>
            <w:tcW w:w="720" w:type="dxa"/>
            <w:tcBorders>
              <w:left w:val="nil"/>
              <w:bottom w:val="single" w:sz="2" w:space="0" w:color="auto"/>
              <w:right w:val="nil"/>
            </w:tcBorders>
            <w:vAlign w:val="center"/>
          </w:tcPr>
          <w:p w:rsidR="007860C5" w:rsidRPr="00765C97" w:rsidRDefault="007860C5" w:rsidP="007860C5">
            <w:pPr>
              <w:ind w:right="18"/>
              <w:jc w:val="right"/>
              <w:rPr>
                <w:rFonts w:ascii="Arial" w:hAnsi="Arial" w:cs="Arial"/>
                <w:i/>
                <w:sz w:val="16"/>
                <w:szCs w:val="16"/>
                <w:lang w:val="pl-PL"/>
              </w:rPr>
            </w:pPr>
            <w:r w:rsidRPr="00765C97">
              <w:rPr>
                <w:rFonts w:ascii="Arial" w:hAnsi="Arial" w:cs="Arial"/>
                <w:i/>
                <w:sz w:val="16"/>
                <w:szCs w:val="16"/>
                <w:lang w:val="pl-PL"/>
              </w:rPr>
              <w:t>37 252</w:t>
            </w:r>
          </w:p>
        </w:tc>
      </w:tr>
      <w:tr w:rsidR="007860C5" w:rsidRPr="00765C97" w:rsidTr="007860C5">
        <w:trPr>
          <w:trHeight w:val="255"/>
        </w:trPr>
        <w:tc>
          <w:tcPr>
            <w:tcW w:w="2378" w:type="dxa"/>
            <w:tcBorders>
              <w:top w:val="nil"/>
              <w:left w:val="nil"/>
              <w:bottom w:val="nil"/>
              <w:right w:val="nil"/>
            </w:tcBorders>
            <w:vAlign w:val="center"/>
          </w:tcPr>
          <w:p w:rsidR="007860C5" w:rsidRPr="00765C97" w:rsidRDefault="007860C5" w:rsidP="007860C5">
            <w:pPr>
              <w:spacing w:after="60"/>
              <w:rPr>
                <w:rFonts w:ascii="Arial" w:hAnsi="Arial"/>
                <w:b/>
                <w:sz w:val="16"/>
                <w:lang w:val="pl-PL"/>
              </w:rPr>
            </w:pPr>
            <w:r w:rsidRPr="00765C97">
              <w:rPr>
                <w:rFonts w:ascii="Arial" w:hAnsi="Arial"/>
                <w:sz w:val="16"/>
                <w:lang w:val="pl-PL"/>
              </w:rPr>
              <w:t xml:space="preserve">Całkowite dochody za okres </w:t>
            </w:r>
            <w:r w:rsidRPr="00765C97">
              <w:rPr>
                <w:rFonts w:ascii="Arial" w:hAnsi="Arial"/>
                <w:sz w:val="12"/>
                <w:lang w:val="pl-PL"/>
              </w:rPr>
              <w:t>(1+2)</w:t>
            </w:r>
          </w:p>
        </w:tc>
        <w:tc>
          <w:tcPr>
            <w:tcW w:w="900" w:type="dxa"/>
            <w:tcBorders>
              <w:top w:val="single" w:sz="2" w:space="0" w:color="auto"/>
              <w:left w:val="nil"/>
              <w:bottom w:val="single" w:sz="4" w:space="0" w:color="auto"/>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833" w:type="dxa"/>
            <w:tcBorders>
              <w:top w:val="single" w:sz="2" w:space="0" w:color="auto"/>
              <w:left w:val="nil"/>
              <w:bottom w:val="single" w:sz="4" w:space="0" w:color="auto"/>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w:t>
            </w:r>
          </w:p>
        </w:tc>
        <w:tc>
          <w:tcPr>
            <w:tcW w:w="709" w:type="dxa"/>
            <w:tcBorders>
              <w:top w:val="single" w:sz="2" w:space="0" w:color="auto"/>
              <w:left w:val="nil"/>
              <w:bottom w:val="single" w:sz="4" w:space="0" w:color="auto"/>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(3 505)</w:t>
            </w:r>
          </w:p>
        </w:tc>
        <w:tc>
          <w:tcPr>
            <w:tcW w:w="708" w:type="dxa"/>
            <w:tcBorders>
              <w:top w:val="single" w:sz="2" w:space="0" w:color="auto"/>
              <w:left w:val="nil"/>
              <w:bottom w:val="single" w:sz="4" w:space="0" w:color="auto"/>
              <w:right w:val="nil"/>
            </w:tcBorders>
            <w:vAlign w:val="center"/>
          </w:tcPr>
          <w:p w:rsidR="007860C5" w:rsidRPr="00765C97" w:rsidRDefault="007860C5" w:rsidP="007860C5">
            <w:pPr>
              <w:ind w:right="57"/>
              <w:jc w:val="right"/>
              <w:rPr>
                <w:rFonts w:ascii="Arial" w:hAnsi="Arial" w:cs="Arial"/>
                <w:sz w:val="16"/>
                <w:szCs w:val="16"/>
                <w:lang w:val="pl-PL"/>
              </w:rPr>
            </w:pPr>
            <w:r w:rsidRPr="00765C97">
              <w:rPr>
                <w:rFonts w:ascii="Arial" w:hAnsi="Arial" w:cs="Arial"/>
                <w:sz w:val="16"/>
                <w:szCs w:val="16"/>
                <w:lang w:val="pl-PL"/>
              </w:rPr>
              <w:t>40 660</w:t>
            </w:r>
          </w:p>
        </w:tc>
        <w:tc>
          <w:tcPr>
            <w:tcW w:w="1186" w:type="dxa"/>
            <w:tcBorders>
              <w:top w:val="single" w:sz="2" w:space="0" w:color="auto"/>
              <w:left w:val="nil"/>
              <w:bottom w:val="single" w:sz="4" w:space="0" w:color="auto"/>
              <w:right w:val="nil"/>
            </w:tcBorders>
            <w:vAlign w:val="center"/>
          </w:tcPr>
          <w:p w:rsidR="007860C5" w:rsidRPr="00765C97" w:rsidRDefault="007860C5" w:rsidP="007860C5">
            <w:pPr>
              <w:ind w:right="57"/>
              <w:jc w:val="right"/>
              <w:rPr>
                <w:rFonts w:ascii="Arial" w:hAnsi="Arial" w:cs="Arial"/>
                <w:color w:val="000000"/>
                <w:sz w:val="16"/>
                <w:szCs w:val="16"/>
                <w:lang w:val="pl-PL"/>
              </w:rPr>
            </w:pPr>
            <w:r w:rsidRPr="00765C97">
              <w:rPr>
                <w:rFonts w:ascii="Arial" w:hAnsi="Arial" w:cs="Arial"/>
                <w:color w:val="000000"/>
                <w:sz w:val="16"/>
                <w:szCs w:val="16"/>
                <w:lang w:val="pl-PL"/>
              </w:rPr>
              <w:t>-</w:t>
            </w:r>
          </w:p>
        </w:tc>
        <w:tc>
          <w:tcPr>
            <w:tcW w:w="1134" w:type="dxa"/>
            <w:tcBorders>
              <w:top w:val="single" w:sz="2" w:space="0" w:color="auto"/>
              <w:left w:val="nil"/>
              <w:bottom w:val="single" w:sz="4" w:space="0" w:color="auto"/>
              <w:right w:val="nil"/>
            </w:tcBorders>
            <w:vAlign w:val="center"/>
          </w:tcPr>
          <w:p w:rsidR="007860C5" w:rsidRPr="00765C97" w:rsidRDefault="007860C5" w:rsidP="007860C5">
            <w:pPr>
              <w:ind w:right="18"/>
              <w:jc w:val="right"/>
              <w:rPr>
                <w:rFonts w:ascii="Arial" w:hAnsi="Arial" w:cs="Arial"/>
                <w:sz w:val="16"/>
                <w:szCs w:val="16"/>
                <w:lang w:val="pl-PL"/>
              </w:rPr>
            </w:pPr>
            <w:r w:rsidRPr="00765C97">
              <w:rPr>
                <w:rFonts w:ascii="Arial" w:hAnsi="Arial" w:cs="Arial"/>
                <w:sz w:val="16"/>
                <w:szCs w:val="16"/>
                <w:lang w:val="pl-PL"/>
              </w:rPr>
              <w:t>(3 460)</w:t>
            </w:r>
          </w:p>
        </w:tc>
        <w:tc>
          <w:tcPr>
            <w:tcW w:w="720" w:type="dxa"/>
            <w:tcBorders>
              <w:top w:val="single" w:sz="2" w:space="0" w:color="auto"/>
              <w:left w:val="nil"/>
              <w:bottom w:val="single" w:sz="4" w:space="0" w:color="auto"/>
              <w:right w:val="nil"/>
            </w:tcBorders>
            <w:vAlign w:val="center"/>
          </w:tcPr>
          <w:p w:rsidR="007860C5" w:rsidRPr="00765C97" w:rsidRDefault="007860C5" w:rsidP="007860C5">
            <w:pPr>
              <w:ind w:right="18"/>
              <w:jc w:val="right"/>
              <w:rPr>
                <w:rFonts w:ascii="Arial" w:hAnsi="Arial" w:cs="Arial"/>
                <w:sz w:val="16"/>
                <w:szCs w:val="16"/>
                <w:lang w:val="pl-PL"/>
              </w:rPr>
            </w:pPr>
            <w:r w:rsidRPr="00765C97">
              <w:rPr>
                <w:rFonts w:ascii="Arial" w:hAnsi="Arial" w:cs="Arial"/>
                <w:sz w:val="16"/>
                <w:szCs w:val="16"/>
                <w:lang w:val="pl-PL"/>
              </w:rPr>
              <w:t>33 695</w:t>
            </w:r>
          </w:p>
        </w:tc>
      </w:tr>
      <w:tr w:rsidR="007860C5" w:rsidRPr="00765C97" w:rsidTr="007860C5">
        <w:trPr>
          <w:trHeight w:val="255"/>
        </w:trPr>
        <w:tc>
          <w:tcPr>
            <w:tcW w:w="2378" w:type="dxa"/>
            <w:tcBorders>
              <w:top w:val="nil"/>
              <w:left w:val="nil"/>
              <w:bottom w:val="nil"/>
              <w:right w:val="nil"/>
            </w:tcBorders>
            <w:vAlign w:val="center"/>
          </w:tcPr>
          <w:p w:rsidR="007860C5" w:rsidRPr="00765C97" w:rsidRDefault="007860C5" w:rsidP="007860C5">
            <w:pPr>
              <w:spacing w:after="60"/>
              <w:ind w:right="-120"/>
              <w:rPr>
                <w:rFonts w:ascii="Arial" w:hAnsi="Arial"/>
                <w:b/>
                <w:sz w:val="16"/>
                <w:lang w:val="pl-PL"/>
              </w:rPr>
            </w:pPr>
            <w:r w:rsidRPr="00765C97">
              <w:rPr>
                <w:rFonts w:ascii="Arial" w:hAnsi="Arial"/>
                <w:b/>
                <w:sz w:val="16"/>
                <w:lang w:val="pl-PL"/>
              </w:rPr>
              <w:t>Stan na 31 grudnia 2012 r.</w:t>
            </w:r>
          </w:p>
        </w:tc>
        <w:tc>
          <w:tcPr>
            <w:tcW w:w="900" w:type="dxa"/>
            <w:tcBorders>
              <w:top w:val="single" w:sz="4" w:space="0" w:color="auto"/>
              <w:left w:val="nil"/>
              <w:bottom w:val="single" w:sz="2" w:space="0" w:color="auto"/>
              <w:right w:val="nil"/>
            </w:tcBorders>
            <w:vAlign w:val="center"/>
          </w:tcPr>
          <w:p w:rsidR="007860C5" w:rsidRPr="00765C97" w:rsidRDefault="007860C5" w:rsidP="007860C5">
            <w:pPr>
              <w:ind w:right="57"/>
              <w:jc w:val="right"/>
              <w:rPr>
                <w:rFonts w:ascii="Arial" w:hAnsi="Arial" w:cs="Arial"/>
                <w:b/>
                <w:sz w:val="16"/>
                <w:szCs w:val="16"/>
                <w:lang w:val="pl-PL"/>
              </w:rPr>
            </w:pPr>
            <w:r w:rsidRPr="00765C97">
              <w:rPr>
                <w:rFonts w:ascii="Arial" w:hAnsi="Arial" w:cs="Arial"/>
                <w:b/>
                <w:sz w:val="16"/>
                <w:szCs w:val="16"/>
                <w:lang w:val="pl-PL"/>
              </w:rPr>
              <w:t>8 051</w:t>
            </w:r>
          </w:p>
        </w:tc>
        <w:tc>
          <w:tcPr>
            <w:tcW w:w="833" w:type="dxa"/>
            <w:tcBorders>
              <w:top w:val="single" w:sz="4" w:space="0" w:color="auto"/>
              <w:left w:val="nil"/>
              <w:bottom w:val="single" w:sz="2" w:space="0" w:color="auto"/>
              <w:right w:val="nil"/>
            </w:tcBorders>
            <w:vAlign w:val="center"/>
          </w:tcPr>
          <w:p w:rsidR="007860C5" w:rsidRPr="00765C97" w:rsidRDefault="007860C5" w:rsidP="007860C5">
            <w:pPr>
              <w:ind w:right="57"/>
              <w:jc w:val="right"/>
              <w:rPr>
                <w:rFonts w:ascii="Arial" w:hAnsi="Arial" w:cs="Arial"/>
                <w:b/>
                <w:sz w:val="16"/>
                <w:szCs w:val="16"/>
                <w:lang w:val="pl-PL"/>
              </w:rPr>
            </w:pPr>
            <w:r w:rsidRPr="00765C97">
              <w:rPr>
                <w:rFonts w:ascii="Arial" w:hAnsi="Arial" w:cs="Arial"/>
                <w:b/>
                <w:sz w:val="16"/>
                <w:szCs w:val="16"/>
                <w:lang w:val="pl-PL"/>
              </w:rPr>
              <w:t>142 332</w:t>
            </w:r>
          </w:p>
        </w:tc>
        <w:tc>
          <w:tcPr>
            <w:tcW w:w="709" w:type="dxa"/>
            <w:tcBorders>
              <w:top w:val="single" w:sz="4" w:space="0" w:color="auto"/>
              <w:left w:val="nil"/>
              <w:bottom w:val="single" w:sz="2" w:space="0" w:color="auto"/>
              <w:right w:val="nil"/>
            </w:tcBorders>
            <w:vAlign w:val="center"/>
          </w:tcPr>
          <w:p w:rsidR="007860C5" w:rsidRPr="00765C97" w:rsidRDefault="007860C5" w:rsidP="007860C5">
            <w:pPr>
              <w:ind w:right="57"/>
              <w:jc w:val="right"/>
              <w:rPr>
                <w:rFonts w:ascii="Arial" w:hAnsi="Arial" w:cs="Arial"/>
                <w:b/>
                <w:sz w:val="16"/>
                <w:szCs w:val="16"/>
                <w:lang w:val="pl-PL"/>
              </w:rPr>
            </w:pPr>
            <w:r w:rsidRPr="00765C97">
              <w:rPr>
                <w:rFonts w:ascii="Arial" w:hAnsi="Arial" w:cs="Arial"/>
                <w:b/>
                <w:sz w:val="16"/>
                <w:szCs w:val="16"/>
                <w:lang w:val="pl-PL"/>
              </w:rPr>
              <w:t>3 090</w:t>
            </w:r>
          </w:p>
        </w:tc>
        <w:tc>
          <w:tcPr>
            <w:tcW w:w="708" w:type="dxa"/>
            <w:tcBorders>
              <w:top w:val="single" w:sz="4" w:space="0" w:color="auto"/>
              <w:left w:val="nil"/>
              <w:bottom w:val="single" w:sz="2" w:space="0" w:color="auto"/>
              <w:right w:val="nil"/>
            </w:tcBorders>
            <w:vAlign w:val="center"/>
          </w:tcPr>
          <w:p w:rsidR="007860C5" w:rsidRPr="00765C97" w:rsidRDefault="007860C5" w:rsidP="007860C5">
            <w:pPr>
              <w:ind w:right="57"/>
              <w:jc w:val="right"/>
              <w:rPr>
                <w:rFonts w:ascii="Arial" w:hAnsi="Arial" w:cs="Arial"/>
                <w:b/>
                <w:sz w:val="16"/>
                <w:szCs w:val="16"/>
                <w:lang w:val="pl-PL"/>
              </w:rPr>
            </w:pPr>
            <w:r w:rsidRPr="00765C97">
              <w:rPr>
                <w:rFonts w:ascii="Arial" w:hAnsi="Arial" w:cs="Arial"/>
                <w:b/>
                <w:sz w:val="16"/>
                <w:szCs w:val="16"/>
                <w:lang w:val="pl-PL"/>
              </w:rPr>
              <w:t>40 660</w:t>
            </w:r>
          </w:p>
        </w:tc>
        <w:tc>
          <w:tcPr>
            <w:tcW w:w="1186" w:type="dxa"/>
            <w:tcBorders>
              <w:top w:val="single" w:sz="4" w:space="0" w:color="auto"/>
              <w:left w:val="nil"/>
              <w:bottom w:val="single" w:sz="2" w:space="0" w:color="auto"/>
              <w:right w:val="nil"/>
            </w:tcBorders>
            <w:vAlign w:val="center"/>
          </w:tcPr>
          <w:p w:rsidR="007860C5" w:rsidRPr="00765C97" w:rsidRDefault="007860C5" w:rsidP="007860C5">
            <w:pPr>
              <w:ind w:right="57"/>
              <w:jc w:val="right"/>
              <w:rPr>
                <w:rFonts w:ascii="Arial" w:hAnsi="Arial" w:cs="Arial"/>
                <w:b/>
                <w:color w:val="000000"/>
                <w:sz w:val="16"/>
                <w:szCs w:val="16"/>
                <w:lang w:val="pl-PL"/>
              </w:rPr>
            </w:pPr>
            <w:r w:rsidRPr="00765C97">
              <w:rPr>
                <w:rFonts w:ascii="Arial" w:hAnsi="Arial" w:cs="Arial"/>
                <w:b/>
                <w:color w:val="000000"/>
                <w:sz w:val="16"/>
                <w:szCs w:val="16"/>
                <w:lang w:val="pl-PL"/>
              </w:rPr>
              <w:t>427 490</w:t>
            </w:r>
          </w:p>
        </w:tc>
        <w:tc>
          <w:tcPr>
            <w:tcW w:w="1134" w:type="dxa"/>
            <w:tcBorders>
              <w:top w:val="single" w:sz="4" w:space="0" w:color="auto"/>
              <w:left w:val="nil"/>
              <w:bottom w:val="single" w:sz="2" w:space="0" w:color="auto"/>
              <w:right w:val="nil"/>
            </w:tcBorders>
            <w:vAlign w:val="center"/>
          </w:tcPr>
          <w:p w:rsidR="007860C5" w:rsidRPr="00765C97" w:rsidRDefault="007860C5" w:rsidP="007860C5">
            <w:pPr>
              <w:ind w:right="18"/>
              <w:jc w:val="right"/>
              <w:rPr>
                <w:rFonts w:ascii="Arial" w:hAnsi="Arial" w:cs="Arial"/>
                <w:b/>
                <w:sz w:val="16"/>
                <w:szCs w:val="16"/>
                <w:lang w:val="pl-PL"/>
              </w:rPr>
            </w:pPr>
            <w:r w:rsidRPr="00765C97">
              <w:rPr>
                <w:rFonts w:ascii="Arial" w:hAnsi="Arial" w:cs="Arial"/>
                <w:b/>
                <w:sz w:val="16"/>
                <w:szCs w:val="16"/>
                <w:lang w:val="pl-PL"/>
              </w:rPr>
              <w:t>3 319</w:t>
            </w:r>
          </w:p>
        </w:tc>
        <w:tc>
          <w:tcPr>
            <w:tcW w:w="720" w:type="dxa"/>
            <w:tcBorders>
              <w:top w:val="single" w:sz="4" w:space="0" w:color="auto"/>
              <w:left w:val="nil"/>
              <w:bottom w:val="single" w:sz="2" w:space="0" w:color="auto"/>
              <w:right w:val="nil"/>
            </w:tcBorders>
            <w:vAlign w:val="center"/>
          </w:tcPr>
          <w:p w:rsidR="007860C5" w:rsidRPr="00765C97" w:rsidRDefault="007860C5" w:rsidP="007860C5">
            <w:pPr>
              <w:ind w:right="18"/>
              <w:jc w:val="right"/>
              <w:rPr>
                <w:rFonts w:ascii="Arial" w:hAnsi="Arial" w:cs="Arial"/>
                <w:b/>
                <w:sz w:val="16"/>
                <w:szCs w:val="16"/>
                <w:lang w:val="pl-PL"/>
              </w:rPr>
            </w:pPr>
            <w:r w:rsidRPr="00765C97">
              <w:rPr>
                <w:rFonts w:ascii="Arial" w:hAnsi="Arial" w:cs="Arial"/>
                <w:b/>
                <w:sz w:val="16"/>
                <w:szCs w:val="16"/>
                <w:lang w:val="pl-PL"/>
              </w:rPr>
              <w:t>624 942</w:t>
            </w:r>
          </w:p>
        </w:tc>
      </w:tr>
    </w:tbl>
    <w:p w:rsidR="007860C5" w:rsidRPr="00765C97" w:rsidRDefault="007860C5" w:rsidP="00DA3EFC">
      <w:pPr>
        <w:jc w:val="both"/>
        <w:rPr>
          <w:sz w:val="16"/>
          <w:lang w:val="pl-PL"/>
        </w:rPr>
      </w:pPr>
      <w:bookmarkStart w:id="13" w:name="_Toc115093949"/>
      <w:bookmarkStart w:id="14" w:name="_Toc115094326"/>
    </w:p>
    <w:p w:rsidR="00782528" w:rsidRPr="00765C97" w:rsidRDefault="007860C5" w:rsidP="00DA3EFC">
      <w:pPr>
        <w:jc w:val="both"/>
        <w:rPr>
          <w:rFonts w:ascii="Arial" w:hAnsi="Arial" w:cs="Arial"/>
          <w:i/>
          <w:sz w:val="16"/>
          <w:szCs w:val="16"/>
          <w:lang w:val="pl-PL"/>
        </w:rPr>
      </w:pPr>
      <w:r w:rsidRPr="00765C97">
        <w:rPr>
          <w:rFonts w:ascii="Arial" w:hAnsi="Arial" w:cs="Arial"/>
          <w:sz w:val="16"/>
          <w:lang w:val="pl-PL"/>
        </w:rPr>
        <w:t xml:space="preserve">W okresie 2012 r. dokonano wypłat dywidend w łącznej kwocie 14 760 tys. zł, w tym 12 077 tys. zł to dywidenda wypłacona przez jednostkę dominującą dla jej akcjonariuszy a 2 683 tys. zł </w:t>
      </w:r>
      <w:r w:rsidR="0031442C" w:rsidRPr="00765C97">
        <w:rPr>
          <w:rFonts w:ascii="Arial" w:hAnsi="Arial" w:cs="Arial"/>
          <w:sz w:val="16"/>
          <w:lang w:val="pl-PL"/>
        </w:rPr>
        <w:t>dywidendy wypłacone przez jednostki</w:t>
      </w:r>
      <w:r w:rsidRPr="00765C97">
        <w:rPr>
          <w:rFonts w:ascii="Arial" w:hAnsi="Arial" w:cs="Arial"/>
          <w:sz w:val="16"/>
          <w:lang w:val="pl-PL"/>
        </w:rPr>
        <w:t xml:space="preserve"> zależne dla komplementariuszy spoza Grupy.</w:t>
      </w:r>
    </w:p>
    <w:p w:rsidR="00B24DA9" w:rsidRPr="00765C97" w:rsidRDefault="00B24DA9" w:rsidP="003A04C9">
      <w:pPr>
        <w:pStyle w:val="Nagwek1"/>
        <w:tabs>
          <w:tab w:val="right" w:leader="dot" w:pos="9000"/>
        </w:tabs>
        <w:spacing w:before="480" w:after="240"/>
        <w:ind w:right="23"/>
        <w:rPr>
          <w:sz w:val="24"/>
          <w:lang w:val="pl-PL"/>
        </w:rPr>
      </w:pPr>
      <w:r w:rsidRPr="00765C97">
        <w:rPr>
          <w:sz w:val="24"/>
          <w:lang w:val="pl-PL"/>
        </w:rPr>
        <w:br w:type="page"/>
      </w:r>
      <w:r w:rsidRPr="00765C97">
        <w:rPr>
          <w:sz w:val="24"/>
          <w:lang w:val="pl-PL"/>
        </w:rPr>
        <w:lastRenderedPageBreak/>
        <w:t xml:space="preserve"> </w:t>
      </w:r>
      <w:bookmarkStart w:id="15" w:name="_Toc353973196"/>
      <w:r w:rsidRPr="00765C97">
        <w:rPr>
          <w:sz w:val="24"/>
          <w:lang w:val="pl-PL"/>
        </w:rPr>
        <w:t>Skonsolidowany rachunek przepływów pieniężnych</w:t>
      </w:r>
      <w:bookmarkEnd w:id="13"/>
      <w:bookmarkEnd w:id="14"/>
      <w:bookmarkEnd w:id="15"/>
    </w:p>
    <w:tbl>
      <w:tblPr>
        <w:tblW w:w="8182" w:type="dxa"/>
        <w:tblInd w:w="180" w:type="dxa"/>
        <w:tblLayout w:type="fixed"/>
        <w:tblCellMar>
          <w:left w:w="0" w:type="dxa"/>
          <w:right w:w="0" w:type="dxa"/>
        </w:tblCellMar>
        <w:tblLook w:val="0000"/>
      </w:tblPr>
      <w:tblGrid>
        <w:gridCol w:w="5220"/>
        <w:gridCol w:w="1342"/>
        <w:gridCol w:w="1342"/>
        <w:gridCol w:w="278"/>
      </w:tblGrid>
      <w:tr w:rsidR="003D2589" w:rsidRPr="00765C97" w:rsidTr="003D2589">
        <w:trPr>
          <w:trHeight w:hRule="exact" w:val="447"/>
        </w:trPr>
        <w:tc>
          <w:tcPr>
            <w:tcW w:w="5220" w:type="dxa"/>
            <w:tcBorders>
              <w:top w:val="nil"/>
              <w:left w:val="nil"/>
              <w:bottom w:val="nil"/>
              <w:right w:val="nil"/>
            </w:tcBorders>
            <w:vAlign w:val="center"/>
          </w:tcPr>
          <w:p w:rsidR="003D2589" w:rsidRPr="00765C97" w:rsidRDefault="003D2589">
            <w:pPr>
              <w:ind w:right="278"/>
              <w:rPr>
                <w:rFonts w:ascii="Arial" w:hAnsi="Arial"/>
                <w:b/>
                <w:spacing w:val="-6"/>
                <w:sz w:val="16"/>
                <w:lang w:val="pl-PL"/>
              </w:rPr>
            </w:pPr>
          </w:p>
        </w:tc>
        <w:tc>
          <w:tcPr>
            <w:tcW w:w="1342" w:type="dxa"/>
            <w:tcBorders>
              <w:left w:val="nil"/>
              <w:bottom w:val="nil"/>
              <w:right w:val="nil"/>
            </w:tcBorders>
            <w:vAlign w:val="center"/>
          </w:tcPr>
          <w:p w:rsidR="003D2589" w:rsidRPr="00765C97" w:rsidRDefault="003D2589" w:rsidP="008B4C6B">
            <w:pPr>
              <w:ind w:right="79"/>
              <w:jc w:val="right"/>
              <w:rPr>
                <w:rFonts w:ascii="Arial" w:hAnsi="Arial"/>
                <w:b/>
                <w:sz w:val="16"/>
                <w:lang w:val="pl-PL"/>
              </w:rPr>
            </w:pPr>
            <w:r w:rsidRPr="00765C97">
              <w:rPr>
                <w:rFonts w:ascii="Arial" w:hAnsi="Arial"/>
                <w:b/>
                <w:sz w:val="16"/>
                <w:lang w:val="pl-PL"/>
              </w:rPr>
              <w:t xml:space="preserve">12 miesięcy </w:t>
            </w:r>
          </w:p>
          <w:p w:rsidR="003D2589" w:rsidRPr="00765C97" w:rsidRDefault="003D2589" w:rsidP="00F335D5">
            <w:pPr>
              <w:ind w:right="79"/>
              <w:jc w:val="right"/>
              <w:rPr>
                <w:rFonts w:ascii="Arial" w:hAnsi="Arial"/>
                <w:b/>
                <w:sz w:val="16"/>
                <w:lang w:val="pl-PL"/>
              </w:rPr>
            </w:pPr>
            <w:r w:rsidRPr="00765C97">
              <w:rPr>
                <w:rFonts w:ascii="Arial" w:hAnsi="Arial"/>
                <w:b/>
                <w:sz w:val="16"/>
                <w:lang w:val="pl-PL"/>
              </w:rPr>
              <w:t>201</w:t>
            </w:r>
            <w:r w:rsidR="00F335D5" w:rsidRPr="00765C97">
              <w:rPr>
                <w:rFonts w:ascii="Arial" w:hAnsi="Arial"/>
                <w:b/>
                <w:sz w:val="16"/>
                <w:lang w:val="pl-PL"/>
              </w:rPr>
              <w:t>2</w:t>
            </w:r>
          </w:p>
        </w:tc>
        <w:tc>
          <w:tcPr>
            <w:tcW w:w="1342" w:type="dxa"/>
            <w:tcBorders>
              <w:left w:val="nil"/>
              <w:bottom w:val="nil"/>
              <w:right w:val="nil"/>
            </w:tcBorders>
            <w:vAlign w:val="center"/>
          </w:tcPr>
          <w:p w:rsidR="003D2589" w:rsidRPr="00765C97" w:rsidRDefault="003D2589" w:rsidP="008B4C6B">
            <w:pPr>
              <w:ind w:right="79"/>
              <w:jc w:val="right"/>
              <w:rPr>
                <w:rFonts w:ascii="Arial" w:hAnsi="Arial"/>
                <w:b/>
                <w:sz w:val="16"/>
                <w:lang w:val="pl-PL"/>
              </w:rPr>
            </w:pPr>
            <w:r w:rsidRPr="00765C97">
              <w:rPr>
                <w:rFonts w:ascii="Arial" w:hAnsi="Arial"/>
                <w:b/>
                <w:sz w:val="16"/>
                <w:lang w:val="pl-PL"/>
              </w:rPr>
              <w:t xml:space="preserve">12 miesięcy </w:t>
            </w:r>
          </w:p>
          <w:p w:rsidR="003D2589" w:rsidRPr="00765C97" w:rsidRDefault="003D2589" w:rsidP="008B4C6B">
            <w:pPr>
              <w:ind w:right="79"/>
              <w:jc w:val="right"/>
              <w:rPr>
                <w:rFonts w:ascii="Arial" w:hAnsi="Arial"/>
                <w:b/>
                <w:sz w:val="16"/>
                <w:lang w:val="pl-PL"/>
              </w:rPr>
            </w:pPr>
            <w:r w:rsidRPr="00765C97">
              <w:rPr>
                <w:rFonts w:ascii="Arial" w:hAnsi="Arial"/>
                <w:b/>
                <w:sz w:val="16"/>
                <w:lang w:val="pl-PL"/>
              </w:rPr>
              <w:t>201</w:t>
            </w:r>
            <w:r w:rsidR="00F335D5" w:rsidRPr="00765C97">
              <w:rPr>
                <w:rFonts w:ascii="Arial" w:hAnsi="Arial"/>
                <w:b/>
                <w:sz w:val="16"/>
                <w:lang w:val="pl-PL"/>
              </w:rPr>
              <w:t>1</w:t>
            </w:r>
          </w:p>
        </w:tc>
        <w:tc>
          <w:tcPr>
            <w:tcW w:w="278" w:type="dxa"/>
            <w:tcBorders>
              <w:left w:val="nil"/>
              <w:bottom w:val="nil"/>
              <w:right w:val="nil"/>
            </w:tcBorders>
            <w:vAlign w:val="center"/>
          </w:tcPr>
          <w:p w:rsidR="003D2589" w:rsidRPr="00765C97" w:rsidRDefault="003D2589">
            <w:pPr>
              <w:ind w:right="192"/>
              <w:jc w:val="right"/>
              <w:rPr>
                <w:rFonts w:ascii="Arial" w:hAnsi="Arial"/>
                <w:b/>
                <w:sz w:val="16"/>
                <w:lang w:val="pl-PL"/>
              </w:rPr>
            </w:pPr>
          </w:p>
        </w:tc>
      </w:tr>
      <w:tr w:rsidR="003D2589" w:rsidRPr="00F346A4" w:rsidTr="003D2589">
        <w:trPr>
          <w:trHeight w:val="255"/>
        </w:trPr>
        <w:tc>
          <w:tcPr>
            <w:tcW w:w="5220" w:type="dxa"/>
            <w:tcBorders>
              <w:top w:val="nil"/>
              <w:left w:val="nil"/>
              <w:bottom w:val="nil"/>
              <w:right w:val="nil"/>
            </w:tcBorders>
            <w:vAlign w:val="center"/>
          </w:tcPr>
          <w:p w:rsidR="003D2589" w:rsidRPr="00765C97" w:rsidRDefault="003D2589" w:rsidP="00F403DE">
            <w:pPr>
              <w:pStyle w:val="Nagwek4"/>
              <w:numPr>
                <w:ilvl w:val="0"/>
                <w:numId w:val="0"/>
              </w:numPr>
              <w:spacing w:line="240" w:lineRule="auto"/>
              <w:rPr>
                <w:rFonts w:ascii="Arial" w:hAnsi="Arial"/>
                <w:lang w:val="pl-PL"/>
              </w:rPr>
            </w:pPr>
            <w:r w:rsidRPr="00765C97">
              <w:rPr>
                <w:rFonts w:ascii="Arial" w:hAnsi="Arial"/>
                <w:lang w:val="pl-PL"/>
              </w:rPr>
              <w:t>Przepływy pieniężne z działalności operacyjnej</w:t>
            </w:r>
          </w:p>
        </w:tc>
        <w:tc>
          <w:tcPr>
            <w:tcW w:w="1342" w:type="dxa"/>
            <w:tcBorders>
              <w:top w:val="nil"/>
              <w:left w:val="nil"/>
              <w:bottom w:val="nil"/>
              <w:right w:val="nil"/>
            </w:tcBorders>
            <w:vAlign w:val="center"/>
          </w:tcPr>
          <w:p w:rsidR="003D2589" w:rsidRPr="00765C97" w:rsidRDefault="003D2589" w:rsidP="008B4C6B">
            <w:pPr>
              <w:ind w:right="79"/>
              <w:jc w:val="right"/>
              <w:rPr>
                <w:rFonts w:ascii="Arial" w:hAnsi="Arial"/>
                <w:sz w:val="16"/>
                <w:lang w:val="pl-PL"/>
              </w:rPr>
            </w:pPr>
          </w:p>
        </w:tc>
        <w:tc>
          <w:tcPr>
            <w:tcW w:w="1342" w:type="dxa"/>
            <w:tcBorders>
              <w:top w:val="nil"/>
              <w:left w:val="nil"/>
              <w:bottom w:val="nil"/>
              <w:right w:val="nil"/>
            </w:tcBorders>
            <w:vAlign w:val="center"/>
          </w:tcPr>
          <w:p w:rsidR="003D2589" w:rsidRPr="00765C97" w:rsidRDefault="003D2589" w:rsidP="008B4C6B">
            <w:pPr>
              <w:ind w:right="79"/>
              <w:jc w:val="right"/>
              <w:rPr>
                <w:rFonts w:ascii="Arial" w:hAnsi="Arial"/>
                <w:sz w:val="16"/>
                <w:lang w:val="pl-PL"/>
              </w:rPr>
            </w:pPr>
          </w:p>
        </w:tc>
        <w:tc>
          <w:tcPr>
            <w:tcW w:w="278" w:type="dxa"/>
            <w:tcBorders>
              <w:top w:val="nil"/>
              <w:left w:val="nil"/>
              <w:bottom w:val="nil"/>
              <w:right w:val="nil"/>
            </w:tcBorders>
            <w:vAlign w:val="center"/>
          </w:tcPr>
          <w:p w:rsidR="003D2589" w:rsidRPr="00765C97" w:rsidRDefault="003D2589">
            <w:pPr>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Zysk netto</w:t>
            </w:r>
          </w:p>
        </w:tc>
        <w:tc>
          <w:tcPr>
            <w:tcW w:w="1342" w:type="dxa"/>
            <w:tcBorders>
              <w:top w:val="nil"/>
              <w:left w:val="nil"/>
              <w:bottom w:val="nil"/>
              <w:right w:val="nil"/>
            </w:tcBorders>
            <w:vAlign w:val="center"/>
          </w:tcPr>
          <w:p w:rsidR="00F335D5" w:rsidRPr="00765C97" w:rsidRDefault="004B4EC1" w:rsidP="008B4C6B">
            <w:pPr>
              <w:ind w:right="79"/>
              <w:jc w:val="right"/>
              <w:rPr>
                <w:rFonts w:ascii="Arial" w:hAnsi="Arial"/>
                <w:sz w:val="16"/>
                <w:lang w:val="pl-PL"/>
              </w:rPr>
            </w:pPr>
            <w:r w:rsidRPr="00765C97">
              <w:rPr>
                <w:rFonts w:ascii="Arial" w:hAnsi="Arial"/>
                <w:sz w:val="16"/>
                <w:lang w:val="pl-PL"/>
              </w:rPr>
              <w:t>37 252</w:t>
            </w:r>
          </w:p>
        </w:tc>
        <w:tc>
          <w:tcPr>
            <w:tcW w:w="1342" w:type="dxa"/>
            <w:tcBorders>
              <w:top w:val="nil"/>
              <w:left w:val="nil"/>
              <w:bottom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33 067</w:t>
            </w:r>
          </w:p>
        </w:tc>
        <w:tc>
          <w:tcPr>
            <w:tcW w:w="278" w:type="dxa"/>
            <w:tcBorders>
              <w:top w:val="nil"/>
              <w:left w:val="nil"/>
              <w:bottom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Korekty razem</w:t>
            </w:r>
          </w:p>
        </w:tc>
        <w:tc>
          <w:tcPr>
            <w:tcW w:w="1342" w:type="dxa"/>
            <w:tcBorders>
              <w:top w:val="nil"/>
              <w:left w:val="nil"/>
              <w:bottom w:val="nil"/>
              <w:right w:val="nil"/>
            </w:tcBorders>
            <w:vAlign w:val="center"/>
          </w:tcPr>
          <w:p w:rsidR="00F335D5" w:rsidRPr="00765C97" w:rsidRDefault="007C4BB3" w:rsidP="008B4C6B">
            <w:pPr>
              <w:ind w:right="79"/>
              <w:jc w:val="right"/>
              <w:rPr>
                <w:rFonts w:ascii="Arial" w:hAnsi="Arial"/>
                <w:sz w:val="16"/>
                <w:lang w:val="pl-PL"/>
              </w:rPr>
            </w:pPr>
            <w:r w:rsidRPr="00765C97">
              <w:rPr>
                <w:rFonts w:ascii="Arial" w:hAnsi="Arial"/>
                <w:sz w:val="16"/>
                <w:lang w:val="pl-PL"/>
              </w:rPr>
              <w:t>37 813</w:t>
            </w:r>
          </w:p>
        </w:tc>
        <w:tc>
          <w:tcPr>
            <w:tcW w:w="1342" w:type="dxa"/>
            <w:tcBorders>
              <w:top w:val="nil"/>
              <w:left w:val="nil"/>
              <w:bottom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35 968</w:t>
            </w:r>
          </w:p>
        </w:tc>
        <w:tc>
          <w:tcPr>
            <w:tcW w:w="278" w:type="dxa"/>
            <w:tcBorders>
              <w:top w:val="nil"/>
              <w:left w:val="nil"/>
              <w:bottom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ind w:left="180"/>
              <w:rPr>
                <w:rFonts w:ascii="Arial" w:hAnsi="Arial"/>
                <w:sz w:val="16"/>
                <w:lang w:val="pl-PL"/>
              </w:rPr>
            </w:pPr>
            <w:r w:rsidRPr="00765C97">
              <w:rPr>
                <w:rFonts w:ascii="Arial" w:hAnsi="Arial"/>
                <w:sz w:val="16"/>
                <w:lang w:val="pl-PL"/>
              </w:rPr>
              <w:t>Udział w (zyskach) stratach netto jednostek podporządkowanych wycenianych metodą praw własności</w:t>
            </w:r>
          </w:p>
        </w:tc>
        <w:tc>
          <w:tcPr>
            <w:tcW w:w="1342" w:type="dxa"/>
            <w:tcBorders>
              <w:top w:val="nil"/>
              <w:left w:val="nil"/>
              <w:bottom w:val="nil"/>
              <w:right w:val="nil"/>
            </w:tcBorders>
            <w:vAlign w:val="center"/>
          </w:tcPr>
          <w:p w:rsidR="00F335D5" w:rsidRPr="00765C97" w:rsidRDefault="004B4EC1" w:rsidP="008B4C6B">
            <w:pPr>
              <w:ind w:right="79"/>
              <w:jc w:val="right"/>
              <w:rPr>
                <w:rFonts w:ascii="Arial" w:hAnsi="Arial"/>
                <w:sz w:val="16"/>
                <w:lang w:val="pl-PL"/>
              </w:rPr>
            </w:pPr>
            <w:r w:rsidRPr="00765C97">
              <w:rPr>
                <w:rFonts w:ascii="Arial" w:hAnsi="Arial"/>
                <w:sz w:val="16"/>
                <w:lang w:val="pl-PL"/>
              </w:rPr>
              <w:t>23</w:t>
            </w:r>
          </w:p>
        </w:tc>
        <w:tc>
          <w:tcPr>
            <w:tcW w:w="1342" w:type="dxa"/>
            <w:tcBorders>
              <w:top w:val="nil"/>
              <w:left w:val="nil"/>
              <w:bottom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38</w:t>
            </w:r>
          </w:p>
        </w:tc>
        <w:tc>
          <w:tcPr>
            <w:tcW w:w="278" w:type="dxa"/>
            <w:tcBorders>
              <w:top w:val="nil"/>
              <w:left w:val="nil"/>
              <w:bottom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ind w:left="180"/>
              <w:rPr>
                <w:rFonts w:ascii="Arial" w:hAnsi="Arial"/>
                <w:sz w:val="16"/>
                <w:lang w:val="pl-PL"/>
              </w:rPr>
            </w:pPr>
            <w:r w:rsidRPr="00765C97">
              <w:rPr>
                <w:rFonts w:ascii="Arial" w:hAnsi="Arial"/>
                <w:sz w:val="16"/>
                <w:lang w:val="pl-PL"/>
              </w:rPr>
              <w:t>Amortyzacja</w:t>
            </w:r>
          </w:p>
        </w:tc>
        <w:tc>
          <w:tcPr>
            <w:tcW w:w="1342" w:type="dxa"/>
            <w:tcBorders>
              <w:top w:val="nil"/>
              <w:left w:val="nil"/>
              <w:bottom w:val="nil"/>
              <w:right w:val="nil"/>
            </w:tcBorders>
            <w:vAlign w:val="center"/>
          </w:tcPr>
          <w:p w:rsidR="00F335D5" w:rsidRPr="00765C97" w:rsidRDefault="004B4EC1" w:rsidP="008B4C6B">
            <w:pPr>
              <w:ind w:right="79"/>
              <w:jc w:val="right"/>
              <w:rPr>
                <w:rFonts w:ascii="Arial" w:hAnsi="Arial"/>
                <w:sz w:val="16"/>
                <w:lang w:val="pl-PL"/>
              </w:rPr>
            </w:pPr>
            <w:r w:rsidRPr="00765C97">
              <w:rPr>
                <w:rFonts w:ascii="Arial" w:hAnsi="Arial"/>
                <w:sz w:val="16"/>
                <w:lang w:val="pl-PL"/>
              </w:rPr>
              <w:t xml:space="preserve">53 </w:t>
            </w:r>
            <w:r w:rsidR="00B90B70" w:rsidRPr="00765C97">
              <w:rPr>
                <w:rFonts w:ascii="Arial" w:hAnsi="Arial"/>
                <w:sz w:val="16"/>
                <w:lang w:val="pl-PL"/>
              </w:rPr>
              <w:t>326</w:t>
            </w:r>
          </w:p>
        </w:tc>
        <w:tc>
          <w:tcPr>
            <w:tcW w:w="1342" w:type="dxa"/>
            <w:tcBorders>
              <w:top w:val="nil"/>
              <w:left w:val="nil"/>
              <w:bottom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42 044</w:t>
            </w:r>
          </w:p>
        </w:tc>
        <w:tc>
          <w:tcPr>
            <w:tcW w:w="278" w:type="dxa"/>
            <w:tcBorders>
              <w:top w:val="nil"/>
              <w:left w:val="nil"/>
              <w:bottom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ind w:left="180"/>
              <w:rPr>
                <w:rFonts w:ascii="Arial" w:hAnsi="Arial"/>
                <w:sz w:val="16"/>
                <w:lang w:val="pl-PL"/>
              </w:rPr>
            </w:pPr>
            <w:r w:rsidRPr="00765C97">
              <w:rPr>
                <w:rFonts w:ascii="Arial" w:hAnsi="Arial"/>
                <w:sz w:val="16"/>
                <w:lang w:val="pl-PL"/>
              </w:rPr>
              <w:t>(Zyski) straty z tytułu różnic kursowych</w:t>
            </w:r>
          </w:p>
        </w:tc>
        <w:tc>
          <w:tcPr>
            <w:tcW w:w="1342" w:type="dxa"/>
            <w:tcBorders>
              <w:top w:val="nil"/>
              <w:left w:val="nil"/>
              <w:bottom w:val="nil"/>
              <w:right w:val="nil"/>
            </w:tcBorders>
            <w:vAlign w:val="center"/>
          </w:tcPr>
          <w:p w:rsidR="00F335D5" w:rsidRPr="00765C97" w:rsidRDefault="004B4EC1" w:rsidP="008B4C6B">
            <w:pPr>
              <w:ind w:right="79"/>
              <w:jc w:val="right"/>
              <w:rPr>
                <w:rFonts w:ascii="Arial" w:hAnsi="Arial"/>
                <w:sz w:val="16"/>
                <w:lang w:val="pl-PL"/>
              </w:rPr>
            </w:pPr>
            <w:r w:rsidRPr="00765C97">
              <w:rPr>
                <w:rFonts w:ascii="Arial" w:hAnsi="Arial"/>
                <w:sz w:val="16"/>
                <w:lang w:val="pl-PL"/>
              </w:rPr>
              <w:t>(2 379)</w:t>
            </w:r>
          </w:p>
        </w:tc>
        <w:tc>
          <w:tcPr>
            <w:tcW w:w="1342" w:type="dxa"/>
            <w:tcBorders>
              <w:top w:val="nil"/>
              <w:left w:val="nil"/>
              <w:bottom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5 719</w:t>
            </w:r>
          </w:p>
        </w:tc>
        <w:tc>
          <w:tcPr>
            <w:tcW w:w="278" w:type="dxa"/>
            <w:tcBorders>
              <w:top w:val="nil"/>
              <w:left w:val="nil"/>
              <w:bottom w:val="nil"/>
              <w:right w:val="nil"/>
            </w:tcBorders>
            <w:vAlign w:val="center"/>
          </w:tcPr>
          <w:p w:rsidR="00F335D5" w:rsidRPr="00765C97" w:rsidRDefault="00F335D5">
            <w:pPr>
              <w:ind w:right="198"/>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ind w:left="180"/>
              <w:rPr>
                <w:rFonts w:ascii="Arial" w:hAnsi="Arial"/>
                <w:sz w:val="16"/>
                <w:lang w:val="pl-PL"/>
              </w:rPr>
            </w:pPr>
            <w:r w:rsidRPr="00765C97">
              <w:rPr>
                <w:rFonts w:ascii="Arial" w:hAnsi="Arial"/>
                <w:sz w:val="16"/>
                <w:lang w:val="pl-PL"/>
              </w:rPr>
              <w:t>Odsetki i udziały w zyskach (dywidendy)</w:t>
            </w:r>
          </w:p>
        </w:tc>
        <w:tc>
          <w:tcPr>
            <w:tcW w:w="1342" w:type="dxa"/>
            <w:tcBorders>
              <w:top w:val="nil"/>
              <w:left w:val="nil"/>
              <w:bottom w:val="nil"/>
              <w:right w:val="nil"/>
            </w:tcBorders>
            <w:vAlign w:val="center"/>
          </w:tcPr>
          <w:p w:rsidR="00F335D5" w:rsidRPr="00765C97" w:rsidRDefault="004B4EC1" w:rsidP="008B4C6B">
            <w:pPr>
              <w:ind w:right="79"/>
              <w:jc w:val="right"/>
              <w:rPr>
                <w:rFonts w:ascii="Arial" w:hAnsi="Arial"/>
                <w:sz w:val="16"/>
                <w:lang w:val="pl-PL"/>
              </w:rPr>
            </w:pPr>
            <w:r w:rsidRPr="00765C97">
              <w:rPr>
                <w:rFonts w:ascii="Arial" w:hAnsi="Arial"/>
                <w:sz w:val="16"/>
                <w:lang w:val="pl-PL"/>
              </w:rPr>
              <w:t>(3 308)</w:t>
            </w:r>
          </w:p>
        </w:tc>
        <w:tc>
          <w:tcPr>
            <w:tcW w:w="1342" w:type="dxa"/>
            <w:tcBorders>
              <w:top w:val="nil"/>
              <w:left w:val="nil"/>
              <w:bottom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1 411</w:t>
            </w:r>
          </w:p>
        </w:tc>
        <w:tc>
          <w:tcPr>
            <w:tcW w:w="278" w:type="dxa"/>
            <w:tcBorders>
              <w:top w:val="nil"/>
              <w:left w:val="nil"/>
              <w:bottom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ind w:left="180"/>
              <w:rPr>
                <w:rFonts w:ascii="Arial" w:hAnsi="Arial"/>
                <w:sz w:val="16"/>
                <w:lang w:val="pl-PL"/>
              </w:rPr>
            </w:pPr>
            <w:r w:rsidRPr="00765C97">
              <w:rPr>
                <w:rFonts w:ascii="Arial" w:hAnsi="Arial"/>
                <w:sz w:val="16"/>
                <w:lang w:val="pl-PL"/>
              </w:rPr>
              <w:t>(Zysk) strata z działalności inwestycyjnej</w:t>
            </w:r>
          </w:p>
        </w:tc>
        <w:tc>
          <w:tcPr>
            <w:tcW w:w="1342" w:type="dxa"/>
            <w:tcBorders>
              <w:top w:val="nil"/>
              <w:left w:val="nil"/>
              <w:bottom w:val="nil"/>
              <w:right w:val="nil"/>
            </w:tcBorders>
            <w:vAlign w:val="center"/>
          </w:tcPr>
          <w:p w:rsidR="00F335D5" w:rsidRPr="00765C97" w:rsidRDefault="004B4EC1" w:rsidP="008B4C6B">
            <w:pPr>
              <w:ind w:right="79"/>
              <w:jc w:val="right"/>
              <w:rPr>
                <w:rFonts w:ascii="Arial" w:hAnsi="Arial"/>
                <w:sz w:val="16"/>
                <w:lang w:val="pl-PL"/>
              </w:rPr>
            </w:pPr>
            <w:r w:rsidRPr="00765C97">
              <w:rPr>
                <w:rFonts w:ascii="Arial" w:hAnsi="Arial"/>
                <w:sz w:val="16"/>
                <w:lang w:val="pl-PL"/>
              </w:rPr>
              <w:t>(1 </w:t>
            </w:r>
            <w:r w:rsidR="00B90B70" w:rsidRPr="00765C97">
              <w:rPr>
                <w:rFonts w:ascii="Arial" w:hAnsi="Arial"/>
                <w:sz w:val="16"/>
                <w:lang w:val="pl-PL"/>
              </w:rPr>
              <w:t>384</w:t>
            </w:r>
            <w:r w:rsidRPr="00765C97">
              <w:rPr>
                <w:rFonts w:ascii="Arial" w:hAnsi="Arial"/>
                <w:sz w:val="16"/>
                <w:lang w:val="pl-PL"/>
              </w:rPr>
              <w:t>)</w:t>
            </w:r>
          </w:p>
        </w:tc>
        <w:tc>
          <w:tcPr>
            <w:tcW w:w="1342" w:type="dxa"/>
            <w:tcBorders>
              <w:top w:val="nil"/>
              <w:left w:val="nil"/>
              <w:bottom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(8 482)</w:t>
            </w:r>
          </w:p>
        </w:tc>
        <w:tc>
          <w:tcPr>
            <w:tcW w:w="278" w:type="dxa"/>
            <w:tcBorders>
              <w:top w:val="nil"/>
              <w:left w:val="nil"/>
              <w:bottom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ind w:left="180"/>
              <w:rPr>
                <w:rFonts w:ascii="Arial" w:hAnsi="Arial"/>
                <w:sz w:val="16"/>
                <w:lang w:val="pl-PL"/>
              </w:rPr>
            </w:pPr>
            <w:r w:rsidRPr="00765C97">
              <w:rPr>
                <w:rFonts w:ascii="Arial" w:hAnsi="Arial"/>
                <w:sz w:val="16"/>
                <w:lang w:val="pl-PL"/>
              </w:rPr>
              <w:t>Zmiana stanu zapasów</w:t>
            </w:r>
          </w:p>
        </w:tc>
        <w:tc>
          <w:tcPr>
            <w:tcW w:w="1342" w:type="dxa"/>
            <w:tcBorders>
              <w:top w:val="nil"/>
              <w:left w:val="nil"/>
              <w:bottom w:val="nil"/>
              <w:right w:val="nil"/>
            </w:tcBorders>
            <w:vAlign w:val="center"/>
          </w:tcPr>
          <w:p w:rsidR="00F335D5" w:rsidRPr="00765C97" w:rsidRDefault="004B4EC1" w:rsidP="007C4BB3">
            <w:pPr>
              <w:ind w:right="79"/>
              <w:jc w:val="right"/>
              <w:rPr>
                <w:rFonts w:ascii="Arial" w:hAnsi="Arial"/>
                <w:sz w:val="16"/>
                <w:lang w:val="pl-PL"/>
              </w:rPr>
            </w:pPr>
            <w:r w:rsidRPr="00765C97">
              <w:rPr>
                <w:rFonts w:ascii="Arial" w:hAnsi="Arial"/>
                <w:sz w:val="16"/>
                <w:lang w:val="pl-PL"/>
              </w:rPr>
              <w:t>(</w:t>
            </w:r>
            <w:r w:rsidR="007C4BB3" w:rsidRPr="00765C97">
              <w:rPr>
                <w:rFonts w:ascii="Arial" w:hAnsi="Arial"/>
                <w:sz w:val="16"/>
                <w:lang w:val="pl-PL"/>
              </w:rPr>
              <w:t>14 412</w:t>
            </w:r>
            <w:r w:rsidRPr="00765C97">
              <w:rPr>
                <w:rFonts w:ascii="Arial" w:hAnsi="Arial"/>
                <w:sz w:val="16"/>
                <w:lang w:val="pl-PL"/>
              </w:rPr>
              <w:t>)</w:t>
            </w:r>
          </w:p>
        </w:tc>
        <w:tc>
          <w:tcPr>
            <w:tcW w:w="1342" w:type="dxa"/>
            <w:tcBorders>
              <w:top w:val="nil"/>
              <w:left w:val="nil"/>
              <w:bottom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6 201</w:t>
            </w:r>
          </w:p>
        </w:tc>
        <w:tc>
          <w:tcPr>
            <w:tcW w:w="278" w:type="dxa"/>
            <w:tcBorders>
              <w:top w:val="nil"/>
              <w:left w:val="nil"/>
              <w:bottom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ind w:left="180"/>
              <w:rPr>
                <w:rFonts w:ascii="Arial" w:hAnsi="Arial"/>
                <w:sz w:val="16"/>
                <w:lang w:val="pl-PL"/>
              </w:rPr>
            </w:pPr>
            <w:r w:rsidRPr="00765C97">
              <w:rPr>
                <w:rFonts w:ascii="Arial" w:hAnsi="Arial"/>
                <w:sz w:val="16"/>
                <w:lang w:val="pl-PL"/>
              </w:rPr>
              <w:t>Zmiana stanu należności</w:t>
            </w:r>
          </w:p>
        </w:tc>
        <w:tc>
          <w:tcPr>
            <w:tcW w:w="1342" w:type="dxa"/>
            <w:tcBorders>
              <w:top w:val="nil"/>
              <w:left w:val="nil"/>
              <w:right w:val="nil"/>
            </w:tcBorders>
            <w:vAlign w:val="center"/>
          </w:tcPr>
          <w:p w:rsidR="00F335D5" w:rsidRPr="00765C97" w:rsidRDefault="004B4EC1" w:rsidP="008B4C6B">
            <w:pPr>
              <w:ind w:right="79"/>
              <w:jc w:val="right"/>
              <w:rPr>
                <w:rFonts w:ascii="Arial" w:hAnsi="Arial"/>
                <w:sz w:val="16"/>
                <w:lang w:val="pl-PL"/>
              </w:rPr>
            </w:pPr>
            <w:r w:rsidRPr="00765C97">
              <w:rPr>
                <w:rFonts w:ascii="Arial" w:hAnsi="Arial"/>
                <w:sz w:val="16"/>
                <w:lang w:val="pl-PL"/>
              </w:rPr>
              <w:t>(41 848)</w:t>
            </w:r>
          </w:p>
        </w:tc>
        <w:tc>
          <w:tcPr>
            <w:tcW w:w="1342" w:type="dxa"/>
            <w:tcBorders>
              <w:top w:val="nil"/>
              <w:left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5 667</w:t>
            </w:r>
          </w:p>
        </w:tc>
        <w:tc>
          <w:tcPr>
            <w:tcW w:w="278" w:type="dxa"/>
            <w:tcBorders>
              <w:top w:val="nil"/>
              <w:left w:val="nil"/>
              <w:bottom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ind w:left="180"/>
              <w:rPr>
                <w:rFonts w:ascii="Arial" w:hAnsi="Arial"/>
                <w:sz w:val="16"/>
                <w:lang w:val="pl-PL"/>
              </w:rPr>
            </w:pPr>
            <w:r w:rsidRPr="00765C97">
              <w:rPr>
                <w:rFonts w:ascii="Arial" w:hAnsi="Arial"/>
                <w:sz w:val="16"/>
                <w:lang w:val="pl-PL"/>
              </w:rPr>
              <w:t>Zmiana stanu zobowiązań i rezerw, z wyjątkiem pożyczek i kredytów</w:t>
            </w:r>
          </w:p>
        </w:tc>
        <w:tc>
          <w:tcPr>
            <w:tcW w:w="1342" w:type="dxa"/>
            <w:tcBorders>
              <w:top w:val="nil"/>
              <w:left w:val="nil"/>
              <w:right w:val="nil"/>
            </w:tcBorders>
            <w:vAlign w:val="center"/>
          </w:tcPr>
          <w:p w:rsidR="00F335D5" w:rsidRPr="00765C97" w:rsidRDefault="004B4EC1" w:rsidP="008B4C6B">
            <w:pPr>
              <w:ind w:right="79"/>
              <w:jc w:val="right"/>
              <w:rPr>
                <w:rFonts w:ascii="Arial" w:hAnsi="Arial"/>
                <w:sz w:val="16"/>
                <w:lang w:val="pl-PL"/>
              </w:rPr>
            </w:pPr>
            <w:r w:rsidRPr="00765C97">
              <w:rPr>
                <w:rFonts w:ascii="Arial" w:hAnsi="Arial"/>
                <w:sz w:val="16"/>
                <w:lang w:val="pl-PL"/>
              </w:rPr>
              <w:t>45 334</w:t>
            </w:r>
          </w:p>
        </w:tc>
        <w:tc>
          <w:tcPr>
            <w:tcW w:w="1342" w:type="dxa"/>
            <w:tcBorders>
              <w:top w:val="nil"/>
              <w:left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(18 196)</w:t>
            </w:r>
          </w:p>
        </w:tc>
        <w:tc>
          <w:tcPr>
            <w:tcW w:w="278" w:type="dxa"/>
            <w:tcBorders>
              <w:top w:val="nil"/>
              <w:left w:val="nil"/>
              <w:bottom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 xml:space="preserve">    Inne korekty</w:t>
            </w:r>
          </w:p>
        </w:tc>
        <w:tc>
          <w:tcPr>
            <w:tcW w:w="1342" w:type="dxa"/>
            <w:tcBorders>
              <w:left w:val="nil"/>
              <w:bottom w:val="single" w:sz="2" w:space="0" w:color="auto"/>
              <w:right w:val="nil"/>
            </w:tcBorders>
            <w:vAlign w:val="center"/>
          </w:tcPr>
          <w:p w:rsidR="00F335D5" w:rsidRPr="00765C97" w:rsidRDefault="004B4EC1" w:rsidP="008B4C6B">
            <w:pPr>
              <w:ind w:right="79"/>
              <w:jc w:val="right"/>
              <w:rPr>
                <w:rFonts w:ascii="Arial" w:hAnsi="Arial"/>
                <w:sz w:val="16"/>
                <w:lang w:val="pl-PL"/>
              </w:rPr>
            </w:pPr>
            <w:r w:rsidRPr="00765C97">
              <w:rPr>
                <w:rFonts w:ascii="Arial" w:hAnsi="Arial"/>
                <w:sz w:val="16"/>
                <w:lang w:val="pl-PL"/>
              </w:rPr>
              <w:t>2 461</w:t>
            </w:r>
          </w:p>
        </w:tc>
        <w:tc>
          <w:tcPr>
            <w:tcW w:w="1342" w:type="dxa"/>
            <w:tcBorders>
              <w:left w:val="nil"/>
              <w:bottom w:val="single" w:sz="2" w:space="0" w:color="auto"/>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1 566</w:t>
            </w:r>
          </w:p>
        </w:tc>
        <w:tc>
          <w:tcPr>
            <w:tcW w:w="278" w:type="dxa"/>
            <w:tcBorders>
              <w:left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Zysk netto pomniejszony o korekty razem</w:t>
            </w:r>
          </w:p>
        </w:tc>
        <w:tc>
          <w:tcPr>
            <w:tcW w:w="1342" w:type="dxa"/>
            <w:tcBorders>
              <w:top w:val="single" w:sz="2" w:space="0" w:color="auto"/>
              <w:left w:val="nil"/>
              <w:bottom w:val="single" w:sz="2" w:space="0" w:color="auto"/>
              <w:right w:val="nil"/>
            </w:tcBorders>
            <w:vAlign w:val="center"/>
          </w:tcPr>
          <w:p w:rsidR="00F335D5" w:rsidRPr="00765C97" w:rsidRDefault="004B4EC1" w:rsidP="007C4BB3">
            <w:pPr>
              <w:ind w:right="79"/>
              <w:jc w:val="right"/>
              <w:rPr>
                <w:rFonts w:ascii="Arial" w:hAnsi="Arial"/>
                <w:sz w:val="16"/>
                <w:lang w:val="pl-PL"/>
              </w:rPr>
            </w:pPr>
            <w:r w:rsidRPr="00765C97">
              <w:rPr>
                <w:rFonts w:ascii="Arial" w:hAnsi="Arial"/>
                <w:sz w:val="16"/>
                <w:lang w:val="pl-PL"/>
              </w:rPr>
              <w:t xml:space="preserve">75 </w:t>
            </w:r>
            <w:r w:rsidR="007C4BB3" w:rsidRPr="00765C97">
              <w:rPr>
                <w:rFonts w:ascii="Arial" w:hAnsi="Arial"/>
                <w:sz w:val="16"/>
                <w:lang w:val="pl-PL"/>
              </w:rPr>
              <w:t>065</w:t>
            </w:r>
          </w:p>
        </w:tc>
        <w:tc>
          <w:tcPr>
            <w:tcW w:w="1342" w:type="dxa"/>
            <w:tcBorders>
              <w:top w:val="single" w:sz="2" w:space="0" w:color="auto"/>
              <w:left w:val="nil"/>
              <w:bottom w:val="single" w:sz="2" w:space="0" w:color="auto"/>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69 035</w:t>
            </w:r>
          </w:p>
        </w:tc>
        <w:tc>
          <w:tcPr>
            <w:tcW w:w="278" w:type="dxa"/>
            <w:tcBorders>
              <w:left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Zapłacony podatek dochodowy</w:t>
            </w:r>
          </w:p>
        </w:tc>
        <w:tc>
          <w:tcPr>
            <w:tcW w:w="1342" w:type="dxa"/>
            <w:tcBorders>
              <w:top w:val="single" w:sz="2" w:space="0" w:color="auto"/>
              <w:left w:val="nil"/>
              <w:bottom w:val="single" w:sz="2" w:space="0" w:color="auto"/>
              <w:right w:val="nil"/>
            </w:tcBorders>
            <w:vAlign w:val="center"/>
          </w:tcPr>
          <w:p w:rsidR="00F335D5" w:rsidRPr="00765C97" w:rsidRDefault="004B4EC1" w:rsidP="008B4C6B">
            <w:pPr>
              <w:ind w:right="79"/>
              <w:jc w:val="right"/>
              <w:rPr>
                <w:rFonts w:ascii="Arial" w:hAnsi="Arial"/>
                <w:sz w:val="16"/>
                <w:lang w:val="pl-PL"/>
              </w:rPr>
            </w:pPr>
            <w:r w:rsidRPr="00765C97">
              <w:rPr>
                <w:rFonts w:ascii="Arial" w:hAnsi="Arial"/>
                <w:sz w:val="16"/>
                <w:lang w:val="pl-PL"/>
              </w:rPr>
              <w:t>(7 918)</w:t>
            </w:r>
          </w:p>
        </w:tc>
        <w:tc>
          <w:tcPr>
            <w:tcW w:w="1342" w:type="dxa"/>
            <w:tcBorders>
              <w:top w:val="single" w:sz="2" w:space="0" w:color="auto"/>
              <w:left w:val="nil"/>
              <w:bottom w:val="single" w:sz="2" w:space="0" w:color="auto"/>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(10 505)</w:t>
            </w:r>
          </w:p>
        </w:tc>
        <w:tc>
          <w:tcPr>
            <w:tcW w:w="278" w:type="dxa"/>
            <w:tcBorders>
              <w:top w:val="nil"/>
              <w:left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b/>
                <w:sz w:val="16"/>
                <w:lang w:val="pl-PL"/>
              </w:rPr>
            </w:pPr>
            <w:r w:rsidRPr="00765C97">
              <w:rPr>
                <w:rFonts w:ascii="Arial" w:hAnsi="Arial"/>
                <w:b/>
                <w:sz w:val="16"/>
                <w:lang w:val="pl-PL"/>
              </w:rPr>
              <w:t>Środki pieniężne netto z działalności operacyjnej</w:t>
            </w:r>
          </w:p>
        </w:tc>
        <w:tc>
          <w:tcPr>
            <w:tcW w:w="1342" w:type="dxa"/>
            <w:tcBorders>
              <w:top w:val="single" w:sz="2" w:space="0" w:color="auto"/>
              <w:left w:val="nil"/>
              <w:bottom w:val="single" w:sz="2" w:space="0" w:color="auto"/>
              <w:right w:val="nil"/>
            </w:tcBorders>
            <w:vAlign w:val="center"/>
          </w:tcPr>
          <w:p w:rsidR="00F335D5" w:rsidRPr="00765C97" w:rsidRDefault="004B4EC1" w:rsidP="007C4BB3">
            <w:pPr>
              <w:ind w:right="79"/>
              <w:jc w:val="right"/>
              <w:rPr>
                <w:rFonts w:ascii="Arial" w:hAnsi="Arial"/>
                <w:b/>
                <w:sz w:val="16"/>
                <w:lang w:val="pl-PL"/>
              </w:rPr>
            </w:pPr>
            <w:r w:rsidRPr="00765C97">
              <w:rPr>
                <w:rFonts w:ascii="Arial" w:hAnsi="Arial"/>
                <w:b/>
                <w:sz w:val="16"/>
                <w:lang w:val="pl-PL"/>
              </w:rPr>
              <w:t xml:space="preserve">67 </w:t>
            </w:r>
            <w:r w:rsidR="007C4BB3" w:rsidRPr="00765C97">
              <w:rPr>
                <w:rFonts w:ascii="Arial" w:hAnsi="Arial"/>
                <w:b/>
                <w:sz w:val="16"/>
                <w:lang w:val="pl-PL"/>
              </w:rPr>
              <w:t>147</w:t>
            </w:r>
          </w:p>
        </w:tc>
        <w:tc>
          <w:tcPr>
            <w:tcW w:w="1342" w:type="dxa"/>
            <w:tcBorders>
              <w:top w:val="single" w:sz="2" w:space="0" w:color="auto"/>
              <w:left w:val="nil"/>
              <w:bottom w:val="single" w:sz="2" w:space="0" w:color="auto"/>
              <w:right w:val="nil"/>
            </w:tcBorders>
            <w:vAlign w:val="center"/>
          </w:tcPr>
          <w:p w:rsidR="00F335D5" w:rsidRPr="00765C97" w:rsidRDefault="00F335D5" w:rsidP="00F335D5">
            <w:pPr>
              <w:ind w:right="79"/>
              <w:jc w:val="right"/>
              <w:rPr>
                <w:rFonts w:ascii="Arial" w:hAnsi="Arial"/>
                <w:b/>
                <w:sz w:val="16"/>
                <w:lang w:val="pl-PL"/>
              </w:rPr>
            </w:pPr>
            <w:r w:rsidRPr="00765C97">
              <w:rPr>
                <w:rFonts w:ascii="Arial" w:hAnsi="Arial"/>
                <w:b/>
                <w:sz w:val="16"/>
                <w:lang w:val="pl-PL"/>
              </w:rPr>
              <w:t>58 530</w:t>
            </w:r>
          </w:p>
        </w:tc>
        <w:tc>
          <w:tcPr>
            <w:tcW w:w="278" w:type="dxa"/>
            <w:tcBorders>
              <w:left w:val="nil"/>
              <w:right w:val="nil"/>
            </w:tcBorders>
            <w:vAlign w:val="center"/>
          </w:tcPr>
          <w:p w:rsidR="00F335D5" w:rsidRPr="00765C97" w:rsidRDefault="00F335D5">
            <w:pPr>
              <w:ind w:right="200"/>
              <w:jc w:val="right"/>
              <w:rPr>
                <w:rFonts w:ascii="Arial" w:hAnsi="Arial"/>
                <w:b/>
                <w:sz w:val="16"/>
                <w:lang w:val="pl-PL"/>
              </w:rPr>
            </w:pPr>
          </w:p>
        </w:tc>
      </w:tr>
      <w:tr w:rsidR="009510E0" w:rsidRPr="00F346A4" w:rsidTr="003D2589">
        <w:trPr>
          <w:trHeight w:val="255"/>
        </w:trPr>
        <w:tc>
          <w:tcPr>
            <w:tcW w:w="5220" w:type="dxa"/>
            <w:tcBorders>
              <w:top w:val="nil"/>
              <w:left w:val="nil"/>
              <w:bottom w:val="nil"/>
              <w:right w:val="nil"/>
            </w:tcBorders>
            <w:vAlign w:val="center"/>
          </w:tcPr>
          <w:p w:rsidR="009510E0" w:rsidRPr="00765C97" w:rsidRDefault="009510E0">
            <w:pPr>
              <w:pStyle w:val="Nagwek4"/>
              <w:numPr>
                <w:ilvl w:val="0"/>
                <w:numId w:val="0"/>
              </w:numPr>
              <w:spacing w:line="240" w:lineRule="auto"/>
              <w:rPr>
                <w:rFonts w:ascii="Arial" w:hAnsi="Arial"/>
                <w:lang w:val="pl-PL"/>
              </w:rPr>
            </w:pPr>
            <w:r w:rsidRPr="00765C97">
              <w:rPr>
                <w:rFonts w:ascii="Arial" w:hAnsi="Arial"/>
                <w:lang w:val="pl-PL"/>
              </w:rPr>
              <w:t>Przepływy pieniężne z działalności inwestycyjnej</w:t>
            </w:r>
          </w:p>
        </w:tc>
        <w:tc>
          <w:tcPr>
            <w:tcW w:w="1342" w:type="dxa"/>
            <w:tcBorders>
              <w:top w:val="single" w:sz="2" w:space="0" w:color="auto"/>
              <w:left w:val="nil"/>
              <w:bottom w:val="nil"/>
              <w:right w:val="nil"/>
            </w:tcBorders>
            <w:vAlign w:val="center"/>
          </w:tcPr>
          <w:p w:rsidR="009510E0" w:rsidRPr="00765C97" w:rsidRDefault="009510E0" w:rsidP="008B4C6B">
            <w:pPr>
              <w:ind w:right="79"/>
              <w:jc w:val="right"/>
              <w:rPr>
                <w:rFonts w:ascii="Arial" w:hAnsi="Arial"/>
                <w:b/>
                <w:sz w:val="16"/>
                <w:lang w:val="pl-PL"/>
              </w:rPr>
            </w:pPr>
          </w:p>
        </w:tc>
        <w:tc>
          <w:tcPr>
            <w:tcW w:w="1342" w:type="dxa"/>
            <w:tcBorders>
              <w:top w:val="single" w:sz="2" w:space="0" w:color="auto"/>
              <w:left w:val="nil"/>
              <w:bottom w:val="nil"/>
              <w:right w:val="nil"/>
            </w:tcBorders>
            <w:vAlign w:val="center"/>
          </w:tcPr>
          <w:p w:rsidR="009510E0" w:rsidRPr="00765C97" w:rsidRDefault="009510E0" w:rsidP="008B4C6B">
            <w:pPr>
              <w:ind w:right="79"/>
              <w:jc w:val="right"/>
              <w:rPr>
                <w:rFonts w:ascii="Arial" w:hAnsi="Arial"/>
                <w:b/>
                <w:sz w:val="16"/>
                <w:lang w:val="pl-PL"/>
              </w:rPr>
            </w:pPr>
          </w:p>
        </w:tc>
        <w:tc>
          <w:tcPr>
            <w:tcW w:w="278" w:type="dxa"/>
            <w:tcBorders>
              <w:left w:val="nil"/>
              <w:bottom w:val="nil"/>
              <w:right w:val="nil"/>
            </w:tcBorders>
            <w:vAlign w:val="center"/>
          </w:tcPr>
          <w:p w:rsidR="009510E0" w:rsidRPr="00765C97" w:rsidRDefault="009510E0">
            <w:pPr>
              <w:spacing w:before="288"/>
              <w:ind w:right="200"/>
              <w:jc w:val="right"/>
              <w:rPr>
                <w:rFonts w:ascii="Arial" w:hAnsi="Arial"/>
                <w:b/>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 xml:space="preserve">Nabycie rzeczowych aktywów trwałych </w:t>
            </w:r>
          </w:p>
        </w:tc>
        <w:tc>
          <w:tcPr>
            <w:tcW w:w="1342" w:type="dxa"/>
            <w:tcBorders>
              <w:top w:val="nil"/>
              <w:left w:val="nil"/>
              <w:bottom w:val="nil"/>
              <w:right w:val="nil"/>
            </w:tcBorders>
            <w:vAlign w:val="center"/>
          </w:tcPr>
          <w:p w:rsidR="00F335D5" w:rsidRPr="00765C97" w:rsidRDefault="004B4EC1" w:rsidP="00C73F2A">
            <w:pPr>
              <w:ind w:right="79"/>
              <w:jc w:val="right"/>
              <w:rPr>
                <w:rFonts w:ascii="Arial" w:hAnsi="Arial"/>
                <w:sz w:val="16"/>
                <w:lang w:val="pl-PL"/>
              </w:rPr>
            </w:pPr>
            <w:r w:rsidRPr="00765C97">
              <w:rPr>
                <w:rFonts w:ascii="Arial" w:hAnsi="Arial"/>
                <w:sz w:val="16"/>
                <w:lang w:val="pl-PL"/>
              </w:rPr>
              <w:t>(</w:t>
            </w:r>
            <w:r w:rsidR="00C73F2A" w:rsidRPr="00765C97">
              <w:rPr>
                <w:rFonts w:ascii="Arial" w:hAnsi="Arial"/>
                <w:sz w:val="16"/>
                <w:lang w:val="pl-PL"/>
              </w:rPr>
              <w:t>67 836</w:t>
            </w:r>
            <w:r w:rsidRPr="00765C97">
              <w:rPr>
                <w:rFonts w:ascii="Arial" w:hAnsi="Arial"/>
                <w:sz w:val="16"/>
                <w:lang w:val="pl-PL"/>
              </w:rPr>
              <w:t>)</w:t>
            </w:r>
          </w:p>
        </w:tc>
        <w:tc>
          <w:tcPr>
            <w:tcW w:w="1342" w:type="dxa"/>
            <w:tcBorders>
              <w:top w:val="nil"/>
              <w:left w:val="nil"/>
              <w:bottom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(74 310)</w:t>
            </w:r>
          </w:p>
        </w:tc>
        <w:tc>
          <w:tcPr>
            <w:tcW w:w="278" w:type="dxa"/>
            <w:tcBorders>
              <w:top w:val="nil"/>
              <w:left w:val="nil"/>
              <w:bottom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pStyle w:val="BalloonText1"/>
              <w:rPr>
                <w:rFonts w:ascii="Arial" w:hAnsi="Arial"/>
                <w:lang w:val="pl-PL"/>
              </w:rPr>
            </w:pPr>
            <w:r w:rsidRPr="00765C97">
              <w:rPr>
                <w:rFonts w:ascii="Arial" w:hAnsi="Arial"/>
                <w:lang w:val="pl-PL"/>
              </w:rPr>
              <w:t>Wpływy ze sprzedaży rzeczowych aktywów trwałych</w:t>
            </w:r>
          </w:p>
        </w:tc>
        <w:tc>
          <w:tcPr>
            <w:tcW w:w="1342" w:type="dxa"/>
            <w:tcBorders>
              <w:top w:val="nil"/>
              <w:left w:val="nil"/>
              <w:bottom w:val="nil"/>
              <w:right w:val="nil"/>
            </w:tcBorders>
            <w:vAlign w:val="center"/>
          </w:tcPr>
          <w:p w:rsidR="00F335D5" w:rsidRPr="00765C97" w:rsidRDefault="00723E4A" w:rsidP="008B4C6B">
            <w:pPr>
              <w:ind w:right="79"/>
              <w:jc w:val="right"/>
              <w:rPr>
                <w:rFonts w:ascii="Arial" w:hAnsi="Arial"/>
                <w:sz w:val="16"/>
                <w:lang w:val="pl-PL"/>
              </w:rPr>
            </w:pPr>
            <w:r w:rsidRPr="00765C97">
              <w:rPr>
                <w:rFonts w:ascii="Arial" w:hAnsi="Arial"/>
                <w:sz w:val="16"/>
                <w:lang w:val="pl-PL"/>
              </w:rPr>
              <w:t>-</w:t>
            </w:r>
          </w:p>
        </w:tc>
        <w:tc>
          <w:tcPr>
            <w:tcW w:w="1342" w:type="dxa"/>
            <w:tcBorders>
              <w:top w:val="nil"/>
              <w:left w:val="nil"/>
              <w:bottom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472</w:t>
            </w:r>
          </w:p>
        </w:tc>
        <w:tc>
          <w:tcPr>
            <w:tcW w:w="278" w:type="dxa"/>
            <w:tcBorders>
              <w:top w:val="nil"/>
              <w:left w:val="nil"/>
              <w:bottom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Nabycie wartości niematerialnych</w:t>
            </w:r>
          </w:p>
        </w:tc>
        <w:tc>
          <w:tcPr>
            <w:tcW w:w="1342" w:type="dxa"/>
            <w:tcBorders>
              <w:top w:val="nil"/>
              <w:left w:val="nil"/>
              <w:bottom w:val="nil"/>
              <w:right w:val="nil"/>
            </w:tcBorders>
            <w:vAlign w:val="center"/>
          </w:tcPr>
          <w:p w:rsidR="00F335D5" w:rsidRPr="00765C97" w:rsidRDefault="004B4EC1" w:rsidP="008B4C6B">
            <w:pPr>
              <w:ind w:right="79"/>
              <w:jc w:val="right"/>
              <w:rPr>
                <w:rFonts w:ascii="Arial" w:hAnsi="Arial"/>
                <w:sz w:val="16"/>
                <w:lang w:val="pl-PL"/>
              </w:rPr>
            </w:pPr>
            <w:r w:rsidRPr="00765C97">
              <w:rPr>
                <w:rFonts w:ascii="Arial" w:hAnsi="Arial"/>
                <w:sz w:val="16"/>
                <w:lang w:val="pl-PL"/>
              </w:rPr>
              <w:t>(28 727)</w:t>
            </w:r>
          </w:p>
        </w:tc>
        <w:tc>
          <w:tcPr>
            <w:tcW w:w="1342" w:type="dxa"/>
            <w:tcBorders>
              <w:top w:val="nil"/>
              <w:left w:val="nil"/>
              <w:bottom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(14 774)</w:t>
            </w:r>
          </w:p>
        </w:tc>
        <w:tc>
          <w:tcPr>
            <w:tcW w:w="278" w:type="dxa"/>
            <w:tcBorders>
              <w:top w:val="nil"/>
              <w:left w:val="nil"/>
              <w:bottom w:val="nil"/>
              <w:right w:val="nil"/>
            </w:tcBorders>
            <w:vAlign w:val="center"/>
          </w:tcPr>
          <w:p w:rsidR="00F335D5" w:rsidRPr="00765C97" w:rsidRDefault="00F335D5">
            <w:pPr>
              <w:ind w:right="200"/>
              <w:jc w:val="right"/>
              <w:rPr>
                <w:rFonts w:ascii="Arial" w:hAnsi="Arial"/>
                <w:spacing w:val="-2"/>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pacing w:val="-2"/>
                <w:sz w:val="16"/>
                <w:lang w:val="pl-PL"/>
              </w:rPr>
            </w:pPr>
            <w:r w:rsidRPr="00765C97">
              <w:rPr>
                <w:rFonts w:ascii="Arial" w:hAnsi="Arial"/>
                <w:sz w:val="16"/>
                <w:lang w:val="pl-PL"/>
              </w:rPr>
              <w:t>Wpływy ze sprzedaży wartości niematerialnych i prawnych</w:t>
            </w:r>
          </w:p>
        </w:tc>
        <w:tc>
          <w:tcPr>
            <w:tcW w:w="1342" w:type="dxa"/>
            <w:tcBorders>
              <w:top w:val="nil"/>
              <w:left w:val="nil"/>
              <w:right w:val="nil"/>
            </w:tcBorders>
            <w:vAlign w:val="center"/>
          </w:tcPr>
          <w:p w:rsidR="00F335D5" w:rsidRPr="00765C97" w:rsidRDefault="004B4EC1" w:rsidP="008B4C6B">
            <w:pPr>
              <w:ind w:right="79"/>
              <w:jc w:val="right"/>
              <w:rPr>
                <w:rFonts w:ascii="Arial" w:hAnsi="Arial"/>
                <w:sz w:val="16"/>
                <w:lang w:val="pl-PL"/>
              </w:rPr>
            </w:pPr>
            <w:r w:rsidRPr="00765C97">
              <w:rPr>
                <w:rFonts w:ascii="Arial" w:hAnsi="Arial"/>
                <w:sz w:val="16"/>
                <w:lang w:val="pl-PL"/>
              </w:rPr>
              <w:t>183</w:t>
            </w:r>
          </w:p>
        </w:tc>
        <w:tc>
          <w:tcPr>
            <w:tcW w:w="1342" w:type="dxa"/>
            <w:tcBorders>
              <w:top w:val="nil"/>
              <w:left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7 573</w:t>
            </w:r>
          </w:p>
        </w:tc>
        <w:tc>
          <w:tcPr>
            <w:tcW w:w="278" w:type="dxa"/>
            <w:tcBorders>
              <w:top w:val="nil"/>
              <w:left w:val="nil"/>
              <w:bottom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pacing w:val="-2"/>
                <w:sz w:val="16"/>
                <w:lang w:val="pl-PL"/>
              </w:rPr>
            </w:pPr>
            <w:r w:rsidRPr="00765C97">
              <w:rPr>
                <w:rFonts w:ascii="Arial" w:hAnsi="Arial"/>
                <w:spacing w:val="-2"/>
                <w:sz w:val="16"/>
                <w:lang w:val="pl-PL"/>
              </w:rPr>
              <w:t>Nabycie dostępnych do sprzedaży aktywów finansowych</w:t>
            </w:r>
          </w:p>
        </w:tc>
        <w:tc>
          <w:tcPr>
            <w:tcW w:w="1342" w:type="dxa"/>
            <w:tcBorders>
              <w:top w:val="nil"/>
              <w:left w:val="nil"/>
              <w:right w:val="nil"/>
            </w:tcBorders>
            <w:vAlign w:val="center"/>
          </w:tcPr>
          <w:p w:rsidR="00F335D5" w:rsidRPr="00765C97" w:rsidRDefault="004B4EC1" w:rsidP="008B4C6B">
            <w:pPr>
              <w:ind w:right="79"/>
              <w:jc w:val="right"/>
              <w:rPr>
                <w:rFonts w:ascii="Arial" w:hAnsi="Arial"/>
                <w:sz w:val="16"/>
                <w:lang w:val="pl-PL"/>
              </w:rPr>
            </w:pPr>
            <w:r w:rsidRPr="00765C97">
              <w:rPr>
                <w:rFonts w:ascii="Arial" w:hAnsi="Arial"/>
                <w:sz w:val="16"/>
                <w:lang w:val="pl-PL"/>
              </w:rPr>
              <w:t>(24 919)</w:t>
            </w:r>
          </w:p>
        </w:tc>
        <w:tc>
          <w:tcPr>
            <w:tcW w:w="1342" w:type="dxa"/>
            <w:tcBorders>
              <w:top w:val="nil"/>
              <w:left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(4 876)</w:t>
            </w:r>
          </w:p>
        </w:tc>
        <w:tc>
          <w:tcPr>
            <w:tcW w:w="278" w:type="dxa"/>
            <w:tcBorders>
              <w:top w:val="nil"/>
              <w:left w:val="nil"/>
              <w:bottom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 xml:space="preserve">Wpływy ze sprzedaży </w:t>
            </w:r>
            <w:r w:rsidRPr="00765C97">
              <w:rPr>
                <w:rFonts w:ascii="Arial" w:hAnsi="Arial"/>
                <w:spacing w:val="-2"/>
                <w:sz w:val="16"/>
                <w:lang w:val="pl-PL"/>
              </w:rPr>
              <w:t>dostępnych do sprzedaży aktywów finansowych</w:t>
            </w:r>
          </w:p>
        </w:tc>
        <w:tc>
          <w:tcPr>
            <w:tcW w:w="1342" w:type="dxa"/>
            <w:tcBorders>
              <w:top w:val="nil"/>
              <w:left w:val="nil"/>
              <w:right w:val="nil"/>
            </w:tcBorders>
            <w:vAlign w:val="center"/>
          </w:tcPr>
          <w:p w:rsidR="00F335D5" w:rsidRPr="00765C97" w:rsidRDefault="00E06AC6" w:rsidP="008B4C6B">
            <w:pPr>
              <w:ind w:right="79"/>
              <w:jc w:val="right"/>
              <w:rPr>
                <w:rFonts w:ascii="Arial" w:hAnsi="Arial"/>
                <w:sz w:val="16"/>
                <w:lang w:val="pl-PL"/>
              </w:rPr>
            </w:pPr>
            <w:r w:rsidRPr="00765C97">
              <w:rPr>
                <w:rFonts w:ascii="Arial" w:hAnsi="Arial"/>
                <w:sz w:val="16"/>
                <w:lang w:val="pl-PL"/>
              </w:rPr>
              <w:t>803</w:t>
            </w:r>
          </w:p>
        </w:tc>
        <w:tc>
          <w:tcPr>
            <w:tcW w:w="1342" w:type="dxa"/>
            <w:tcBorders>
              <w:top w:val="nil"/>
              <w:left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w:t>
            </w:r>
          </w:p>
        </w:tc>
        <w:tc>
          <w:tcPr>
            <w:tcW w:w="278" w:type="dxa"/>
            <w:tcBorders>
              <w:top w:val="nil"/>
              <w:left w:val="nil"/>
              <w:bottom w:val="nil"/>
              <w:right w:val="nil"/>
            </w:tcBorders>
            <w:vAlign w:val="center"/>
          </w:tcPr>
          <w:p w:rsidR="00F335D5" w:rsidRPr="00765C97" w:rsidRDefault="00F335D5">
            <w:pPr>
              <w:ind w:right="200"/>
              <w:jc w:val="right"/>
              <w:rPr>
                <w:rFonts w:ascii="Arial" w:hAnsi="Arial"/>
                <w:spacing w:val="-2"/>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Udzielone pożyczki długoterminowe</w:t>
            </w:r>
          </w:p>
        </w:tc>
        <w:tc>
          <w:tcPr>
            <w:tcW w:w="1342" w:type="dxa"/>
            <w:tcBorders>
              <w:left w:val="nil"/>
              <w:right w:val="nil"/>
            </w:tcBorders>
            <w:vAlign w:val="center"/>
          </w:tcPr>
          <w:p w:rsidR="00F335D5" w:rsidRPr="00765C97" w:rsidRDefault="00E06AC6" w:rsidP="008B4C6B">
            <w:pPr>
              <w:ind w:right="79"/>
              <w:jc w:val="right"/>
              <w:rPr>
                <w:rFonts w:ascii="Arial" w:hAnsi="Arial"/>
                <w:sz w:val="16"/>
                <w:lang w:val="pl-PL"/>
              </w:rPr>
            </w:pPr>
            <w:r w:rsidRPr="00765C97">
              <w:rPr>
                <w:rFonts w:ascii="Arial" w:hAnsi="Arial"/>
                <w:sz w:val="16"/>
                <w:lang w:val="pl-PL"/>
              </w:rPr>
              <w:t>(1 112)</w:t>
            </w:r>
          </w:p>
        </w:tc>
        <w:tc>
          <w:tcPr>
            <w:tcW w:w="1342" w:type="dxa"/>
            <w:tcBorders>
              <w:left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(594)</w:t>
            </w:r>
          </w:p>
        </w:tc>
        <w:tc>
          <w:tcPr>
            <w:tcW w:w="278" w:type="dxa"/>
            <w:tcBorders>
              <w:left w:val="nil"/>
              <w:right w:val="nil"/>
            </w:tcBorders>
            <w:vAlign w:val="center"/>
          </w:tcPr>
          <w:p w:rsidR="00F335D5" w:rsidRPr="00765C97" w:rsidRDefault="00F335D5">
            <w:pPr>
              <w:ind w:right="200"/>
              <w:jc w:val="right"/>
              <w:rPr>
                <w:rFonts w:ascii="Arial" w:hAnsi="Arial"/>
                <w:b/>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Spłacone pożyczki długoterminowe</w:t>
            </w:r>
          </w:p>
        </w:tc>
        <w:tc>
          <w:tcPr>
            <w:tcW w:w="1342" w:type="dxa"/>
            <w:tcBorders>
              <w:left w:val="nil"/>
              <w:right w:val="nil"/>
            </w:tcBorders>
            <w:vAlign w:val="center"/>
          </w:tcPr>
          <w:p w:rsidR="00F335D5" w:rsidRPr="00765C97" w:rsidRDefault="00E06AC6" w:rsidP="008B4C6B">
            <w:pPr>
              <w:ind w:right="79"/>
              <w:jc w:val="right"/>
              <w:rPr>
                <w:rFonts w:ascii="Arial" w:hAnsi="Arial"/>
                <w:sz w:val="16"/>
                <w:lang w:val="pl-PL"/>
              </w:rPr>
            </w:pPr>
            <w:r w:rsidRPr="00765C97">
              <w:rPr>
                <w:rFonts w:ascii="Arial" w:hAnsi="Arial"/>
                <w:sz w:val="16"/>
                <w:lang w:val="pl-PL"/>
              </w:rPr>
              <w:t>909</w:t>
            </w:r>
          </w:p>
        </w:tc>
        <w:tc>
          <w:tcPr>
            <w:tcW w:w="1342" w:type="dxa"/>
            <w:tcBorders>
              <w:left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800</w:t>
            </w:r>
          </w:p>
        </w:tc>
        <w:tc>
          <w:tcPr>
            <w:tcW w:w="278" w:type="dxa"/>
            <w:tcBorders>
              <w:left w:val="nil"/>
              <w:right w:val="nil"/>
            </w:tcBorders>
            <w:vAlign w:val="center"/>
          </w:tcPr>
          <w:p w:rsidR="00F335D5" w:rsidRPr="00765C97" w:rsidRDefault="00F335D5">
            <w:pPr>
              <w:ind w:right="200"/>
              <w:jc w:val="right"/>
              <w:rPr>
                <w:rFonts w:ascii="Arial" w:hAnsi="Arial"/>
                <w:b/>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Odsetki</w:t>
            </w:r>
          </w:p>
        </w:tc>
        <w:tc>
          <w:tcPr>
            <w:tcW w:w="1342" w:type="dxa"/>
            <w:tcBorders>
              <w:left w:val="nil"/>
              <w:right w:val="nil"/>
            </w:tcBorders>
            <w:vAlign w:val="center"/>
          </w:tcPr>
          <w:p w:rsidR="00F335D5" w:rsidRPr="00765C97" w:rsidRDefault="00E06AC6" w:rsidP="008B4C6B">
            <w:pPr>
              <w:ind w:right="79"/>
              <w:jc w:val="right"/>
              <w:rPr>
                <w:rFonts w:ascii="Arial" w:hAnsi="Arial"/>
                <w:sz w:val="16"/>
                <w:lang w:val="pl-PL"/>
              </w:rPr>
            </w:pPr>
            <w:r w:rsidRPr="00765C97">
              <w:rPr>
                <w:rFonts w:ascii="Arial" w:hAnsi="Arial"/>
                <w:sz w:val="16"/>
                <w:lang w:val="pl-PL"/>
              </w:rPr>
              <w:t>3 313</w:t>
            </w:r>
          </w:p>
        </w:tc>
        <w:tc>
          <w:tcPr>
            <w:tcW w:w="1342" w:type="dxa"/>
            <w:tcBorders>
              <w:left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4 388</w:t>
            </w:r>
          </w:p>
        </w:tc>
        <w:tc>
          <w:tcPr>
            <w:tcW w:w="278" w:type="dxa"/>
            <w:tcBorders>
              <w:left w:val="nil"/>
              <w:right w:val="nil"/>
            </w:tcBorders>
            <w:vAlign w:val="center"/>
          </w:tcPr>
          <w:p w:rsidR="00F335D5" w:rsidRPr="00765C97" w:rsidRDefault="00F335D5">
            <w:pPr>
              <w:ind w:right="200"/>
              <w:jc w:val="right"/>
              <w:rPr>
                <w:rFonts w:ascii="Arial" w:hAnsi="Arial"/>
                <w:b/>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 xml:space="preserve">Inne wpływy z aktywów finansowych </w:t>
            </w:r>
          </w:p>
        </w:tc>
        <w:tc>
          <w:tcPr>
            <w:tcW w:w="1342" w:type="dxa"/>
            <w:tcBorders>
              <w:left w:val="nil"/>
              <w:right w:val="nil"/>
            </w:tcBorders>
            <w:vAlign w:val="center"/>
          </w:tcPr>
          <w:p w:rsidR="00F335D5" w:rsidRPr="00765C97" w:rsidRDefault="00E06AC6" w:rsidP="008B4C6B">
            <w:pPr>
              <w:ind w:right="79"/>
              <w:jc w:val="right"/>
              <w:rPr>
                <w:rFonts w:ascii="Arial" w:hAnsi="Arial"/>
                <w:sz w:val="16"/>
                <w:lang w:val="pl-PL"/>
              </w:rPr>
            </w:pPr>
            <w:r w:rsidRPr="00765C97">
              <w:rPr>
                <w:rFonts w:ascii="Arial" w:hAnsi="Arial"/>
                <w:sz w:val="16"/>
                <w:lang w:val="pl-PL"/>
              </w:rPr>
              <w:t>1 629</w:t>
            </w:r>
          </w:p>
        </w:tc>
        <w:tc>
          <w:tcPr>
            <w:tcW w:w="1342" w:type="dxa"/>
            <w:tcBorders>
              <w:left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w:t>
            </w:r>
          </w:p>
        </w:tc>
        <w:tc>
          <w:tcPr>
            <w:tcW w:w="278" w:type="dxa"/>
            <w:tcBorders>
              <w:left w:val="nil"/>
              <w:right w:val="nil"/>
            </w:tcBorders>
            <w:vAlign w:val="center"/>
          </w:tcPr>
          <w:p w:rsidR="00F335D5" w:rsidRPr="00765C97" w:rsidRDefault="00F335D5">
            <w:pPr>
              <w:ind w:right="200"/>
              <w:jc w:val="right"/>
              <w:rPr>
                <w:rFonts w:ascii="Arial" w:hAnsi="Arial"/>
                <w:b/>
                <w:sz w:val="16"/>
                <w:lang w:val="pl-PL"/>
              </w:rPr>
            </w:pPr>
          </w:p>
        </w:tc>
      </w:tr>
      <w:tr w:rsidR="00E06AC6" w:rsidRPr="00765C97" w:rsidTr="003D2589">
        <w:trPr>
          <w:trHeight w:val="255"/>
        </w:trPr>
        <w:tc>
          <w:tcPr>
            <w:tcW w:w="5220" w:type="dxa"/>
            <w:tcBorders>
              <w:top w:val="nil"/>
              <w:left w:val="nil"/>
              <w:bottom w:val="nil"/>
              <w:right w:val="nil"/>
            </w:tcBorders>
            <w:vAlign w:val="center"/>
          </w:tcPr>
          <w:p w:rsidR="00E06AC6" w:rsidRPr="00765C97" w:rsidRDefault="00E06AC6">
            <w:pPr>
              <w:rPr>
                <w:rFonts w:ascii="Arial" w:hAnsi="Arial"/>
                <w:sz w:val="16"/>
                <w:lang w:val="pl-PL"/>
              </w:rPr>
            </w:pPr>
            <w:r w:rsidRPr="00765C97">
              <w:rPr>
                <w:rFonts w:ascii="Arial" w:hAnsi="Arial"/>
                <w:sz w:val="16"/>
                <w:lang w:val="pl-PL"/>
              </w:rPr>
              <w:t>Wydatki na inwestycje w nieruchomości</w:t>
            </w:r>
          </w:p>
        </w:tc>
        <w:tc>
          <w:tcPr>
            <w:tcW w:w="1342" w:type="dxa"/>
            <w:tcBorders>
              <w:left w:val="nil"/>
              <w:right w:val="nil"/>
            </w:tcBorders>
            <w:vAlign w:val="center"/>
          </w:tcPr>
          <w:p w:rsidR="00E06AC6" w:rsidRPr="00765C97" w:rsidRDefault="00E06AC6" w:rsidP="008B4C6B">
            <w:pPr>
              <w:ind w:right="79"/>
              <w:jc w:val="right"/>
              <w:rPr>
                <w:rFonts w:ascii="Arial" w:hAnsi="Arial"/>
                <w:sz w:val="16"/>
                <w:lang w:val="pl-PL"/>
              </w:rPr>
            </w:pPr>
            <w:r w:rsidRPr="00765C97">
              <w:rPr>
                <w:rFonts w:ascii="Arial" w:hAnsi="Arial"/>
                <w:sz w:val="16"/>
                <w:lang w:val="pl-PL"/>
              </w:rPr>
              <w:t>(22)</w:t>
            </w:r>
          </w:p>
        </w:tc>
        <w:tc>
          <w:tcPr>
            <w:tcW w:w="1342" w:type="dxa"/>
            <w:tcBorders>
              <w:left w:val="nil"/>
              <w:right w:val="nil"/>
            </w:tcBorders>
            <w:vAlign w:val="center"/>
          </w:tcPr>
          <w:p w:rsidR="00E06AC6" w:rsidRPr="00765C97" w:rsidRDefault="00E06AC6" w:rsidP="00F335D5">
            <w:pPr>
              <w:ind w:right="79"/>
              <w:jc w:val="right"/>
              <w:rPr>
                <w:rFonts w:ascii="Arial" w:hAnsi="Arial"/>
                <w:sz w:val="16"/>
                <w:lang w:val="pl-PL"/>
              </w:rPr>
            </w:pPr>
            <w:r w:rsidRPr="00765C97">
              <w:rPr>
                <w:rFonts w:ascii="Arial" w:hAnsi="Arial"/>
                <w:sz w:val="16"/>
                <w:lang w:val="pl-PL"/>
              </w:rPr>
              <w:t>-</w:t>
            </w:r>
          </w:p>
        </w:tc>
        <w:tc>
          <w:tcPr>
            <w:tcW w:w="278" w:type="dxa"/>
            <w:tcBorders>
              <w:left w:val="nil"/>
              <w:right w:val="nil"/>
            </w:tcBorders>
            <w:vAlign w:val="center"/>
          </w:tcPr>
          <w:p w:rsidR="00E06AC6" w:rsidRPr="00765C97" w:rsidRDefault="00E06AC6">
            <w:pPr>
              <w:ind w:right="200"/>
              <w:jc w:val="right"/>
              <w:rPr>
                <w:rFonts w:ascii="Arial" w:hAnsi="Arial"/>
                <w:b/>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b/>
                <w:sz w:val="16"/>
                <w:lang w:val="pl-PL"/>
              </w:rPr>
            </w:pPr>
            <w:r w:rsidRPr="00765C97">
              <w:rPr>
                <w:rFonts w:ascii="Arial" w:hAnsi="Arial"/>
                <w:sz w:val="16"/>
                <w:lang w:val="pl-PL"/>
              </w:rPr>
              <w:t>Inne wpływy inwestycyjne</w:t>
            </w:r>
          </w:p>
        </w:tc>
        <w:tc>
          <w:tcPr>
            <w:tcW w:w="1342" w:type="dxa"/>
            <w:tcBorders>
              <w:left w:val="nil"/>
              <w:right w:val="nil"/>
            </w:tcBorders>
            <w:vAlign w:val="center"/>
          </w:tcPr>
          <w:p w:rsidR="00F335D5" w:rsidRPr="00765C97" w:rsidRDefault="00E06AC6" w:rsidP="008B4C6B">
            <w:pPr>
              <w:ind w:right="79"/>
              <w:jc w:val="right"/>
              <w:rPr>
                <w:rFonts w:ascii="Arial" w:hAnsi="Arial"/>
                <w:sz w:val="16"/>
                <w:lang w:val="pl-PL"/>
              </w:rPr>
            </w:pPr>
            <w:r w:rsidRPr="00765C97">
              <w:rPr>
                <w:rFonts w:ascii="Arial" w:hAnsi="Arial"/>
                <w:sz w:val="16"/>
                <w:lang w:val="pl-PL"/>
              </w:rPr>
              <w:t>421</w:t>
            </w:r>
          </w:p>
        </w:tc>
        <w:tc>
          <w:tcPr>
            <w:tcW w:w="1342" w:type="dxa"/>
            <w:tcBorders>
              <w:left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3</w:t>
            </w:r>
          </w:p>
        </w:tc>
        <w:tc>
          <w:tcPr>
            <w:tcW w:w="278" w:type="dxa"/>
            <w:tcBorders>
              <w:left w:val="nil"/>
              <w:right w:val="nil"/>
            </w:tcBorders>
            <w:vAlign w:val="center"/>
          </w:tcPr>
          <w:p w:rsidR="00F335D5" w:rsidRPr="00765C97" w:rsidRDefault="00F335D5">
            <w:pPr>
              <w:ind w:right="200"/>
              <w:jc w:val="right"/>
              <w:rPr>
                <w:rFonts w:ascii="Arial" w:hAnsi="Arial"/>
                <w:b/>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b/>
                <w:sz w:val="16"/>
                <w:lang w:val="pl-PL"/>
              </w:rPr>
            </w:pPr>
            <w:r w:rsidRPr="00765C97">
              <w:rPr>
                <w:rFonts w:ascii="Arial" w:hAnsi="Arial"/>
                <w:sz w:val="16"/>
                <w:lang w:val="pl-PL"/>
              </w:rPr>
              <w:t>Inne wydatki inwestycyjne</w:t>
            </w:r>
          </w:p>
        </w:tc>
        <w:tc>
          <w:tcPr>
            <w:tcW w:w="1342" w:type="dxa"/>
            <w:tcBorders>
              <w:left w:val="nil"/>
              <w:bottom w:val="single" w:sz="2" w:space="0" w:color="auto"/>
              <w:right w:val="nil"/>
            </w:tcBorders>
            <w:vAlign w:val="center"/>
          </w:tcPr>
          <w:p w:rsidR="00F335D5" w:rsidRPr="00765C97" w:rsidRDefault="00E06AC6" w:rsidP="008B4C6B">
            <w:pPr>
              <w:ind w:right="79"/>
              <w:jc w:val="right"/>
              <w:rPr>
                <w:rFonts w:ascii="Arial" w:hAnsi="Arial"/>
                <w:sz w:val="16"/>
                <w:lang w:val="pl-PL"/>
              </w:rPr>
            </w:pPr>
            <w:r w:rsidRPr="00765C97">
              <w:rPr>
                <w:rFonts w:ascii="Arial" w:hAnsi="Arial"/>
                <w:sz w:val="16"/>
                <w:lang w:val="pl-PL"/>
              </w:rPr>
              <w:t>(175)</w:t>
            </w:r>
          </w:p>
        </w:tc>
        <w:tc>
          <w:tcPr>
            <w:tcW w:w="1342" w:type="dxa"/>
            <w:tcBorders>
              <w:left w:val="nil"/>
              <w:bottom w:val="single" w:sz="2" w:space="0" w:color="auto"/>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(965)</w:t>
            </w:r>
          </w:p>
        </w:tc>
        <w:tc>
          <w:tcPr>
            <w:tcW w:w="278" w:type="dxa"/>
            <w:tcBorders>
              <w:left w:val="nil"/>
              <w:right w:val="nil"/>
            </w:tcBorders>
            <w:vAlign w:val="center"/>
          </w:tcPr>
          <w:p w:rsidR="00F335D5" w:rsidRPr="00765C97" w:rsidRDefault="00F335D5">
            <w:pPr>
              <w:ind w:right="200"/>
              <w:jc w:val="right"/>
              <w:rPr>
                <w:rFonts w:ascii="Arial" w:hAnsi="Arial"/>
                <w:b/>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b/>
                <w:sz w:val="16"/>
                <w:lang w:val="pl-PL"/>
              </w:rPr>
            </w:pPr>
            <w:r w:rsidRPr="00765C97">
              <w:rPr>
                <w:rFonts w:ascii="Arial" w:hAnsi="Arial"/>
                <w:b/>
                <w:sz w:val="16"/>
                <w:lang w:val="pl-PL"/>
              </w:rPr>
              <w:t>Środki pieniężne netto z działalności inwestycyjnej</w:t>
            </w:r>
          </w:p>
        </w:tc>
        <w:tc>
          <w:tcPr>
            <w:tcW w:w="1342" w:type="dxa"/>
            <w:tcBorders>
              <w:top w:val="single" w:sz="2" w:space="0" w:color="auto"/>
              <w:left w:val="nil"/>
              <w:bottom w:val="single" w:sz="2" w:space="0" w:color="auto"/>
              <w:right w:val="nil"/>
            </w:tcBorders>
            <w:vAlign w:val="center"/>
          </w:tcPr>
          <w:p w:rsidR="00F335D5" w:rsidRPr="00765C97" w:rsidRDefault="00E06AC6" w:rsidP="007C4BB3">
            <w:pPr>
              <w:ind w:right="79"/>
              <w:jc w:val="right"/>
              <w:rPr>
                <w:rFonts w:ascii="Arial" w:hAnsi="Arial"/>
                <w:b/>
                <w:sz w:val="16"/>
                <w:lang w:val="pl-PL"/>
              </w:rPr>
            </w:pPr>
            <w:r w:rsidRPr="00765C97">
              <w:rPr>
                <w:rFonts w:ascii="Arial" w:hAnsi="Arial"/>
                <w:b/>
                <w:sz w:val="16"/>
                <w:lang w:val="pl-PL"/>
              </w:rPr>
              <w:t>(</w:t>
            </w:r>
            <w:r w:rsidR="007C4BB3" w:rsidRPr="00765C97">
              <w:rPr>
                <w:rFonts w:ascii="Arial" w:hAnsi="Arial"/>
                <w:b/>
                <w:sz w:val="16"/>
                <w:lang w:val="pl-PL"/>
              </w:rPr>
              <w:t>115 533</w:t>
            </w:r>
            <w:r w:rsidRPr="00765C97">
              <w:rPr>
                <w:rFonts w:ascii="Arial" w:hAnsi="Arial"/>
                <w:b/>
                <w:sz w:val="16"/>
                <w:lang w:val="pl-PL"/>
              </w:rPr>
              <w:t>)</w:t>
            </w:r>
          </w:p>
        </w:tc>
        <w:tc>
          <w:tcPr>
            <w:tcW w:w="1342" w:type="dxa"/>
            <w:tcBorders>
              <w:top w:val="single" w:sz="2" w:space="0" w:color="auto"/>
              <w:left w:val="nil"/>
              <w:bottom w:val="single" w:sz="2" w:space="0" w:color="auto"/>
              <w:right w:val="nil"/>
            </w:tcBorders>
            <w:vAlign w:val="center"/>
          </w:tcPr>
          <w:p w:rsidR="00F335D5" w:rsidRPr="00765C97" w:rsidRDefault="00F335D5" w:rsidP="00F335D5">
            <w:pPr>
              <w:ind w:right="79"/>
              <w:jc w:val="right"/>
              <w:rPr>
                <w:rFonts w:ascii="Arial" w:hAnsi="Arial"/>
                <w:b/>
                <w:sz w:val="16"/>
                <w:lang w:val="pl-PL"/>
              </w:rPr>
            </w:pPr>
            <w:r w:rsidRPr="00765C97">
              <w:rPr>
                <w:rFonts w:ascii="Arial" w:hAnsi="Arial"/>
                <w:b/>
                <w:sz w:val="16"/>
                <w:lang w:val="pl-PL"/>
              </w:rPr>
              <w:t>(82 283)</w:t>
            </w:r>
          </w:p>
        </w:tc>
        <w:tc>
          <w:tcPr>
            <w:tcW w:w="278" w:type="dxa"/>
            <w:tcBorders>
              <w:left w:val="nil"/>
              <w:right w:val="nil"/>
            </w:tcBorders>
            <w:vAlign w:val="center"/>
          </w:tcPr>
          <w:p w:rsidR="00F335D5" w:rsidRPr="00765C97" w:rsidRDefault="00F335D5">
            <w:pPr>
              <w:ind w:right="200"/>
              <w:jc w:val="right"/>
              <w:rPr>
                <w:rFonts w:ascii="Arial" w:hAnsi="Arial"/>
                <w:b/>
                <w:sz w:val="16"/>
                <w:lang w:val="pl-PL"/>
              </w:rPr>
            </w:pPr>
          </w:p>
        </w:tc>
      </w:tr>
      <w:tr w:rsidR="009510E0" w:rsidRPr="00F346A4" w:rsidTr="003D2589">
        <w:trPr>
          <w:trHeight w:val="255"/>
        </w:trPr>
        <w:tc>
          <w:tcPr>
            <w:tcW w:w="5220" w:type="dxa"/>
            <w:tcBorders>
              <w:top w:val="nil"/>
              <w:left w:val="nil"/>
              <w:bottom w:val="nil"/>
              <w:right w:val="nil"/>
            </w:tcBorders>
            <w:vAlign w:val="center"/>
          </w:tcPr>
          <w:p w:rsidR="009510E0" w:rsidRPr="00765C97" w:rsidRDefault="009510E0">
            <w:pPr>
              <w:rPr>
                <w:rFonts w:ascii="Arial" w:hAnsi="Arial"/>
                <w:b/>
                <w:sz w:val="16"/>
                <w:lang w:val="pl-PL"/>
              </w:rPr>
            </w:pPr>
            <w:r w:rsidRPr="00765C97">
              <w:rPr>
                <w:rFonts w:ascii="Arial" w:hAnsi="Arial"/>
                <w:b/>
                <w:sz w:val="16"/>
                <w:lang w:val="pl-PL"/>
              </w:rPr>
              <w:t>Przepływy pieniężne z działalności finansowej</w:t>
            </w:r>
          </w:p>
        </w:tc>
        <w:tc>
          <w:tcPr>
            <w:tcW w:w="1342" w:type="dxa"/>
            <w:tcBorders>
              <w:top w:val="single" w:sz="2" w:space="0" w:color="auto"/>
              <w:left w:val="nil"/>
              <w:bottom w:val="nil"/>
              <w:right w:val="nil"/>
            </w:tcBorders>
            <w:vAlign w:val="center"/>
          </w:tcPr>
          <w:p w:rsidR="009510E0" w:rsidRPr="00765C97" w:rsidRDefault="009510E0" w:rsidP="008B4C6B">
            <w:pPr>
              <w:ind w:right="79"/>
              <w:jc w:val="right"/>
              <w:rPr>
                <w:rFonts w:ascii="Arial" w:hAnsi="Arial"/>
                <w:b/>
                <w:sz w:val="16"/>
                <w:lang w:val="pl-PL"/>
              </w:rPr>
            </w:pPr>
          </w:p>
        </w:tc>
        <w:tc>
          <w:tcPr>
            <w:tcW w:w="1342" w:type="dxa"/>
            <w:tcBorders>
              <w:top w:val="single" w:sz="2" w:space="0" w:color="auto"/>
              <w:left w:val="nil"/>
              <w:bottom w:val="nil"/>
              <w:right w:val="nil"/>
            </w:tcBorders>
            <w:vAlign w:val="center"/>
          </w:tcPr>
          <w:p w:rsidR="009510E0" w:rsidRPr="00765C97" w:rsidRDefault="009510E0" w:rsidP="008B4C6B">
            <w:pPr>
              <w:ind w:right="79"/>
              <w:jc w:val="right"/>
              <w:rPr>
                <w:rFonts w:ascii="Arial" w:hAnsi="Arial"/>
                <w:b/>
                <w:sz w:val="16"/>
                <w:lang w:val="pl-PL"/>
              </w:rPr>
            </w:pPr>
          </w:p>
        </w:tc>
        <w:tc>
          <w:tcPr>
            <w:tcW w:w="278" w:type="dxa"/>
            <w:tcBorders>
              <w:left w:val="nil"/>
              <w:bottom w:val="nil"/>
              <w:right w:val="nil"/>
            </w:tcBorders>
            <w:vAlign w:val="center"/>
          </w:tcPr>
          <w:p w:rsidR="009510E0" w:rsidRPr="00765C97" w:rsidRDefault="009510E0">
            <w:pPr>
              <w:spacing w:before="288"/>
              <w:ind w:right="200"/>
              <w:jc w:val="right"/>
              <w:rPr>
                <w:rFonts w:ascii="Arial" w:hAnsi="Arial"/>
                <w:b/>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Wpłata z tytułu emisji kapitału</w:t>
            </w:r>
          </w:p>
        </w:tc>
        <w:tc>
          <w:tcPr>
            <w:tcW w:w="1342" w:type="dxa"/>
            <w:tcBorders>
              <w:top w:val="nil"/>
              <w:left w:val="nil"/>
              <w:bottom w:val="nil"/>
              <w:right w:val="nil"/>
            </w:tcBorders>
            <w:vAlign w:val="center"/>
          </w:tcPr>
          <w:p w:rsidR="00F335D5" w:rsidRPr="00765C97" w:rsidRDefault="00E06AC6" w:rsidP="008B4C6B">
            <w:pPr>
              <w:ind w:right="79"/>
              <w:jc w:val="right"/>
              <w:rPr>
                <w:rFonts w:ascii="Arial" w:hAnsi="Arial"/>
                <w:sz w:val="16"/>
                <w:lang w:val="pl-PL"/>
              </w:rPr>
            </w:pPr>
            <w:r w:rsidRPr="00765C97">
              <w:rPr>
                <w:rFonts w:ascii="Arial" w:hAnsi="Arial"/>
                <w:sz w:val="16"/>
                <w:lang w:val="pl-PL"/>
              </w:rPr>
              <w:t>-</w:t>
            </w:r>
          </w:p>
        </w:tc>
        <w:tc>
          <w:tcPr>
            <w:tcW w:w="1342" w:type="dxa"/>
            <w:tcBorders>
              <w:top w:val="nil"/>
              <w:left w:val="nil"/>
              <w:bottom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461</w:t>
            </w:r>
          </w:p>
        </w:tc>
        <w:tc>
          <w:tcPr>
            <w:tcW w:w="278" w:type="dxa"/>
            <w:tcBorders>
              <w:top w:val="nil"/>
              <w:left w:val="nil"/>
              <w:bottom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Wpływy z tytułu zaciągniętych kredytów i pożyczek</w:t>
            </w:r>
          </w:p>
        </w:tc>
        <w:tc>
          <w:tcPr>
            <w:tcW w:w="1342" w:type="dxa"/>
            <w:tcBorders>
              <w:top w:val="nil"/>
              <w:left w:val="nil"/>
              <w:bottom w:val="nil"/>
              <w:right w:val="nil"/>
            </w:tcBorders>
            <w:vAlign w:val="center"/>
          </w:tcPr>
          <w:p w:rsidR="00F335D5" w:rsidRPr="00765C97" w:rsidRDefault="00E06AC6" w:rsidP="008B4C6B">
            <w:pPr>
              <w:ind w:right="79"/>
              <w:jc w:val="right"/>
              <w:rPr>
                <w:rFonts w:ascii="Arial" w:hAnsi="Arial"/>
                <w:sz w:val="16"/>
                <w:lang w:val="pl-PL"/>
              </w:rPr>
            </w:pPr>
            <w:r w:rsidRPr="00765C97">
              <w:rPr>
                <w:rFonts w:ascii="Arial" w:hAnsi="Arial"/>
                <w:sz w:val="16"/>
                <w:lang w:val="pl-PL"/>
              </w:rPr>
              <w:t>33 442</w:t>
            </w:r>
          </w:p>
        </w:tc>
        <w:tc>
          <w:tcPr>
            <w:tcW w:w="1342" w:type="dxa"/>
            <w:tcBorders>
              <w:top w:val="nil"/>
              <w:left w:val="nil"/>
              <w:bottom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31 577</w:t>
            </w:r>
          </w:p>
        </w:tc>
        <w:tc>
          <w:tcPr>
            <w:tcW w:w="278" w:type="dxa"/>
            <w:tcBorders>
              <w:top w:val="nil"/>
              <w:left w:val="nil"/>
              <w:bottom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Spłata kredytów i pożyczek</w:t>
            </w:r>
          </w:p>
        </w:tc>
        <w:tc>
          <w:tcPr>
            <w:tcW w:w="1342" w:type="dxa"/>
            <w:tcBorders>
              <w:top w:val="nil"/>
              <w:left w:val="nil"/>
              <w:right w:val="nil"/>
            </w:tcBorders>
            <w:vAlign w:val="center"/>
          </w:tcPr>
          <w:p w:rsidR="00F335D5" w:rsidRPr="00765C97" w:rsidRDefault="00E06AC6" w:rsidP="008B4C6B">
            <w:pPr>
              <w:ind w:right="79"/>
              <w:jc w:val="right"/>
              <w:rPr>
                <w:rFonts w:ascii="Arial" w:hAnsi="Arial"/>
                <w:sz w:val="16"/>
                <w:lang w:val="pl-PL"/>
              </w:rPr>
            </w:pPr>
            <w:r w:rsidRPr="00765C97">
              <w:rPr>
                <w:rFonts w:ascii="Arial" w:hAnsi="Arial"/>
                <w:sz w:val="16"/>
                <w:lang w:val="pl-PL"/>
              </w:rPr>
              <w:t>(13 102)</w:t>
            </w:r>
          </w:p>
        </w:tc>
        <w:tc>
          <w:tcPr>
            <w:tcW w:w="1342" w:type="dxa"/>
            <w:tcBorders>
              <w:top w:val="nil"/>
              <w:left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(13 892)</w:t>
            </w:r>
          </w:p>
        </w:tc>
        <w:tc>
          <w:tcPr>
            <w:tcW w:w="278" w:type="dxa"/>
            <w:tcBorders>
              <w:top w:val="nil"/>
              <w:left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Odsetki</w:t>
            </w:r>
          </w:p>
        </w:tc>
        <w:tc>
          <w:tcPr>
            <w:tcW w:w="1342" w:type="dxa"/>
            <w:tcBorders>
              <w:left w:val="nil"/>
              <w:right w:val="nil"/>
            </w:tcBorders>
            <w:vAlign w:val="center"/>
          </w:tcPr>
          <w:p w:rsidR="00F335D5" w:rsidRPr="00765C97" w:rsidRDefault="00E06AC6" w:rsidP="008B4C6B">
            <w:pPr>
              <w:ind w:right="79"/>
              <w:jc w:val="right"/>
              <w:rPr>
                <w:rFonts w:ascii="Arial" w:hAnsi="Arial"/>
                <w:sz w:val="16"/>
                <w:lang w:val="pl-PL"/>
              </w:rPr>
            </w:pPr>
            <w:r w:rsidRPr="00765C97">
              <w:rPr>
                <w:rFonts w:ascii="Arial" w:hAnsi="Arial"/>
                <w:sz w:val="16"/>
                <w:lang w:val="pl-PL"/>
              </w:rPr>
              <w:t>(3 997)</w:t>
            </w:r>
          </w:p>
        </w:tc>
        <w:tc>
          <w:tcPr>
            <w:tcW w:w="1342" w:type="dxa"/>
            <w:tcBorders>
              <w:left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(4 797)</w:t>
            </w:r>
          </w:p>
        </w:tc>
        <w:tc>
          <w:tcPr>
            <w:tcW w:w="278" w:type="dxa"/>
            <w:tcBorders>
              <w:left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Dywidendy i inne wypłaty na rzecz właścicieli</w:t>
            </w:r>
          </w:p>
        </w:tc>
        <w:tc>
          <w:tcPr>
            <w:tcW w:w="1342" w:type="dxa"/>
            <w:tcBorders>
              <w:left w:val="nil"/>
              <w:right w:val="nil"/>
            </w:tcBorders>
            <w:vAlign w:val="center"/>
          </w:tcPr>
          <w:p w:rsidR="00F335D5" w:rsidRPr="00765C97" w:rsidRDefault="00E06AC6" w:rsidP="008B4C6B">
            <w:pPr>
              <w:ind w:right="79"/>
              <w:jc w:val="right"/>
              <w:rPr>
                <w:rFonts w:ascii="Arial" w:hAnsi="Arial"/>
                <w:sz w:val="16"/>
                <w:lang w:val="pl-PL"/>
              </w:rPr>
            </w:pPr>
            <w:r w:rsidRPr="00765C97">
              <w:rPr>
                <w:rFonts w:ascii="Arial" w:hAnsi="Arial"/>
                <w:sz w:val="16"/>
                <w:lang w:val="pl-PL"/>
              </w:rPr>
              <w:t>(12 077)</w:t>
            </w:r>
          </w:p>
        </w:tc>
        <w:tc>
          <w:tcPr>
            <w:tcW w:w="1342" w:type="dxa"/>
            <w:tcBorders>
              <w:left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(822)</w:t>
            </w:r>
          </w:p>
        </w:tc>
        <w:tc>
          <w:tcPr>
            <w:tcW w:w="278" w:type="dxa"/>
            <w:tcBorders>
              <w:left w:val="nil"/>
              <w:right w:val="nil"/>
            </w:tcBorders>
            <w:vAlign w:val="center"/>
          </w:tcPr>
          <w:p w:rsidR="00F335D5" w:rsidRPr="00765C97" w:rsidRDefault="00F335D5">
            <w:pPr>
              <w:ind w:right="200"/>
              <w:jc w:val="right"/>
              <w:rPr>
                <w:rFonts w:ascii="Arial" w:hAnsi="Arial"/>
                <w:sz w:val="16"/>
                <w:lang w:val="pl-PL"/>
              </w:rPr>
            </w:pPr>
          </w:p>
        </w:tc>
      </w:tr>
      <w:tr w:rsidR="0006749C" w:rsidRPr="00765C97" w:rsidTr="003D2589">
        <w:trPr>
          <w:trHeight w:val="255"/>
        </w:trPr>
        <w:tc>
          <w:tcPr>
            <w:tcW w:w="5220" w:type="dxa"/>
            <w:tcBorders>
              <w:top w:val="nil"/>
              <w:left w:val="nil"/>
              <w:bottom w:val="nil"/>
              <w:right w:val="nil"/>
            </w:tcBorders>
            <w:vAlign w:val="center"/>
          </w:tcPr>
          <w:p w:rsidR="0006749C" w:rsidRPr="00765C97" w:rsidRDefault="0006749C">
            <w:pPr>
              <w:rPr>
                <w:rFonts w:ascii="Arial" w:hAnsi="Arial"/>
                <w:sz w:val="16"/>
                <w:lang w:val="pl-PL"/>
              </w:rPr>
            </w:pPr>
            <w:r w:rsidRPr="00765C97">
              <w:rPr>
                <w:rFonts w:ascii="Arial" w:hAnsi="Arial"/>
                <w:sz w:val="16"/>
                <w:lang w:val="pl-PL"/>
              </w:rPr>
              <w:t>Inne, niż wypłaty na rzecz właścicieli, wydatki z tyt. podziału zysku</w:t>
            </w:r>
          </w:p>
        </w:tc>
        <w:tc>
          <w:tcPr>
            <w:tcW w:w="1342" w:type="dxa"/>
            <w:tcBorders>
              <w:left w:val="nil"/>
              <w:right w:val="nil"/>
            </w:tcBorders>
            <w:vAlign w:val="center"/>
          </w:tcPr>
          <w:p w:rsidR="0006749C" w:rsidRPr="00765C97" w:rsidRDefault="0006749C" w:rsidP="008B4C6B">
            <w:pPr>
              <w:ind w:right="79"/>
              <w:jc w:val="right"/>
              <w:rPr>
                <w:rFonts w:ascii="Arial" w:hAnsi="Arial"/>
                <w:sz w:val="16"/>
                <w:lang w:val="pl-PL"/>
              </w:rPr>
            </w:pPr>
            <w:r w:rsidRPr="00765C97">
              <w:rPr>
                <w:rFonts w:ascii="Arial" w:hAnsi="Arial"/>
                <w:sz w:val="16"/>
                <w:lang w:val="pl-PL"/>
              </w:rPr>
              <w:t>(2 603)</w:t>
            </w:r>
          </w:p>
        </w:tc>
        <w:tc>
          <w:tcPr>
            <w:tcW w:w="1342" w:type="dxa"/>
            <w:tcBorders>
              <w:left w:val="nil"/>
              <w:right w:val="nil"/>
            </w:tcBorders>
            <w:vAlign w:val="center"/>
          </w:tcPr>
          <w:p w:rsidR="0006749C" w:rsidRPr="00765C97" w:rsidRDefault="0006749C" w:rsidP="00F335D5">
            <w:pPr>
              <w:ind w:right="79"/>
              <w:jc w:val="right"/>
              <w:rPr>
                <w:rFonts w:ascii="Arial" w:hAnsi="Arial"/>
                <w:sz w:val="16"/>
                <w:lang w:val="pl-PL"/>
              </w:rPr>
            </w:pPr>
            <w:r w:rsidRPr="00765C97">
              <w:rPr>
                <w:rFonts w:ascii="Arial" w:hAnsi="Arial"/>
                <w:sz w:val="16"/>
                <w:lang w:val="pl-PL"/>
              </w:rPr>
              <w:t>-</w:t>
            </w:r>
          </w:p>
        </w:tc>
        <w:tc>
          <w:tcPr>
            <w:tcW w:w="278" w:type="dxa"/>
            <w:tcBorders>
              <w:left w:val="nil"/>
              <w:right w:val="nil"/>
            </w:tcBorders>
            <w:vAlign w:val="center"/>
          </w:tcPr>
          <w:p w:rsidR="0006749C" w:rsidRPr="00765C97" w:rsidRDefault="0006749C">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Inne wpływy finansowe</w:t>
            </w:r>
          </w:p>
        </w:tc>
        <w:tc>
          <w:tcPr>
            <w:tcW w:w="1342" w:type="dxa"/>
            <w:tcBorders>
              <w:left w:val="nil"/>
              <w:right w:val="nil"/>
            </w:tcBorders>
            <w:vAlign w:val="center"/>
          </w:tcPr>
          <w:p w:rsidR="00F335D5" w:rsidRPr="00765C97" w:rsidRDefault="00E06AC6" w:rsidP="008B4C6B">
            <w:pPr>
              <w:ind w:right="79"/>
              <w:jc w:val="right"/>
              <w:rPr>
                <w:rFonts w:ascii="Arial" w:hAnsi="Arial"/>
                <w:sz w:val="16"/>
                <w:lang w:val="pl-PL"/>
              </w:rPr>
            </w:pPr>
            <w:r w:rsidRPr="00765C97">
              <w:rPr>
                <w:rFonts w:ascii="Arial" w:hAnsi="Arial"/>
                <w:sz w:val="16"/>
                <w:lang w:val="pl-PL"/>
              </w:rPr>
              <w:t>4</w:t>
            </w:r>
          </w:p>
        </w:tc>
        <w:tc>
          <w:tcPr>
            <w:tcW w:w="1342" w:type="dxa"/>
            <w:tcBorders>
              <w:left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876</w:t>
            </w:r>
          </w:p>
        </w:tc>
        <w:tc>
          <w:tcPr>
            <w:tcW w:w="278" w:type="dxa"/>
            <w:tcBorders>
              <w:left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Inne wydatki finansowe</w:t>
            </w:r>
          </w:p>
        </w:tc>
        <w:tc>
          <w:tcPr>
            <w:tcW w:w="1342" w:type="dxa"/>
            <w:tcBorders>
              <w:left w:val="nil"/>
              <w:bottom w:val="single" w:sz="2" w:space="0" w:color="auto"/>
              <w:right w:val="nil"/>
            </w:tcBorders>
            <w:vAlign w:val="center"/>
          </w:tcPr>
          <w:p w:rsidR="00F335D5" w:rsidRPr="00765C97" w:rsidRDefault="00E06AC6" w:rsidP="008B4C6B">
            <w:pPr>
              <w:ind w:right="79"/>
              <w:jc w:val="right"/>
              <w:rPr>
                <w:rFonts w:ascii="Arial" w:hAnsi="Arial"/>
                <w:sz w:val="16"/>
                <w:lang w:val="pl-PL"/>
              </w:rPr>
            </w:pPr>
            <w:r w:rsidRPr="00765C97">
              <w:rPr>
                <w:rFonts w:ascii="Arial" w:hAnsi="Arial"/>
                <w:sz w:val="16"/>
                <w:lang w:val="pl-PL"/>
              </w:rPr>
              <w:t>(436)</w:t>
            </w:r>
          </w:p>
        </w:tc>
        <w:tc>
          <w:tcPr>
            <w:tcW w:w="1342" w:type="dxa"/>
            <w:tcBorders>
              <w:left w:val="nil"/>
              <w:bottom w:val="single" w:sz="2" w:space="0" w:color="auto"/>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(73)</w:t>
            </w:r>
          </w:p>
        </w:tc>
        <w:tc>
          <w:tcPr>
            <w:tcW w:w="278" w:type="dxa"/>
            <w:tcBorders>
              <w:left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b/>
                <w:sz w:val="16"/>
                <w:lang w:val="pl-PL"/>
              </w:rPr>
            </w:pPr>
            <w:r w:rsidRPr="00765C97">
              <w:rPr>
                <w:rFonts w:ascii="Arial" w:hAnsi="Arial"/>
                <w:b/>
                <w:sz w:val="16"/>
                <w:lang w:val="pl-PL"/>
              </w:rPr>
              <w:t>Środki pieniężne netto (wykorzystane w)/pochodzące z działalności finansowej</w:t>
            </w:r>
          </w:p>
        </w:tc>
        <w:tc>
          <w:tcPr>
            <w:tcW w:w="1342" w:type="dxa"/>
            <w:tcBorders>
              <w:top w:val="single" w:sz="2" w:space="0" w:color="auto"/>
              <w:left w:val="nil"/>
              <w:bottom w:val="single" w:sz="2" w:space="0" w:color="auto"/>
              <w:right w:val="nil"/>
            </w:tcBorders>
            <w:vAlign w:val="center"/>
          </w:tcPr>
          <w:p w:rsidR="00F335D5" w:rsidRPr="00765C97" w:rsidRDefault="00E06AC6" w:rsidP="0006749C">
            <w:pPr>
              <w:ind w:right="79"/>
              <w:jc w:val="right"/>
              <w:rPr>
                <w:rFonts w:ascii="Arial" w:hAnsi="Arial"/>
                <w:b/>
                <w:sz w:val="16"/>
                <w:lang w:val="pl-PL"/>
              </w:rPr>
            </w:pPr>
            <w:r w:rsidRPr="00765C97">
              <w:rPr>
                <w:rFonts w:ascii="Arial" w:hAnsi="Arial"/>
                <w:b/>
                <w:sz w:val="16"/>
                <w:lang w:val="pl-PL"/>
              </w:rPr>
              <w:t>1 23</w:t>
            </w:r>
            <w:r w:rsidR="0006749C" w:rsidRPr="00765C97">
              <w:rPr>
                <w:rFonts w:ascii="Arial" w:hAnsi="Arial"/>
                <w:b/>
                <w:sz w:val="16"/>
                <w:lang w:val="pl-PL"/>
              </w:rPr>
              <w:t>1</w:t>
            </w:r>
          </w:p>
        </w:tc>
        <w:tc>
          <w:tcPr>
            <w:tcW w:w="1342" w:type="dxa"/>
            <w:tcBorders>
              <w:top w:val="single" w:sz="2" w:space="0" w:color="auto"/>
              <w:left w:val="nil"/>
              <w:bottom w:val="single" w:sz="2" w:space="0" w:color="auto"/>
              <w:right w:val="nil"/>
            </w:tcBorders>
            <w:vAlign w:val="center"/>
          </w:tcPr>
          <w:p w:rsidR="00F335D5" w:rsidRPr="00765C97" w:rsidRDefault="00F335D5" w:rsidP="00F335D5">
            <w:pPr>
              <w:ind w:right="79"/>
              <w:jc w:val="right"/>
              <w:rPr>
                <w:rFonts w:ascii="Arial" w:hAnsi="Arial"/>
                <w:b/>
                <w:sz w:val="16"/>
                <w:lang w:val="pl-PL"/>
              </w:rPr>
            </w:pPr>
            <w:r w:rsidRPr="00765C97">
              <w:rPr>
                <w:rFonts w:ascii="Arial" w:hAnsi="Arial"/>
                <w:b/>
                <w:sz w:val="16"/>
                <w:lang w:val="pl-PL"/>
              </w:rPr>
              <w:t>13 330</w:t>
            </w:r>
          </w:p>
        </w:tc>
        <w:tc>
          <w:tcPr>
            <w:tcW w:w="278" w:type="dxa"/>
            <w:tcBorders>
              <w:left w:val="nil"/>
              <w:right w:val="nil"/>
            </w:tcBorders>
            <w:vAlign w:val="center"/>
          </w:tcPr>
          <w:p w:rsidR="00F335D5" w:rsidRPr="00765C97" w:rsidRDefault="00F335D5">
            <w:pPr>
              <w:ind w:right="200"/>
              <w:jc w:val="right"/>
              <w:rPr>
                <w:rFonts w:ascii="Arial" w:hAnsi="Arial"/>
                <w:b/>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b/>
                <w:spacing w:val="-4"/>
                <w:sz w:val="16"/>
                <w:lang w:val="pl-PL"/>
              </w:rPr>
            </w:pPr>
            <w:r w:rsidRPr="00765C97">
              <w:rPr>
                <w:rFonts w:ascii="Arial" w:hAnsi="Arial"/>
                <w:b/>
                <w:spacing w:val="-4"/>
                <w:sz w:val="16"/>
                <w:lang w:val="pl-PL"/>
              </w:rPr>
              <w:t>Zmiana środków pieniężnych netto</w:t>
            </w:r>
          </w:p>
        </w:tc>
        <w:tc>
          <w:tcPr>
            <w:tcW w:w="1342" w:type="dxa"/>
            <w:tcBorders>
              <w:top w:val="single" w:sz="2" w:space="0" w:color="auto"/>
              <w:left w:val="nil"/>
              <w:bottom w:val="single" w:sz="2" w:space="0" w:color="auto"/>
              <w:right w:val="nil"/>
            </w:tcBorders>
            <w:vAlign w:val="center"/>
          </w:tcPr>
          <w:p w:rsidR="00F335D5" w:rsidRPr="00765C97" w:rsidRDefault="0006749C" w:rsidP="0006749C">
            <w:pPr>
              <w:ind w:right="79"/>
              <w:jc w:val="right"/>
              <w:rPr>
                <w:rFonts w:ascii="Arial" w:hAnsi="Arial"/>
                <w:b/>
                <w:sz w:val="16"/>
                <w:lang w:val="pl-PL"/>
              </w:rPr>
            </w:pPr>
            <w:r w:rsidRPr="00765C97">
              <w:rPr>
                <w:rFonts w:ascii="Arial" w:hAnsi="Arial"/>
                <w:b/>
                <w:sz w:val="16"/>
                <w:lang w:val="pl-PL"/>
              </w:rPr>
              <w:t>(47 155</w:t>
            </w:r>
            <w:r w:rsidR="00E06AC6" w:rsidRPr="00765C97">
              <w:rPr>
                <w:rFonts w:ascii="Arial" w:hAnsi="Arial"/>
                <w:b/>
                <w:sz w:val="16"/>
                <w:lang w:val="pl-PL"/>
              </w:rPr>
              <w:t>)</w:t>
            </w:r>
          </w:p>
        </w:tc>
        <w:tc>
          <w:tcPr>
            <w:tcW w:w="1342" w:type="dxa"/>
            <w:tcBorders>
              <w:top w:val="single" w:sz="2" w:space="0" w:color="auto"/>
              <w:left w:val="nil"/>
              <w:bottom w:val="single" w:sz="2" w:space="0" w:color="auto"/>
              <w:right w:val="nil"/>
            </w:tcBorders>
            <w:vAlign w:val="center"/>
          </w:tcPr>
          <w:p w:rsidR="00F335D5" w:rsidRPr="00765C97" w:rsidRDefault="00F335D5" w:rsidP="00F335D5">
            <w:pPr>
              <w:ind w:right="79"/>
              <w:jc w:val="right"/>
              <w:rPr>
                <w:rFonts w:ascii="Arial" w:hAnsi="Arial"/>
                <w:b/>
                <w:sz w:val="16"/>
                <w:lang w:val="pl-PL"/>
              </w:rPr>
            </w:pPr>
            <w:r w:rsidRPr="00765C97">
              <w:rPr>
                <w:rFonts w:ascii="Arial" w:hAnsi="Arial"/>
                <w:b/>
                <w:sz w:val="16"/>
                <w:lang w:val="pl-PL"/>
              </w:rPr>
              <w:t>(10 423)</w:t>
            </w:r>
          </w:p>
        </w:tc>
        <w:tc>
          <w:tcPr>
            <w:tcW w:w="278" w:type="dxa"/>
            <w:tcBorders>
              <w:left w:val="nil"/>
              <w:right w:val="nil"/>
            </w:tcBorders>
            <w:vAlign w:val="center"/>
          </w:tcPr>
          <w:p w:rsidR="00F335D5" w:rsidRPr="00765C97" w:rsidRDefault="00F335D5">
            <w:pPr>
              <w:ind w:right="200"/>
              <w:jc w:val="right"/>
              <w:rPr>
                <w:rFonts w:ascii="Arial" w:hAnsi="Arial"/>
                <w:b/>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z w:val="16"/>
                <w:lang w:val="pl-PL"/>
              </w:rPr>
            </w:pPr>
            <w:r w:rsidRPr="00765C97">
              <w:rPr>
                <w:rFonts w:ascii="Arial" w:hAnsi="Arial"/>
                <w:sz w:val="16"/>
                <w:lang w:val="pl-PL"/>
              </w:rPr>
              <w:t xml:space="preserve">Środki pieniężne na początek okresu </w:t>
            </w:r>
          </w:p>
        </w:tc>
        <w:tc>
          <w:tcPr>
            <w:tcW w:w="1342" w:type="dxa"/>
            <w:tcBorders>
              <w:top w:val="single" w:sz="2" w:space="0" w:color="auto"/>
              <w:left w:val="nil"/>
              <w:right w:val="nil"/>
            </w:tcBorders>
            <w:vAlign w:val="center"/>
          </w:tcPr>
          <w:p w:rsidR="00F335D5" w:rsidRPr="00765C97" w:rsidRDefault="00E06AC6" w:rsidP="008B4C6B">
            <w:pPr>
              <w:ind w:right="79"/>
              <w:jc w:val="right"/>
              <w:rPr>
                <w:rFonts w:ascii="Arial" w:hAnsi="Arial"/>
                <w:sz w:val="16"/>
                <w:lang w:val="pl-PL"/>
              </w:rPr>
            </w:pPr>
            <w:r w:rsidRPr="00765C97">
              <w:rPr>
                <w:rFonts w:ascii="Arial" w:hAnsi="Arial"/>
                <w:sz w:val="16"/>
                <w:lang w:val="pl-PL"/>
              </w:rPr>
              <w:t>192 896</w:t>
            </w:r>
          </w:p>
        </w:tc>
        <w:tc>
          <w:tcPr>
            <w:tcW w:w="1342" w:type="dxa"/>
            <w:tcBorders>
              <w:top w:val="single" w:sz="2" w:space="0" w:color="auto"/>
              <w:left w:val="nil"/>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199 828</w:t>
            </w:r>
          </w:p>
        </w:tc>
        <w:tc>
          <w:tcPr>
            <w:tcW w:w="278" w:type="dxa"/>
            <w:tcBorders>
              <w:left w:val="nil"/>
              <w:bottom w:val="nil"/>
              <w:right w:val="nil"/>
            </w:tcBorders>
            <w:vAlign w:val="center"/>
          </w:tcPr>
          <w:p w:rsidR="00F335D5" w:rsidRPr="00765C97" w:rsidRDefault="00F335D5">
            <w:pPr>
              <w:ind w:right="200"/>
              <w:jc w:val="right"/>
              <w:rPr>
                <w:rFonts w:ascii="Arial" w:hAnsi="Arial"/>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spacing w:val="-2"/>
                <w:sz w:val="16"/>
                <w:lang w:val="pl-PL"/>
              </w:rPr>
            </w:pPr>
            <w:r w:rsidRPr="00765C97">
              <w:rPr>
                <w:rFonts w:ascii="Arial" w:hAnsi="Arial"/>
                <w:spacing w:val="-2"/>
                <w:sz w:val="16"/>
                <w:lang w:val="pl-PL"/>
              </w:rPr>
              <w:t>Dodatnie (ujemne) różnice kursowe w środkach pieniężnych</w:t>
            </w:r>
          </w:p>
        </w:tc>
        <w:tc>
          <w:tcPr>
            <w:tcW w:w="1342" w:type="dxa"/>
            <w:tcBorders>
              <w:left w:val="nil"/>
              <w:bottom w:val="single" w:sz="2" w:space="0" w:color="auto"/>
              <w:right w:val="nil"/>
            </w:tcBorders>
            <w:vAlign w:val="center"/>
          </w:tcPr>
          <w:p w:rsidR="00F335D5" w:rsidRPr="00765C97" w:rsidRDefault="00E06AC6" w:rsidP="008B4C6B">
            <w:pPr>
              <w:ind w:right="79"/>
              <w:jc w:val="right"/>
              <w:rPr>
                <w:rFonts w:ascii="Arial" w:hAnsi="Arial"/>
                <w:sz w:val="16"/>
                <w:lang w:val="pl-PL"/>
              </w:rPr>
            </w:pPr>
            <w:r w:rsidRPr="00765C97">
              <w:rPr>
                <w:rFonts w:ascii="Arial" w:hAnsi="Arial"/>
                <w:sz w:val="16"/>
                <w:lang w:val="pl-PL"/>
              </w:rPr>
              <w:t>(3 472)</w:t>
            </w:r>
          </w:p>
        </w:tc>
        <w:tc>
          <w:tcPr>
            <w:tcW w:w="1342" w:type="dxa"/>
            <w:tcBorders>
              <w:left w:val="nil"/>
              <w:bottom w:val="single" w:sz="2" w:space="0" w:color="auto"/>
              <w:right w:val="nil"/>
            </w:tcBorders>
            <w:vAlign w:val="center"/>
          </w:tcPr>
          <w:p w:rsidR="00F335D5" w:rsidRPr="00765C97" w:rsidRDefault="00F335D5" w:rsidP="00F335D5">
            <w:pPr>
              <w:ind w:right="79"/>
              <w:jc w:val="right"/>
              <w:rPr>
                <w:rFonts w:ascii="Arial" w:hAnsi="Arial"/>
                <w:sz w:val="16"/>
                <w:lang w:val="pl-PL"/>
              </w:rPr>
            </w:pPr>
            <w:r w:rsidRPr="00765C97">
              <w:rPr>
                <w:rFonts w:ascii="Arial" w:hAnsi="Arial"/>
                <w:sz w:val="16"/>
                <w:lang w:val="pl-PL"/>
              </w:rPr>
              <w:t>3 490</w:t>
            </w:r>
          </w:p>
        </w:tc>
        <w:tc>
          <w:tcPr>
            <w:tcW w:w="278" w:type="dxa"/>
            <w:tcBorders>
              <w:top w:val="nil"/>
              <w:left w:val="nil"/>
              <w:right w:val="nil"/>
            </w:tcBorders>
            <w:vAlign w:val="center"/>
          </w:tcPr>
          <w:p w:rsidR="00F335D5" w:rsidRPr="00765C97" w:rsidRDefault="00F335D5">
            <w:pPr>
              <w:ind w:right="200"/>
              <w:jc w:val="right"/>
              <w:rPr>
                <w:rFonts w:ascii="Arial" w:hAnsi="Arial"/>
                <w:spacing w:val="-4"/>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b/>
                <w:sz w:val="16"/>
                <w:lang w:val="pl-PL"/>
              </w:rPr>
            </w:pPr>
            <w:r w:rsidRPr="00765C97">
              <w:rPr>
                <w:rFonts w:ascii="Arial" w:hAnsi="Arial"/>
                <w:b/>
                <w:sz w:val="16"/>
                <w:lang w:val="pl-PL"/>
              </w:rPr>
              <w:t>Środki pieniężne na koniec okresu</w:t>
            </w:r>
          </w:p>
        </w:tc>
        <w:tc>
          <w:tcPr>
            <w:tcW w:w="1342" w:type="dxa"/>
            <w:tcBorders>
              <w:top w:val="single" w:sz="2" w:space="0" w:color="auto"/>
              <w:left w:val="nil"/>
              <w:bottom w:val="single" w:sz="2" w:space="0" w:color="auto"/>
              <w:right w:val="nil"/>
            </w:tcBorders>
            <w:vAlign w:val="center"/>
          </w:tcPr>
          <w:p w:rsidR="00F335D5" w:rsidRPr="00765C97" w:rsidRDefault="00E06AC6" w:rsidP="008B4C6B">
            <w:pPr>
              <w:ind w:right="79"/>
              <w:jc w:val="right"/>
              <w:rPr>
                <w:rFonts w:ascii="Arial" w:hAnsi="Arial"/>
                <w:b/>
                <w:sz w:val="16"/>
                <w:lang w:val="pl-PL"/>
              </w:rPr>
            </w:pPr>
            <w:r w:rsidRPr="00765C97">
              <w:rPr>
                <w:rFonts w:ascii="Arial" w:hAnsi="Arial"/>
                <w:b/>
                <w:sz w:val="16"/>
                <w:lang w:val="pl-PL"/>
              </w:rPr>
              <w:t>142 269</w:t>
            </w:r>
          </w:p>
        </w:tc>
        <w:tc>
          <w:tcPr>
            <w:tcW w:w="1342" w:type="dxa"/>
            <w:tcBorders>
              <w:top w:val="single" w:sz="2" w:space="0" w:color="auto"/>
              <w:left w:val="nil"/>
              <w:bottom w:val="single" w:sz="2" w:space="0" w:color="auto"/>
              <w:right w:val="nil"/>
            </w:tcBorders>
            <w:vAlign w:val="center"/>
          </w:tcPr>
          <w:p w:rsidR="00F335D5" w:rsidRPr="00765C97" w:rsidRDefault="00F335D5" w:rsidP="00F335D5">
            <w:pPr>
              <w:ind w:right="79"/>
              <w:jc w:val="right"/>
              <w:rPr>
                <w:rFonts w:ascii="Arial" w:hAnsi="Arial"/>
                <w:b/>
                <w:sz w:val="16"/>
                <w:lang w:val="pl-PL"/>
              </w:rPr>
            </w:pPr>
            <w:r w:rsidRPr="00765C97">
              <w:rPr>
                <w:rFonts w:ascii="Arial" w:hAnsi="Arial"/>
                <w:b/>
                <w:sz w:val="16"/>
                <w:lang w:val="pl-PL"/>
              </w:rPr>
              <w:t>192 895</w:t>
            </w:r>
          </w:p>
        </w:tc>
        <w:tc>
          <w:tcPr>
            <w:tcW w:w="278" w:type="dxa"/>
            <w:tcBorders>
              <w:left w:val="nil"/>
              <w:right w:val="nil"/>
            </w:tcBorders>
            <w:vAlign w:val="center"/>
          </w:tcPr>
          <w:p w:rsidR="00F335D5" w:rsidRPr="00765C97" w:rsidRDefault="00F335D5">
            <w:pPr>
              <w:ind w:right="200"/>
              <w:jc w:val="right"/>
              <w:rPr>
                <w:rFonts w:ascii="Arial" w:hAnsi="Arial"/>
                <w:b/>
                <w:sz w:val="16"/>
                <w:lang w:val="pl-PL"/>
              </w:rPr>
            </w:pPr>
          </w:p>
        </w:tc>
      </w:tr>
      <w:tr w:rsidR="00F335D5" w:rsidRPr="00765C97" w:rsidTr="003D2589">
        <w:trPr>
          <w:trHeight w:val="255"/>
        </w:trPr>
        <w:tc>
          <w:tcPr>
            <w:tcW w:w="5220" w:type="dxa"/>
            <w:tcBorders>
              <w:top w:val="nil"/>
              <w:left w:val="nil"/>
              <w:bottom w:val="nil"/>
              <w:right w:val="nil"/>
            </w:tcBorders>
            <w:vAlign w:val="center"/>
          </w:tcPr>
          <w:p w:rsidR="00F335D5" w:rsidRPr="00765C97" w:rsidRDefault="00F335D5">
            <w:pPr>
              <w:rPr>
                <w:rFonts w:ascii="Arial" w:hAnsi="Arial"/>
                <w:b/>
                <w:sz w:val="16"/>
                <w:lang w:val="pl-PL"/>
              </w:rPr>
            </w:pPr>
            <w:r w:rsidRPr="00765C97">
              <w:rPr>
                <w:rFonts w:ascii="Arial" w:hAnsi="Arial"/>
                <w:i/>
                <w:sz w:val="16"/>
                <w:lang w:val="pl-PL"/>
              </w:rPr>
              <w:t>- w tym o ograniczonej możliwości dysponowania</w:t>
            </w:r>
          </w:p>
        </w:tc>
        <w:tc>
          <w:tcPr>
            <w:tcW w:w="1342" w:type="dxa"/>
            <w:tcBorders>
              <w:top w:val="single" w:sz="2" w:space="0" w:color="auto"/>
              <w:left w:val="nil"/>
              <w:bottom w:val="single" w:sz="2" w:space="0" w:color="auto"/>
              <w:right w:val="nil"/>
            </w:tcBorders>
            <w:vAlign w:val="center"/>
          </w:tcPr>
          <w:p w:rsidR="00F335D5" w:rsidRPr="00765C97" w:rsidRDefault="00BB205F" w:rsidP="008B4C6B">
            <w:pPr>
              <w:ind w:right="79"/>
              <w:jc w:val="right"/>
              <w:rPr>
                <w:rFonts w:ascii="Arial" w:hAnsi="Arial"/>
                <w:i/>
                <w:sz w:val="16"/>
                <w:lang w:val="pl-PL"/>
              </w:rPr>
            </w:pPr>
            <w:r w:rsidRPr="00765C97">
              <w:rPr>
                <w:rFonts w:ascii="Arial" w:hAnsi="Arial"/>
                <w:i/>
                <w:sz w:val="16"/>
                <w:lang w:val="pl-PL"/>
              </w:rPr>
              <w:t>969</w:t>
            </w:r>
          </w:p>
        </w:tc>
        <w:tc>
          <w:tcPr>
            <w:tcW w:w="1342" w:type="dxa"/>
            <w:tcBorders>
              <w:top w:val="single" w:sz="2" w:space="0" w:color="auto"/>
              <w:left w:val="nil"/>
              <w:bottom w:val="single" w:sz="2" w:space="0" w:color="auto"/>
              <w:right w:val="nil"/>
            </w:tcBorders>
            <w:vAlign w:val="center"/>
          </w:tcPr>
          <w:p w:rsidR="00F335D5" w:rsidRPr="00765C97" w:rsidRDefault="00F335D5" w:rsidP="00F335D5">
            <w:pPr>
              <w:ind w:right="79"/>
              <w:jc w:val="right"/>
              <w:rPr>
                <w:rFonts w:ascii="Arial" w:hAnsi="Arial"/>
                <w:i/>
                <w:sz w:val="16"/>
                <w:lang w:val="pl-PL"/>
              </w:rPr>
            </w:pPr>
            <w:r w:rsidRPr="00765C97">
              <w:rPr>
                <w:rFonts w:ascii="Arial" w:hAnsi="Arial"/>
                <w:i/>
                <w:sz w:val="16"/>
                <w:lang w:val="pl-PL"/>
              </w:rPr>
              <w:t>831</w:t>
            </w:r>
          </w:p>
        </w:tc>
        <w:tc>
          <w:tcPr>
            <w:tcW w:w="278" w:type="dxa"/>
            <w:tcBorders>
              <w:left w:val="nil"/>
              <w:right w:val="nil"/>
            </w:tcBorders>
            <w:vAlign w:val="center"/>
          </w:tcPr>
          <w:p w:rsidR="00F335D5" w:rsidRPr="00765C97" w:rsidRDefault="00F335D5">
            <w:pPr>
              <w:ind w:right="200"/>
              <w:jc w:val="right"/>
              <w:rPr>
                <w:rFonts w:ascii="Arial" w:hAnsi="Arial"/>
                <w:b/>
                <w:sz w:val="16"/>
                <w:lang w:val="pl-PL"/>
              </w:rPr>
            </w:pPr>
          </w:p>
        </w:tc>
      </w:tr>
    </w:tbl>
    <w:p w:rsidR="00B24DA9" w:rsidRPr="00765C97" w:rsidRDefault="00B24DA9">
      <w:pPr>
        <w:rPr>
          <w:rFonts w:ascii="Arial" w:hAnsi="Arial"/>
          <w:b/>
          <w:sz w:val="20"/>
          <w:lang w:val="pl-PL"/>
        </w:rPr>
        <w:sectPr w:rsidR="00B24DA9" w:rsidRPr="00765C97" w:rsidSect="00712E22">
          <w:pgSz w:w="11906" w:h="16838"/>
          <w:pgMar w:top="1258" w:right="2006" w:bottom="1618" w:left="1417" w:header="708" w:footer="708" w:gutter="0"/>
          <w:pgNumType w:fmt="numberInDash"/>
          <w:cols w:space="708"/>
          <w:docGrid w:linePitch="360"/>
        </w:sectPr>
      </w:pPr>
    </w:p>
    <w:p w:rsidR="00B24DA9" w:rsidRPr="00765C97" w:rsidRDefault="00B24DA9">
      <w:pPr>
        <w:pStyle w:val="Nagwek1"/>
        <w:tabs>
          <w:tab w:val="right" w:leader="dot" w:pos="9000"/>
        </w:tabs>
        <w:spacing w:before="480" w:after="240"/>
        <w:ind w:right="23"/>
        <w:rPr>
          <w:spacing w:val="16"/>
          <w:sz w:val="24"/>
          <w:lang w:val="pl-PL"/>
        </w:rPr>
      </w:pPr>
      <w:bookmarkStart w:id="16" w:name="_Toc115093950"/>
      <w:bookmarkStart w:id="17" w:name="_Toc115094327"/>
      <w:bookmarkStart w:id="18" w:name="_Toc353973197"/>
      <w:r w:rsidRPr="00765C97">
        <w:rPr>
          <w:spacing w:val="16"/>
          <w:sz w:val="24"/>
          <w:lang w:val="pl-PL"/>
        </w:rPr>
        <w:lastRenderedPageBreak/>
        <w:t>Informacja dodatkowa</w:t>
      </w:r>
      <w:bookmarkEnd w:id="16"/>
      <w:bookmarkEnd w:id="17"/>
      <w:bookmarkEnd w:id="18"/>
    </w:p>
    <w:p w:rsidR="00B24DA9" w:rsidRPr="00765C97" w:rsidRDefault="00B24DA9" w:rsidP="00135A9A">
      <w:pPr>
        <w:pStyle w:val="Nagwek2"/>
        <w:numPr>
          <w:ilvl w:val="1"/>
          <w:numId w:val="1"/>
        </w:numPr>
        <w:tabs>
          <w:tab w:val="clear" w:pos="1287"/>
          <w:tab w:val="num" w:pos="540"/>
        </w:tabs>
        <w:spacing w:before="360" w:after="240"/>
        <w:ind w:hanging="1106"/>
        <w:rPr>
          <w:i w:val="0"/>
          <w:sz w:val="22"/>
          <w:lang w:val="pl-PL"/>
        </w:rPr>
      </w:pPr>
      <w:bookmarkStart w:id="19" w:name="_Toc115094328"/>
      <w:bookmarkStart w:id="20" w:name="_Toc353973198"/>
      <w:r w:rsidRPr="00765C97">
        <w:rPr>
          <w:i w:val="0"/>
          <w:sz w:val="22"/>
          <w:lang w:val="pl-PL"/>
        </w:rPr>
        <w:t>Informacje o strukturze i działalności Grupy</w:t>
      </w:r>
      <w:bookmarkEnd w:id="19"/>
      <w:bookmarkEnd w:id="20"/>
    </w:p>
    <w:p w:rsidR="00B24DA9" w:rsidRPr="00765C97" w:rsidRDefault="00703714" w:rsidP="000C3C74">
      <w:pPr>
        <w:adjustRightInd w:val="0"/>
        <w:jc w:val="both"/>
        <w:rPr>
          <w:rFonts w:ascii="Arial" w:hAnsi="Arial"/>
          <w:sz w:val="20"/>
          <w:lang w:val="pl-PL"/>
        </w:rPr>
      </w:pPr>
      <w:r w:rsidRPr="00765C97">
        <w:rPr>
          <w:rFonts w:ascii="Arial" w:hAnsi="Arial"/>
          <w:sz w:val="20"/>
          <w:lang w:val="pl-PL"/>
        </w:rPr>
        <w:t xml:space="preserve">Podstawowym </w:t>
      </w:r>
      <w:r w:rsidR="003D2589" w:rsidRPr="00765C97">
        <w:rPr>
          <w:rFonts w:ascii="Arial" w:hAnsi="Arial"/>
          <w:sz w:val="20"/>
          <w:lang w:val="pl-PL"/>
        </w:rPr>
        <w:t xml:space="preserve">przedmiotem działalności Grupy Comarch („Grupa”), której jednostką dominującą jest Spółka Comarch S.A. z siedzibą w Krakowie przy Al. Jana Pawła II 39 A („Spółka”), jest działalność związana z oprogramowaniem - PKD 62.01.Z. Oznaczenie sądu rejestrowego dla Comarch S.A.: Sąd Rejonowy dla Krakowa – Śródmieścia w Krakowie, XI Wydział Gospodarczy Krajowego Rejestru Sądowego. Numer KRS: 0000057567. Spółka </w:t>
      </w:r>
      <w:r w:rsidR="003D2589" w:rsidRPr="00765C97">
        <w:rPr>
          <w:rFonts w:ascii="Arial" w:hAnsi="Arial"/>
          <w:sz w:val="20"/>
          <w:lang w:val="pl-PL"/>
        </w:rPr>
        <w:br/>
        <w:t xml:space="preserve">Comarch S.A. posiada dominujący udział w Grupie pod względem osiąganych przychodów, wartości aktywów oraz ilości i wielkości realizowanych kontraktów. Akcje Spółki </w:t>
      </w:r>
      <w:r w:rsidR="003D2589" w:rsidRPr="00765C97">
        <w:rPr>
          <w:rFonts w:ascii="Arial" w:hAnsi="Arial"/>
          <w:sz w:val="20"/>
          <w:lang w:val="pl-PL"/>
        </w:rPr>
        <w:br/>
        <w:t>Comarch S.A. są dopuszczone do obrotu giełdowego na Giełdzie Papierów Wartościowych w Warszawie. Czas trwania jednostki dominującej nie jest ograniczony.</w:t>
      </w:r>
    </w:p>
    <w:p w:rsidR="00B24DA9" w:rsidRPr="00765C97" w:rsidRDefault="00B24DA9" w:rsidP="00135A9A">
      <w:pPr>
        <w:pStyle w:val="Nagwek3"/>
        <w:numPr>
          <w:ilvl w:val="1"/>
          <w:numId w:val="21"/>
        </w:numPr>
        <w:spacing w:after="240"/>
        <w:ind w:left="567" w:hanging="425"/>
        <w:rPr>
          <w:sz w:val="20"/>
          <w:lang w:val="pl-PL"/>
        </w:rPr>
      </w:pPr>
      <w:bookmarkStart w:id="21" w:name="_Toc353973199"/>
      <w:r w:rsidRPr="00765C97">
        <w:rPr>
          <w:sz w:val="20"/>
          <w:lang w:val="pl-PL"/>
        </w:rPr>
        <w:t>Struktura organizacyjna Grupy Comarch</w:t>
      </w:r>
      <w:bookmarkEnd w:id="21"/>
    </w:p>
    <w:p w:rsidR="008A4263" w:rsidRPr="00765C97" w:rsidRDefault="008A4263" w:rsidP="008A4263">
      <w:pPr>
        <w:adjustRightInd w:val="0"/>
        <w:jc w:val="both"/>
        <w:rPr>
          <w:rFonts w:ascii="Arial" w:hAnsi="Arial"/>
          <w:sz w:val="20"/>
          <w:lang w:val="pl-PL"/>
        </w:rPr>
      </w:pPr>
      <w:r w:rsidRPr="00765C97">
        <w:rPr>
          <w:rFonts w:ascii="Arial" w:hAnsi="Arial"/>
          <w:sz w:val="20"/>
          <w:lang w:val="pl-PL"/>
        </w:rPr>
        <w:t xml:space="preserve">W dniu 31 grudnia 2012 r. w skład Grupy Comarch wchodziły następujące podmioty (w nawiasach udział głosów przypadający na Comarch S.A., chyba że wskazano inaczej): </w:t>
      </w:r>
    </w:p>
    <w:p w:rsidR="008A4263" w:rsidRPr="00765C97" w:rsidRDefault="008A4263" w:rsidP="00135A9A">
      <w:pPr>
        <w:numPr>
          <w:ilvl w:val="0"/>
          <w:numId w:val="10"/>
        </w:numPr>
        <w:adjustRightInd w:val="0"/>
        <w:ind w:hanging="218"/>
        <w:jc w:val="both"/>
        <w:rPr>
          <w:rFonts w:ascii="Arial" w:hAnsi="Arial"/>
          <w:sz w:val="20"/>
          <w:lang w:val="pl-PL"/>
        </w:rPr>
      </w:pPr>
      <w:r w:rsidRPr="00765C97">
        <w:rPr>
          <w:rFonts w:ascii="Arial" w:hAnsi="Arial"/>
          <w:sz w:val="20"/>
          <w:lang w:val="pl-PL"/>
        </w:rPr>
        <w:t>Comarch Spółka Akcyjna z siedzibą w Krakowie w Polsce,</w:t>
      </w:r>
    </w:p>
    <w:p w:rsidR="008A4263" w:rsidRPr="00765C97" w:rsidRDefault="008A4263" w:rsidP="00135A9A">
      <w:pPr>
        <w:numPr>
          <w:ilvl w:val="0"/>
          <w:numId w:val="11"/>
        </w:numPr>
        <w:adjustRightInd w:val="0"/>
        <w:ind w:hanging="218"/>
        <w:jc w:val="both"/>
        <w:rPr>
          <w:rFonts w:ascii="Arial" w:hAnsi="Arial"/>
          <w:sz w:val="20"/>
          <w:lang w:val="pl-PL"/>
        </w:rPr>
      </w:pPr>
      <w:r w:rsidRPr="00765C97">
        <w:rPr>
          <w:rFonts w:ascii="Arial" w:hAnsi="Arial"/>
          <w:sz w:val="20"/>
          <w:lang w:val="pl-PL"/>
        </w:rPr>
        <w:t>Comarch AG z siedzibą w Dreźnie w Niemczech (100,00%),</w:t>
      </w:r>
    </w:p>
    <w:p w:rsidR="008A4263" w:rsidRPr="00765C97" w:rsidRDefault="008A4263" w:rsidP="00135A9A">
      <w:pPr>
        <w:numPr>
          <w:ilvl w:val="0"/>
          <w:numId w:val="9"/>
        </w:numPr>
        <w:adjustRightInd w:val="0"/>
        <w:ind w:left="1276" w:hanging="567"/>
        <w:jc w:val="both"/>
        <w:rPr>
          <w:rFonts w:ascii="Arial" w:hAnsi="Arial"/>
          <w:sz w:val="20"/>
          <w:lang w:val="pl-PL"/>
        </w:rPr>
      </w:pPr>
      <w:r w:rsidRPr="00765C97">
        <w:rPr>
          <w:rFonts w:ascii="Arial" w:hAnsi="Arial"/>
          <w:sz w:val="20"/>
          <w:lang w:val="pl-PL"/>
        </w:rPr>
        <w:t xml:space="preserve">Comarch Software und Beratung AG z siedzibą w Monachium w Niemczech </w:t>
      </w:r>
      <w:r w:rsidRPr="00765C97">
        <w:rPr>
          <w:rFonts w:ascii="Arial" w:hAnsi="Arial"/>
          <w:sz w:val="20"/>
          <w:lang w:val="pl-PL"/>
        </w:rPr>
        <w:br/>
        <w:t>(100,00% zależna od Comarch AG*),</w:t>
      </w:r>
    </w:p>
    <w:p w:rsidR="008A4263" w:rsidRPr="00765C97" w:rsidRDefault="008A4263" w:rsidP="00135A9A">
      <w:pPr>
        <w:numPr>
          <w:ilvl w:val="0"/>
          <w:numId w:val="9"/>
        </w:numPr>
        <w:adjustRightInd w:val="0"/>
        <w:ind w:left="1843" w:hanging="567"/>
        <w:jc w:val="both"/>
        <w:rPr>
          <w:rFonts w:ascii="Arial" w:hAnsi="Arial"/>
          <w:sz w:val="20"/>
          <w:lang w:val="pl-PL"/>
        </w:rPr>
      </w:pPr>
      <w:r w:rsidRPr="00765C97">
        <w:rPr>
          <w:rFonts w:ascii="Arial" w:hAnsi="Arial"/>
          <w:sz w:val="20"/>
          <w:lang w:val="pl-PL"/>
        </w:rPr>
        <w:t>Comarch Solutions GmbH z siedzibą w Innsbruck w Austrii (100,00% zależna od Comarch Software und Beratung AG),</w:t>
      </w:r>
    </w:p>
    <w:p w:rsidR="008A4263" w:rsidRPr="00765C97" w:rsidRDefault="008A4263" w:rsidP="00135A9A">
      <w:pPr>
        <w:numPr>
          <w:ilvl w:val="0"/>
          <w:numId w:val="9"/>
        </w:numPr>
        <w:adjustRightInd w:val="0"/>
        <w:ind w:left="1843" w:hanging="567"/>
        <w:jc w:val="both"/>
        <w:rPr>
          <w:rFonts w:ascii="Arial" w:hAnsi="Arial"/>
          <w:sz w:val="20"/>
          <w:lang w:val="pl-PL"/>
        </w:rPr>
      </w:pPr>
      <w:r w:rsidRPr="00765C97">
        <w:rPr>
          <w:rFonts w:ascii="Arial" w:hAnsi="Arial"/>
          <w:sz w:val="20"/>
          <w:lang w:val="pl-PL"/>
        </w:rPr>
        <w:t>SoftM France S.à r.l. z siedzibą w Oberhausbergen we Francji (100,00% zależna od Comarch Software und Beratung AG),</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Comarch S.A.S. z siedzibą w Lezennes we Francji (100,00%),</w:t>
      </w:r>
    </w:p>
    <w:p w:rsidR="008A4263" w:rsidRPr="00765C97" w:rsidRDefault="008A4263" w:rsidP="00135A9A">
      <w:pPr>
        <w:numPr>
          <w:ilvl w:val="1"/>
          <w:numId w:val="12"/>
        </w:numPr>
        <w:adjustRightInd w:val="0"/>
        <w:ind w:left="1276" w:hanging="567"/>
        <w:jc w:val="both"/>
        <w:rPr>
          <w:rFonts w:ascii="Arial" w:hAnsi="Arial"/>
          <w:sz w:val="20"/>
          <w:lang w:val="pl-PL"/>
        </w:rPr>
      </w:pPr>
      <w:r w:rsidRPr="00765C97">
        <w:rPr>
          <w:rFonts w:ascii="Arial" w:hAnsi="Arial"/>
          <w:sz w:val="20"/>
          <w:lang w:val="pl-PL"/>
        </w:rPr>
        <w:t xml:space="preserve">Comarch R&amp;D S.à r.l. z siedzibą w Montbonnot-Saint-Martin we Francji </w:t>
      </w:r>
      <w:r w:rsidRPr="00765C97">
        <w:rPr>
          <w:rFonts w:ascii="Arial" w:hAnsi="Arial"/>
          <w:sz w:val="20"/>
          <w:lang w:val="pl-PL"/>
        </w:rPr>
        <w:br/>
        <w:t>(70,00% zależna od Comarch SAS, 30,00% zależna od Comarch S.A.),</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Comarch Luxembourg S.à r.l. z siedzibą w Luksemburgu w Luksemburgu (100,00%)</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 xml:space="preserve">Comarch, Inc. z siedzibą w </w:t>
      </w:r>
      <w:r w:rsidRPr="00765C97">
        <w:rPr>
          <w:rFonts w:ascii="Arial" w:hAnsi="Arial" w:cs="Arial"/>
          <w:sz w:val="20"/>
          <w:szCs w:val="20"/>
          <w:lang w:val="pl-PL"/>
        </w:rPr>
        <w:t>Rosemont</w:t>
      </w:r>
      <w:r w:rsidRPr="00765C97">
        <w:rPr>
          <w:rFonts w:ascii="Arial" w:hAnsi="Arial"/>
          <w:sz w:val="20"/>
          <w:lang w:val="pl-PL"/>
        </w:rPr>
        <w:t xml:space="preserve"> w Stanach Zjednoczonych Ameryki (100,00%),</w:t>
      </w:r>
    </w:p>
    <w:p w:rsidR="008A4263" w:rsidRPr="00765C97" w:rsidRDefault="008A4263" w:rsidP="00135A9A">
      <w:pPr>
        <w:numPr>
          <w:ilvl w:val="0"/>
          <w:numId w:val="9"/>
        </w:numPr>
        <w:adjustRightInd w:val="0"/>
        <w:ind w:left="1843" w:hanging="567"/>
        <w:jc w:val="both"/>
        <w:rPr>
          <w:rFonts w:ascii="Arial" w:hAnsi="Arial"/>
          <w:sz w:val="20"/>
          <w:lang w:val="pl-PL"/>
        </w:rPr>
      </w:pPr>
      <w:r w:rsidRPr="00765C97">
        <w:rPr>
          <w:rFonts w:ascii="Arial" w:hAnsi="Arial"/>
          <w:sz w:val="20"/>
          <w:lang w:val="pl-PL"/>
        </w:rPr>
        <w:t>Comarch Panama, Inc. z siedzibą w Panamie w Panamie (100,00% zależna od Comarch, Inc.),</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Comarch Canada, Corp. z siedzibą w New Brunswick w Kanadzie (100,00%),</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Comarch Middle East FZ-LLC z siedzibą w Dubaju w Zjednoczonych Emiratach Arabskich (100,00%),</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Comarch LLC z siedzibą w Kijowie na Ukrainie (100,00%),</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OOO Comarch z siedzibą w Moskwie w Rosji (100,00%),</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Comarch Software (Shanghai) Co. Ltd. z siedzibą w Szanghaju w Chinach (100,00%),</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Comarch Vietnam Company Limited (Comarch Co., Ltd.) z siedzibą w Ho Chi Minh City w Wietnamie (100,00%),</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Comarch Oy z siedzibą w Espoo w Finlandii (100,00%),</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Comarch UK Ltd. z siedzibą w Londynie w Wielkiej Brytanii (100,00%),</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UAB Comarch z siedzibą w Wilnie na Litwie (100,00%),</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Comarch s.r.o. z siedzibą w Bratysławie na Słowacji (100,00%),</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SouthForge Sp. z o.o. z siedzibą w Krakowie w Polsce (100,00%),</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CA Consulting S.A. z siedzibą w Warszawie w Polsce (100,00%),</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Opso Sp. z o.o. z siedzibą w Krakowie w Polsce (100,00%)</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Comarch Management Sp. z o.o. z siedzibą w Krakowie w Polsce (100,00%),</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Comarch Corporate Finance Fundusz Inwestycyjny Zamknięty z siedzibą w Krakowie w Polsce („CCF FIZ”) (Comarch S.A. posiada 100,00% wyemitowanych certyfikatów inwestycyjnych),</w:t>
      </w:r>
    </w:p>
    <w:p w:rsidR="008A4263" w:rsidRPr="00765C97" w:rsidRDefault="008A4263" w:rsidP="00135A9A">
      <w:pPr>
        <w:numPr>
          <w:ilvl w:val="0"/>
          <w:numId w:val="9"/>
        </w:numPr>
        <w:adjustRightInd w:val="0"/>
        <w:ind w:left="1843" w:hanging="567"/>
        <w:jc w:val="both"/>
        <w:rPr>
          <w:rFonts w:ascii="Arial" w:hAnsi="Arial"/>
          <w:sz w:val="20"/>
          <w:lang w:val="pl-PL"/>
        </w:rPr>
      </w:pPr>
      <w:r w:rsidRPr="00765C97">
        <w:rPr>
          <w:rFonts w:ascii="Arial" w:hAnsi="Arial"/>
          <w:sz w:val="20"/>
          <w:lang w:val="pl-PL"/>
        </w:rPr>
        <w:t>Comarch Management Sp. z o.o. SK-A z siedzibą w Krakowie w Polsce (63,03% głosów przypada na CCF FIZ; 36,97% głosów przypada na Comarch S.A.; z akcji nabytych przez Comarch Management Sp. z o.o. SK-A celem umorzenia spółka nie wykonuje prawa głosu),</w:t>
      </w:r>
    </w:p>
    <w:p w:rsidR="008A4263" w:rsidRPr="00765C97" w:rsidRDefault="008A4263" w:rsidP="00135A9A">
      <w:pPr>
        <w:numPr>
          <w:ilvl w:val="0"/>
          <w:numId w:val="9"/>
        </w:numPr>
        <w:adjustRightInd w:val="0"/>
        <w:ind w:left="1843" w:hanging="567"/>
        <w:jc w:val="both"/>
        <w:rPr>
          <w:rFonts w:ascii="Arial" w:hAnsi="Arial"/>
          <w:sz w:val="20"/>
          <w:lang w:val="pl-PL"/>
        </w:rPr>
      </w:pPr>
      <w:r w:rsidRPr="00765C97">
        <w:rPr>
          <w:rFonts w:ascii="Arial" w:hAnsi="Arial"/>
          <w:sz w:val="20"/>
          <w:lang w:val="pl-PL"/>
        </w:rPr>
        <w:t>Bonus Management Sp. z o.o. SK-A z siedzibą w Krakowie w Polsce (100,00% głosów przypada na CCF FIZ),</w:t>
      </w:r>
    </w:p>
    <w:p w:rsidR="008A4263" w:rsidRPr="00765C97" w:rsidRDefault="008A4263" w:rsidP="00135A9A">
      <w:pPr>
        <w:numPr>
          <w:ilvl w:val="0"/>
          <w:numId w:val="9"/>
        </w:numPr>
        <w:adjustRightInd w:val="0"/>
        <w:ind w:left="1843" w:hanging="567"/>
        <w:jc w:val="both"/>
        <w:rPr>
          <w:rFonts w:ascii="Arial" w:hAnsi="Arial"/>
          <w:sz w:val="20"/>
          <w:lang w:val="pl-PL"/>
        </w:rPr>
      </w:pPr>
      <w:r w:rsidRPr="00765C97">
        <w:rPr>
          <w:rFonts w:ascii="Arial" w:hAnsi="Arial"/>
          <w:sz w:val="20"/>
          <w:lang w:val="pl-PL"/>
        </w:rPr>
        <w:t>Bonus Development Sp. z o.o. SK-A z siedzibą w Krakowie w Polsce (100,00% głosów przypada na CCF FIZ),</w:t>
      </w:r>
    </w:p>
    <w:p w:rsidR="008A4263" w:rsidRPr="00765C97" w:rsidRDefault="008A4263" w:rsidP="00135A9A">
      <w:pPr>
        <w:numPr>
          <w:ilvl w:val="0"/>
          <w:numId w:val="9"/>
        </w:numPr>
        <w:adjustRightInd w:val="0"/>
        <w:ind w:left="1843" w:hanging="567"/>
        <w:jc w:val="both"/>
        <w:rPr>
          <w:rFonts w:ascii="Arial" w:hAnsi="Arial"/>
          <w:sz w:val="20"/>
          <w:lang w:val="pl-PL"/>
        </w:rPr>
      </w:pPr>
      <w:r w:rsidRPr="00765C97">
        <w:rPr>
          <w:rFonts w:ascii="Arial" w:hAnsi="Arial"/>
          <w:sz w:val="20"/>
          <w:lang w:val="pl-PL"/>
        </w:rPr>
        <w:t>Bonus Management Sp. z o.o. II Activia SK-A z siedzibą w Krakowie w Polsce (100,00% głosów przypada na CCF FIZ),</w:t>
      </w:r>
    </w:p>
    <w:p w:rsidR="008A4263" w:rsidRPr="00765C97" w:rsidRDefault="008A4263" w:rsidP="00135A9A">
      <w:pPr>
        <w:numPr>
          <w:ilvl w:val="0"/>
          <w:numId w:val="9"/>
        </w:numPr>
        <w:adjustRightInd w:val="0"/>
        <w:ind w:left="1843" w:hanging="567"/>
        <w:jc w:val="both"/>
        <w:rPr>
          <w:rFonts w:ascii="Arial" w:hAnsi="Arial"/>
          <w:sz w:val="20"/>
          <w:lang w:val="pl-PL"/>
        </w:rPr>
      </w:pPr>
      <w:r w:rsidRPr="00765C97">
        <w:rPr>
          <w:rFonts w:ascii="Arial" w:hAnsi="Arial"/>
          <w:sz w:val="20"/>
          <w:lang w:val="pl-PL"/>
        </w:rPr>
        <w:t>Bonus Development Sp. z o.o. II Koncept SK-A z siedzibą w Krakowie w Polsce (100,00% głosów przypada na CCF FIZ),</w:t>
      </w:r>
    </w:p>
    <w:p w:rsidR="008A4263" w:rsidRPr="00765C97" w:rsidRDefault="008A4263" w:rsidP="00135A9A">
      <w:pPr>
        <w:numPr>
          <w:ilvl w:val="0"/>
          <w:numId w:val="9"/>
        </w:numPr>
        <w:adjustRightInd w:val="0"/>
        <w:ind w:left="1843" w:hanging="567"/>
        <w:jc w:val="both"/>
        <w:rPr>
          <w:rFonts w:ascii="Arial" w:hAnsi="Arial"/>
          <w:sz w:val="20"/>
          <w:lang w:val="pl-PL"/>
        </w:rPr>
      </w:pPr>
      <w:r w:rsidRPr="00765C97">
        <w:rPr>
          <w:rFonts w:ascii="Arial" w:hAnsi="Arial"/>
          <w:sz w:val="20"/>
          <w:lang w:val="pl-PL"/>
        </w:rPr>
        <w:t>iMed24 S.A. z siedzibą w Krakowie w Polsce (100,00% głosów przypada na CCF FIZ),</w:t>
      </w:r>
    </w:p>
    <w:p w:rsidR="008A4263" w:rsidRPr="00765C97" w:rsidRDefault="008A4263" w:rsidP="00135A9A">
      <w:pPr>
        <w:numPr>
          <w:ilvl w:val="0"/>
          <w:numId w:val="9"/>
        </w:numPr>
        <w:adjustRightInd w:val="0"/>
        <w:ind w:left="1843" w:hanging="567"/>
        <w:jc w:val="both"/>
        <w:rPr>
          <w:rFonts w:ascii="Arial" w:hAnsi="Arial"/>
          <w:sz w:val="20"/>
          <w:lang w:val="pl-PL"/>
        </w:rPr>
      </w:pPr>
      <w:r w:rsidRPr="00765C97">
        <w:rPr>
          <w:rFonts w:ascii="Arial" w:hAnsi="Arial"/>
          <w:sz w:val="20"/>
          <w:lang w:val="pl-PL"/>
        </w:rPr>
        <w:t>Comarch Polska S.A. z siedzibą w Krakowie w Polsce (100,00% głosów przypada na CCF FIZ),</w:t>
      </w:r>
    </w:p>
    <w:p w:rsidR="008A4263" w:rsidRPr="00765C97" w:rsidRDefault="008A4263" w:rsidP="00135A9A">
      <w:pPr>
        <w:numPr>
          <w:ilvl w:val="0"/>
          <w:numId w:val="9"/>
        </w:numPr>
        <w:adjustRightInd w:val="0"/>
        <w:ind w:left="1843" w:hanging="567"/>
        <w:jc w:val="both"/>
        <w:rPr>
          <w:rFonts w:ascii="Arial" w:hAnsi="Arial"/>
          <w:sz w:val="20"/>
          <w:lang w:val="pl-PL"/>
        </w:rPr>
      </w:pPr>
      <w:r w:rsidRPr="00765C97">
        <w:rPr>
          <w:rFonts w:ascii="Arial" w:hAnsi="Arial"/>
          <w:sz w:val="20"/>
          <w:lang w:val="pl-PL"/>
        </w:rPr>
        <w:t>iReward24 S.A. z siedzibą w Krakowie w Polsce (100,00% głosów przypada na CCF FIZ),</w:t>
      </w:r>
    </w:p>
    <w:p w:rsidR="008A4263" w:rsidRPr="00765C97" w:rsidRDefault="008A4263" w:rsidP="00135A9A">
      <w:pPr>
        <w:numPr>
          <w:ilvl w:val="0"/>
          <w:numId w:val="9"/>
        </w:numPr>
        <w:adjustRightInd w:val="0"/>
        <w:ind w:left="1843" w:hanging="567"/>
        <w:jc w:val="both"/>
        <w:rPr>
          <w:rFonts w:ascii="Arial" w:hAnsi="Arial"/>
          <w:sz w:val="20"/>
          <w:lang w:val="pl-PL"/>
        </w:rPr>
      </w:pPr>
      <w:r w:rsidRPr="00765C97">
        <w:rPr>
          <w:rFonts w:ascii="Arial" w:hAnsi="Arial"/>
          <w:sz w:val="20"/>
          <w:lang w:val="pl-PL"/>
        </w:rPr>
        <w:t>Infrastruktura24 S.A. z siedzibą w Krakowie w Polsce (100,00% głosów przypada na CCF FIZ),</w:t>
      </w:r>
    </w:p>
    <w:p w:rsidR="008A4263" w:rsidRPr="00765C97" w:rsidRDefault="008A4263" w:rsidP="00135A9A">
      <w:pPr>
        <w:numPr>
          <w:ilvl w:val="0"/>
          <w:numId w:val="9"/>
        </w:numPr>
        <w:adjustRightInd w:val="0"/>
        <w:ind w:left="1843" w:hanging="567"/>
        <w:jc w:val="both"/>
        <w:rPr>
          <w:rFonts w:ascii="Arial" w:hAnsi="Arial"/>
          <w:sz w:val="20"/>
          <w:lang w:val="pl-PL"/>
        </w:rPr>
      </w:pPr>
      <w:r w:rsidRPr="00765C97">
        <w:rPr>
          <w:rFonts w:ascii="Arial" w:hAnsi="Arial"/>
          <w:sz w:val="20"/>
          <w:lang w:val="pl-PL"/>
        </w:rPr>
        <w:t>iComarch24 S.A. z siedzibą w Krakowie w Polsce (100,00% głosów przypada na CCF FIZ),</w:t>
      </w:r>
    </w:p>
    <w:p w:rsidR="008A4263" w:rsidRPr="00765C97" w:rsidRDefault="008A4263" w:rsidP="00135A9A">
      <w:pPr>
        <w:numPr>
          <w:ilvl w:val="0"/>
          <w:numId w:val="9"/>
        </w:numPr>
        <w:adjustRightInd w:val="0"/>
        <w:ind w:left="1843" w:hanging="567"/>
        <w:jc w:val="both"/>
        <w:rPr>
          <w:rFonts w:ascii="Arial" w:hAnsi="Arial"/>
          <w:sz w:val="20"/>
          <w:lang w:val="pl-PL"/>
        </w:rPr>
      </w:pPr>
      <w:r w:rsidRPr="00765C97">
        <w:rPr>
          <w:rFonts w:ascii="Arial" w:hAnsi="Arial"/>
          <w:sz w:val="20"/>
          <w:lang w:val="pl-PL"/>
        </w:rPr>
        <w:t>CASA Management and Consulting Sp. z o.o. SK-A z siedzibą w Krakowie w Polsce (100,00% głosów przypada na CCF FIZ),</w:t>
      </w:r>
    </w:p>
    <w:p w:rsidR="008A4263" w:rsidRPr="00765C97" w:rsidRDefault="008A4263" w:rsidP="00135A9A">
      <w:pPr>
        <w:numPr>
          <w:ilvl w:val="0"/>
          <w:numId w:val="9"/>
        </w:numPr>
        <w:adjustRightInd w:val="0"/>
        <w:ind w:left="2410" w:hanging="567"/>
        <w:jc w:val="both"/>
        <w:rPr>
          <w:rFonts w:ascii="Arial" w:hAnsi="Arial"/>
          <w:sz w:val="20"/>
          <w:lang w:val="pl-PL"/>
        </w:rPr>
      </w:pPr>
      <w:r w:rsidRPr="00765C97">
        <w:rPr>
          <w:rFonts w:ascii="Arial" w:hAnsi="Arial"/>
          <w:sz w:val="20"/>
          <w:lang w:val="pl-PL"/>
        </w:rPr>
        <w:t>A-MEA Informatik AG z siedzibą w Arbon w Szwajcarii (100,00% głosów przypada na CASA Management and Consulting Sp. z o.o. SK-A),</w:t>
      </w:r>
    </w:p>
    <w:p w:rsidR="008A4263" w:rsidRPr="00765C97" w:rsidRDefault="008A4263" w:rsidP="00135A9A">
      <w:pPr>
        <w:numPr>
          <w:ilvl w:val="0"/>
          <w:numId w:val="9"/>
        </w:numPr>
        <w:adjustRightInd w:val="0"/>
        <w:ind w:left="2410" w:hanging="567"/>
        <w:jc w:val="both"/>
        <w:rPr>
          <w:rFonts w:ascii="Arial" w:hAnsi="Arial"/>
          <w:sz w:val="20"/>
          <w:lang w:val="pl-PL"/>
        </w:rPr>
      </w:pPr>
      <w:r w:rsidRPr="00765C97">
        <w:rPr>
          <w:rFonts w:ascii="Arial" w:hAnsi="Arial"/>
          <w:sz w:val="20"/>
          <w:lang w:val="pl-PL"/>
        </w:rPr>
        <w:t>ESAProjekt Sp. z o.o. z siedzibą w Chorzowie w Polsce (100,00% głosów przypada na CASA Management and Consulting Sp. z o.o. SK-A),</w:t>
      </w:r>
    </w:p>
    <w:p w:rsidR="008A4263" w:rsidRPr="00765C97" w:rsidRDefault="008A4263" w:rsidP="00135A9A">
      <w:pPr>
        <w:numPr>
          <w:ilvl w:val="0"/>
          <w:numId w:val="9"/>
        </w:numPr>
        <w:adjustRightInd w:val="0"/>
        <w:ind w:left="2410" w:hanging="567"/>
        <w:jc w:val="both"/>
        <w:rPr>
          <w:rFonts w:ascii="Arial" w:hAnsi="Arial"/>
          <w:sz w:val="20"/>
          <w:lang w:val="pl-PL"/>
        </w:rPr>
      </w:pPr>
      <w:r w:rsidRPr="00765C97">
        <w:rPr>
          <w:rFonts w:ascii="Arial" w:hAnsi="Arial"/>
          <w:sz w:val="20"/>
          <w:lang w:val="pl-PL"/>
        </w:rPr>
        <w:t>Comarch Swiss AG z siedzibą w Buchs w Szwajcarii (100,00% głosów przypada na CASA Management and Consulting Sp. z o.o. SK-A),</w:t>
      </w:r>
    </w:p>
    <w:p w:rsidR="008A4263" w:rsidRPr="00765C97" w:rsidRDefault="008A4263" w:rsidP="00135A9A">
      <w:pPr>
        <w:numPr>
          <w:ilvl w:val="0"/>
          <w:numId w:val="12"/>
        </w:numPr>
        <w:adjustRightInd w:val="0"/>
        <w:ind w:hanging="218"/>
        <w:jc w:val="both"/>
        <w:rPr>
          <w:rFonts w:ascii="Arial" w:hAnsi="Arial"/>
          <w:sz w:val="20"/>
          <w:lang w:val="pl-PL"/>
        </w:rPr>
      </w:pPr>
      <w:r w:rsidRPr="00765C97">
        <w:rPr>
          <w:rFonts w:ascii="Arial" w:hAnsi="Arial"/>
          <w:sz w:val="20"/>
          <w:lang w:val="pl-PL"/>
        </w:rPr>
        <w:t>MKS Cracovia SSA z siedzibą w Krakowie w Polsce (59,82%).</w:t>
      </w:r>
    </w:p>
    <w:p w:rsidR="008A4263" w:rsidRPr="00765C97" w:rsidRDefault="008A4263" w:rsidP="008A4263">
      <w:pPr>
        <w:adjustRightInd w:val="0"/>
        <w:ind w:left="142"/>
        <w:jc w:val="both"/>
        <w:rPr>
          <w:rFonts w:ascii="Arial" w:hAnsi="Arial"/>
          <w:sz w:val="20"/>
          <w:lang w:val="pl-PL"/>
        </w:rPr>
      </w:pPr>
    </w:p>
    <w:p w:rsidR="008A4263" w:rsidRPr="00765C97" w:rsidRDefault="008A4263" w:rsidP="008A4263">
      <w:pPr>
        <w:adjustRightInd w:val="0"/>
        <w:ind w:left="142"/>
        <w:jc w:val="both"/>
        <w:rPr>
          <w:rFonts w:ascii="Arial" w:hAnsi="Arial"/>
          <w:sz w:val="20"/>
          <w:lang w:val="pl-PL"/>
        </w:rPr>
      </w:pPr>
      <w:r w:rsidRPr="00765C97">
        <w:rPr>
          <w:rFonts w:ascii="Arial" w:hAnsi="Arial"/>
          <w:i/>
          <w:sz w:val="14"/>
          <w:szCs w:val="14"/>
          <w:lang w:val="pl-PL"/>
        </w:rPr>
        <w:t xml:space="preserve">(*) </w:t>
      </w:r>
      <w:r w:rsidRPr="00765C97">
        <w:rPr>
          <w:rFonts w:ascii="Arial" w:hAnsi="Arial" w:cs="Arial"/>
          <w:i/>
          <w:sz w:val="14"/>
          <w:szCs w:val="14"/>
          <w:lang w:val="pl-PL"/>
        </w:rPr>
        <w:t>w tym 2,68% akcji CSuB AG pożyczonych od podmiotu spoza Grupy Comarch</w:t>
      </w:r>
    </w:p>
    <w:p w:rsidR="008A4263" w:rsidRPr="00765C97" w:rsidRDefault="008A4263" w:rsidP="008A4263">
      <w:pPr>
        <w:adjustRightInd w:val="0"/>
        <w:jc w:val="both"/>
        <w:rPr>
          <w:rFonts w:ascii="Arial" w:hAnsi="Arial"/>
          <w:sz w:val="20"/>
          <w:lang w:val="pl-PL"/>
        </w:rPr>
      </w:pPr>
    </w:p>
    <w:p w:rsidR="008A4263" w:rsidRPr="00765C97" w:rsidRDefault="008A4263" w:rsidP="008A4263">
      <w:pPr>
        <w:adjustRightInd w:val="0"/>
        <w:jc w:val="both"/>
        <w:rPr>
          <w:rFonts w:ascii="Arial" w:hAnsi="Arial"/>
          <w:sz w:val="20"/>
          <w:lang w:val="pl-PL"/>
        </w:rPr>
      </w:pPr>
      <w:r w:rsidRPr="00765C97">
        <w:rPr>
          <w:rFonts w:ascii="Arial" w:hAnsi="Arial"/>
          <w:sz w:val="20"/>
          <w:lang w:val="pl-PL"/>
        </w:rPr>
        <w:t>Na dzień 31 grudnia 2012 r. jednostką stowarzyszoną z jednostką dominującą jest:</w:t>
      </w:r>
    </w:p>
    <w:p w:rsidR="008A4263" w:rsidRPr="00765C97" w:rsidRDefault="008A4263" w:rsidP="008A4263">
      <w:pPr>
        <w:adjustRightInd w:val="0"/>
        <w:ind w:left="181"/>
        <w:jc w:val="both"/>
        <w:rPr>
          <w:rFonts w:ascii="Arial" w:hAnsi="Arial"/>
          <w:sz w:val="20"/>
          <w:lang w:val="pl-PL"/>
        </w:rPr>
      </w:pPr>
    </w:p>
    <w:p w:rsidR="008A4263" w:rsidRPr="00765C97" w:rsidRDefault="008A4263" w:rsidP="00135A9A">
      <w:pPr>
        <w:numPr>
          <w:ilvl w:val="0"/>
          <w:numId w:val="13"/>
        </w:numPr>
        <w:adjustRightInd w:val="0"/>
        <w:ind w:left="181" w:hanging="218"/>
        <w:jc w:val="both"/>
        <w:rPr>
          <w:rFonts w:ascii="Arial" w:hAnsi="Arial"/>
          <w:sz w:val="20"/>
          <w:lang w:val="pl-PL"/>
        </w:rPr>
      </w:pPr>
      <w:r w:rsidRPr="00765C97">
        <w:rPr>
          <w:rFonts w:ascii="Arial" w:hAnsi="Arial"/>
          <w:sz w:val="20"/>
          <w:lang w:val="pl-PL"/>
        </w:rPr>
        <w:t>poprzez Comarch Corporate Finance Fundusz Inwestycyjny Zamknięty: SoInteractive S.A. z siedzibą w Krakowie w Polsce (30,72% głosów przypada na CCF FIZ).</w:t>
      </w:r>
    </w:p>
    <w:p w:rsidR="008A4263" w:rsidRPr="00765C97" w:rsidRDefault="008A4263" w:rsidP="008A4263">
      <w:pPr>
        <w:adjustRightInd w:val="0"/>
        <w:ind w:left="181"/>
        <w:jc w:val="both"/>
        <w:rPr>
          <w:rFonts w:ascii="Arial" w:hAnsi="Arial"/>
          <w:sz w:val="20"/>
          <w:lang w:val="pl-PL"/>
        </w:rPr>
      </w:pPr>
    </w:p>
    <w:p w:rsidR="004778A8" w:rsidRPr="00765C97" w:rsidRDefault="008A4263" w:rsidP="00906AE5">
      <w:pPr>
        <w:adjustRightInd w:val="0"/>
        <w:jc w:val="both"/>
        <w:rPr>
          <w:rFonts w:ascii="Arial" w:hAnsi="Arial" w:cs="Arial"/>
          <w:sz w:val="20"/>
          <w:szCs w:val="20"/>
          <w:lang w:val="pl-PL"/>
        </w:rPr>
      </w:pPr>
      <w:r w:rsidRPr="00765C97">
        <w:rPr>
          <w:rFonts w:ascii="Arial" w:hAnsi="Arial" w:cs="Arial"/>
          <w:sz w:val="20"/>
          <w:szCs w:val="20"/>
          <w:lang w:val="pl-PL"/>
        </w:rPr>
        <w:t>Spółki stowarzyszone nie są konsolidowane. Udziały w nich są wyceniane metodą praw własności.</w:t>
      </w:r>
      <w:r w:rsidR="004778A8" w:rsidRPr="00765C97">
        <w:rPr>
          <w:rFonts w:ascii="Arial" w:hAnsi="Arial" w:cs="Arial"/>
          <w:sz w:val="20"/>
          <w:szCs w:val="20"/>
          <w:lang w:val="pl-PL"/>
        </w:rPr>
        <w:t xml:space="preserve"> </w:t>
      </w:r>
    </w:p>
    <w:p w:rsidR="00B24DA9" w:rsidRPr="00765C97" w:rsidRDefault="00B24DA9" w:rsidP="00135A9A">
      <w:pPr>
        <w:pStyle w:val="Nagwek3"/>
        <w:numPr>
          <w:ilvl w:val="1"/>
          <w:numId w:val="21"/>
        </w:numPr>
        <w:spacing w:after="240"/>
        <w:ind w:left="567" w:hanging="425"/>
        <w:rPr>
          <w:sz w:val="20"/>
          <w:lang w:val="pl-PL"/>
        </w:rPr>
      </w:pPr>
      <w:bookmarkStart w:id="22" w:name="_Toc353973200"/>
      <w:r w:rsidRPr="00765C97">
        <w:rPr>
          <w:sz w:val="20"/>
          <w:lang w:val="pl-PL"/>
        </w:rPr>
        <w:t xml:space="preserve">Zmiany </w:t>
      </w:r>
      <w:r w:rsidR="00311237" w:rsidRPr="00765C97">
        <w:rPr>
          <w:sz w:val="20"/>
          <w:lang w:val="pl-PL"/>
        </w:rPr>
        <w:t xml:space="preserve">właścicielskie i zmiany </w:t>
      </w:r>
      <w:r w:rsidRPr="00765C97">
        <w:rPr>
          <w:sz w:val="20"/>
          <w:lang w:val="pl-PL"/>
        </w:rPr>
        <w:t>w strukturze organizacyjnej w 20</w:t>
      </w:r>
      <w:r w:rsidR="00703714" w:rsidRPr="00765C97">
        <w:rPr>
          <w:sz w:val="20"/>
          <w:lang w:val="pl-PL"/>
        </w:rPr>
        <w:t>1</w:t>
      </w:r>
      <w:r w:rsidR="008A4263" w:rsidRPr="00765C97">
        <w:rPr>
          <w:sz w:val="20"/>
          <w:lang w:val="pl-PL"/>
        </w:rPr>
        <w:t>2</w:t>
      </w:r>
      <w:r w:rsidRPr="00765C97">
        <w:rPr>
          <w:sz w:val="20"/>
          <w:lang w:val="pl-PL"/>
        </w:rPr>
        <w:t xml:space="preserve"> roku</w:t>
      </w:r>
      <w:bookmarkEnd w:id="22"/>
    </w:p>
    <w:p w:rsidR="00496C6C" w:rsidRPr="00765C97" w:rsidRDefault="00496C6C" w:rsidP="00496C6C">
      <w:pPr>
        <w:jc w:val="both"/>
        <w:rPr>
          <w:rFonts w:ascii="Arial" w:hAnsi="Arial" w:cs="Arial"/>
          <w:sz w:val="20"/>
          <w:szCs w:val="20"/>
          <w:lang w:val="pl-PL"/>
        </w:rPr>
      </w:pPr>
      <w:r w:rsidRPr="00765C97">
        <w:rPr>
          <w:rFonts w:ascii="Arial" w:hAnsi="Arial" w:cs="Arial"/>
          <w:sz w:val="20"/>
          <w:szCs w:val="20"/>
          <w:lang w:val="pl-PL"/>
        </w:rPr>
        <w:t>W dniu 9 stycznia 2012 r. Sąd Rejonowy dla Krakowa – Śródmieścia w Krakowie, XI Wydział Gospodarczy Krajowego Rejestru Sądowego zarejestrował spółkę CA Finance Sp. z o.o. W dniu 19 września 2012 r. Sąd Rejonowy dla Krakowa-Śródmieścia w Krakowie, XI Wydział Gospodarczy Krajowego Rejestru Sądowego zarejestrował zmianę nazwy spółki CA Finance Sp. z o.o. na Opso Sp. z o.o., podwyższenie jej kapitału zakładowego z 5 tys. zł do 205 tys. zł, zmianę udziałowca z iMed24 S.A. na Comarch S.A. oraz poszerzenie zakresu działalności o działalność gastronomiczną.</w:t>
      </w:r>
    </w:p>
    <w:p w:rsidR="00496C6C" w:rsidRPr="00765C97" w:rsidRDefault="00496C6C" w:rsidP="00496C6C">
      <w:pPr>
        <w:jc w:val="both"/>
        <w:rPr>
          <w:rFonts w:ascii="Arial" w:hAnsi="Arial" w:cs="Arial"/>
          <w:sz w:val="20"/>
          <w:szCs w:val="20"/>
          <w:lang w:val="pl-PL"/>
        </w:rPr>
      </w:pPr>
    </w:p>
    <w:p w:rsidR="00496C6C" w:rsidRPr="00765C97" w:rsidRDefault="00496C6C" w:rsidP="00496C6C">
      <w:pPr>
        <w:jc w:val="both"/>
        <w:rPr>
          <w:rFonts w:ascii="Arial" w:hAnsi="Arial" w:cs="Arial"/>
          <w:sz w:val="20"/>
          <w:szCs w:val="20"/>
          <w:lang w:val="pl-PL"/>
        </w:rPr>
      </w:pPr>
      <w:r w:rsidRPr="00765C97">
        <w:rPr>
          <w:rFonts w:ascii="Arial" w:hAnsi="Arial" w:cs="Arial"/>
          <w:sz w:val="20"/>
          <w:szCs w:val="20"/>
          <w:lang w:val="pl-PL"/>
        </w:rPr>
        <w:t xml:space="preserve">Dnia 27 stycznia 2012 r. Comarch S.A. poinformowała (RB-2-2012 z dnia 27 stycznia 2012 r.), że CASA Management and Consulting </w:t>
      </w:r>
      <w:r w:rsidR="0031442C" w:rsidRPr="00765C97">
        <w:rPr>
          <w:rFonts w:ascii="Arial" w:hAnsi="Arial" w:cs="Arial"/>
          <w:sz w:val="20"/>
          <w:szCs w:val="20"/>
          <w:lang w:val="pl-PL"/>
        </w:rPr>
        <w:t>Sp. z o.o. SK-A ("CASA"), jednostka</w:t>
      </w:r>
      <w:r w:rsidRPr="00765C97">
        <w:rPr>
          <w:rFonts w:ascii="Arial" w:hAnsi="Arial" w:cs="Arial"/>
          <w:sz w:val="20"/>
          <w:szCs w:val="20"/>
          <w:lang w:val="pl-PL"/>
        </w:rPr>
        <w:t xml:space="preserve"> zależna Comarch S.A., zakupiła 100 000 akcji zwykłych na okaziciela spółki A-MEA Informatik AG ("A-MEA") o wartości nominalnej 1 CHF (3,5147 PLN). Łączna cena nabycia nie przekroczy sumy 2 mln CHF (ok. 7,03 mln PLN) oraz wartości kapitałów własnych A-MEA na dzień 31 stycznia 2012 roku. Pełne rozliczenie transakcji nastąpi do końca pierwszego kwartału 2013 roku. W wyniku powyższej transakcji CASA posiada 100 000, tj. 100% akcji spółki A-MEA, uprawniających do 100 000, tj. 100% wszystkich głosów na walnym zgromadzeniu spółki. A-MEA jest firmą z długoletnim doświadczeniem w zakresie sprzedaży i wdrażania rozwiązań ERP (w tym Comarch ERP Enterprise) na rynku szwajcarskim.</w:t>
      </w:r>
    </w:p>
    <w:p w:rsidR="00496C6C" w:rsidRPr="00765C97" w:rsidRDefault="00496C6C" w:rsidP="00496C6C">
      <w:pPr>
        <w:jc w:val="both"/>
        <w:rPr>
          <w:rFonts w:ascii="Arial" w:hAnsi="Arial" w:cs="Arial"/>
          <w:sz w:val="20"/>
          <w:szCs w:val="20"/>
          <w:lang w:val="pl-PL"/>
        </w:rPr>
      </w:pPr>
    </w:p>
    <w:p w:rsidR="00496C6C" w:rsidRPr="00765C97" w:rsidRDefault="00496C6C" w:rsidP="00496C6C">
      <w:pPr>
        <w:jc w:val="both"/>
        <w:rPr>
          <w:rFonts w:ascii="Arial" w:hAnsi="Arial" w:cs="Arial"/>
          <w:sz w:val="20"/>
          <w:szCs w:val="20"/>
          <w:lang w:val="pl-PL"/>
        </w:rPr>
      </w:pPr>
      <w:r w:rsidRPr="00765C97">
        <w:rPr>
          <w:rFonts w:ascii="Arial" w:hAnsi="Arial" w:cs="Arial"/>
          <w:sz w:val="20"/>
          <w:szCs w:val="20"/>
          <w:lang w:val="pl-PL"/>
        </w:rPr>
        <w:t>Z dniem 24 lutego 2012 r. została podpisana umowa objęcia akcji serii E w kapitale zakładowym spółki MKS Cracovia SSA (raport bieżący nr 3/2012 z 27 lutego 2012 r. i korekta z 29 lutego 2012 r.). MKS Cracovia SSA złożyła Comarch S.A. ofertę objęcia akcji serii E w łącznej liczbie 38 631 sztuk o wartości nominalnej 100 zł. MKS Cracovia SSA zaoferowała Comarch S.A. objęcie akcji serii E po cenie emisyjnej wynoszącej łącznie 15 912 495,21 zł, tj. za cenę emisyjną wynoszącą 411,91 zł za jedną akcję serii E. Cena emisyjna powyższych akcji serii E została pokryta wkładem pieniężnym w wysokości 15 912 495,21 zł dokonanym przez Comarch S.A. w dniu 27 lutego 2012 r. Po rejestracji podwyższenia kapitału MKS Cracovia SSA (postanowienie Sądu Rejonowego dla Krakowa-Śródmieścia w Krakowie, XI Wydział Gospodarczy Krajowego Rejestru Sądowego z dnia 14 marca 2012 roku; raport bieżący nr 5/2012 z dnia 16 marca 2012 r.), Comarch S.A. dysponował  59,82% głosów na WZA spółki.</w:t>
      </w:r>
    </w:p>
    <w:p w:rsidR="00496C6C" w:rsidRPr="00765C97" w:rsidRDefault="00496C6C" w:rsidP="00496C6C">
      <w:pPr>
        <w:jc w:val="both"/>
        <w:rPr>
          <w:rFonts w:ascii="Arial" w:hAnsi="Arial" w:cs="Arial"/>
          <w:sz w:val="20"/>
          <w:szCs w:val="20"/>
          <w:lang w:val="pl-PL"/>
        </w:rPr>
      </w:pPr>
    </w:p>
    <w:p w:rsidR="00496C6C" w:rsidRPr="00765C97" w:rsidRDefault="00496C6C" w:rsidP="00496C6C">
      <w:pPr>
        <w:jc w:val="both"/>
        <w:rPr>
          <w:rFonts w:ascii="Arial" w:hAnsi="Arial" w:cs="Arial"/>
          <w:sz w:val="20"/>
          <w:szCs w:val="20"/>
          <w:lang w:val="pl-PL"/>
        </w:rPr>
      </w:pPr>
      <w:r w:rsidRPr="00765C97">
        <w:rPr>
          <w:rFonts w:ascii="Arial" w:hAnsi="Arial" w:cs="Arial"/>
          <w:sz w:val="20"/>
          <w:szCs w:val="20"/>
          <w:lang w:val="pl-PL"/>
        </w:rPr>
        <w:t>W dniu 9 marca 2012 roku Amtsgericht Dresden zarejestrował podwyższenie o 6,5 mln EUR kapitału akcyjnego Comarch AG. Akcje nowej emisji zostały objęte w całości przez Comarch S.A. W pierwszym kwartale 2012 roku Comarch S.A. dokonała też dopłat do kapitału zapasowego Comarch AG w kwocie 13 mln EUR a w drugim kwartale w kwocie 3 mln EUR.</w:t>
      </w:r>
    </w:p>
    <w:p w:rsidR="00496C6C" w:rsidRPr="00765C97" w:rsidRDefault="00496C6C" w:rsidP="00496C6C">
      <w:pPr>
        <w:jc w:val="both"/>
        <w:rPr>
          <w:rFonts w:ascii="Arial" w:hAnsi="Arial" w:cs="Arial"/>
          <w:sz w:val="20"/>
          <w:szCs w:val="20"/>
          <w:lang w:val="pl-PL"/>
        </w:rPr>
      </w:pPr>
    </w:p>
    <w:p w:rsidR="00496C6C" w:rsidRPr="00765C97" w:rsidRDefault="00496C6C" w:rsidP="00496C6C">
      <w:pPr>
        <w:jc w:val="both"/>
        <w:rPr>
          <w:rFonts w:ascii="Arial" w:hAnsi="Arial" w:cs="Arial"/>
          <w:sz w:val="20"/>
          <w:szCs w:val="20"/>
          <w:lang w:val="pl-PL"/>
        </w:rPr>
      </w:pPr>
      <w:r w:rsidRPr="00765C97">
        <w:rPr>
          <w:rFonts w:ascii="Arial" w:hAnsi="Arial" w:cs="Arial"/>
          <w:sz w:val="20"/>
          <w:szCs w:val="20"/>
          <w:lang w:val="pl-PL"/>
        </w:rPr>
        <w:t>W dniu 15 marca 2012 roku Sąd Rejonowy dla Krakowa-Śródmieścia w Krakowie, XI Wydział Gospodarczy Krajowego Rejestru Sądowego zarejestrował zmianę nazwy spółki iFin24 S.A. na Comarch  Polska S.A.</w:t>
      </w:r>
    </w:p>
    <w:p w:rsidR="00496C6C" w:rsidRPr="00765C97" w:rsidRDefault="00496C6C" w:rsidP="00496C6C">
      <w:pPr>
        <w:jc w:val="both"/>
        <w:rPr>
          <w:rFonts w:ascii="Arial" w:hAnsi="Arial" w:cs="Arial"/>
          <w:sz w:val="20"/>
          <w:szCs w:val="20"/>
          <w:lang w:val="pl-PL"/>
        </w:rPr>
      </w:pPr>
    </w:p>
    <w:p w:rsidR="00496C6C" w:rsidRPr="00765C97" w:rsidRDefault="00496C6C" w:rsidP="00496C6C">
      <w:pPr>
        <w:jc w:val="both"/>
        <w:rPr>
          <w:rFonts w:ascii="Arial" w:hAnsi="Arial" w:cs="Arial"/>
          <w:sz w:val="20"/>
          <w:szCs w:val="20"/>
          <w:lang w:val="pl-PL"/>
        </w:rPr>
      </w:pPr>
      <w:r w:rsidRPr="00765C97">
        <w:rPr>
          <w:rFonts w:ascii="Arial" w:hAnsi="Arial" w:cs="Arial"/>
          <w:sz w:val="20"/>
          <w:szCs w:val="20"/>
          <w:lang w:val="pl-PL"/>
        </w:rPr>
        <w:t>W dniu 20 marca 2012 r. została zarejestrowana w Companies House spółka Comarch UK Ltd. z siedzibą w Londynie. Kapitał w wysokości 50 tys. GBP opłacono w maju 2012 r.</w:t>
      </w:r>
    </w:p>
    <w:p w:rsidR="00496C6C" w:rsidRPr="00765C97" w:rsidRDefault="00496C6C" w:rsidP="00496C6C">
      <w:pPr>
        <w:jc w:val="both"/>
        <w:rPr>
          <w:rFonts w:ascii="Arial" w:hAnsi="Arial" w:cs="Arial"/>
          <w:sz w:val="20"/>
          <w:szCs w:val="20"/>
          <w:lang w:val="pl-PL"/>
        </w:rPr>
      </w:pPr>
    </w:p>
    <w:p w:rsidR="00496C6C" w:rsidRPr="00765C97" w:rsidRDefault="00496C6C" w:rsidP="00496C6C">
      <w:pPr>
        <w:jc w:val="both"/>
        <w:rPr>
          <w:rFonts w:ascii="Arial" w:hAnsi="Arial" w:cs="Arial"/>
          <w:sz w:val="20"/>
          <w:szCs w:val="20"/>
          <w:lang w:val="pl-PL"/>
        </w:rPr>
      </w:pPr>
      <w:r w:rsidRPr="00765C97">
        <w:rPr>
          <w:rFonts w:ascii="Arial" w:hAnsi="Arial" w:cs="Arial"/>
          <w:sz w:val="20"/>
          <w:szCs w:val="20"/>
          <w:lang w:val="pl-PL"/>
        </w:rPr>
        <w:t>Dnia 10 kwietnia 2012 roku Sąd Rejonowy dla Krakowa-Śródmieścia w Krakowie, XI Wydział Gospodarczy Krajowego Rejestru Sądowego zarejestrował podwyższenie o 250 000 zł kapitału zakładowego spółki iMed24 S.A.</w:t>
      </w:r>
    </w:p>
    <w:p w:rsidR="00496C6C" w:rsidRPr="00765C97" w:rsidRDefault="00496C6C" w:rsidP="00496C6C">
      <w:pPr>
        <w:jc w:val="both"/>
        <w:rPr>
          <w:rFonts w:ascii="Arial" w:hAnsi="Arial" w:cs="Arial"/>
          <w:sz w:val="20"/>
          <w:szCs w:val="20"/>
          <w:lang w:val="pl-PL"/>
        </w:rPr>
      </w:pPr>
    </w:p>
    <w:p w:rsidR="00496C6C" w:rsidRPr="00765C97" w:rsidRDefault="00496C6C" w:rsidP="00496C6C">
      <w:pPr>
        <w:jc w:val="both"/>
        <w:rPr>
          <w:rFonts w:ascii="Arial" w:hAnsi="Arial" w:cs="Arial"/>
          <w:sz w:val="20"/>
          <w:szCs w:val="20"/>
          <w:lang w:val="pl-PL"/>
        </w:rPr>
      </w:pPr>
      <w:r w:rsidRPr="00765C97">
        <w:rPr>
          <w:rFonts w:ascii="Arial" w:hAnsi="Arial" w:cs="Arial"/>
          <w:sz w:val="20"/>
          <w:szCs w:val="20"/>
          <w:lang w:val="pl-PL"/>
        </w:rPr>
        <w:t>W dniu 10 kwietnia 2012 roku Comarch AG poinformował zarząd Comarch Software und Beratung AG o przekroczeniu progu 95% udziału w kapitale akcyjnym spółki Comarch SuB AG i zgłosił żądanie zwołania Walnego Zgromadzenia Akcjonariuszy spółki celem podjęcia decyzji o przejęciu akcji dotychczasowych akcjonariuszy (mniejszościowych) przez Comarch AG w zamian za odpowiednie wynagrodzenie.</w:t>
      </w:r>
    </w:p>
    <w:p w:rsidR="00496C6C" w:rsidRPr="00765C97" w:rsidRDefault="00496C6C" w:rsidP="00496C6C">
      <w:pPr>
        <w:jc w:val="both"/>
        <w:rPr>
          <w:rFonts w:ascii="Arial" w:hAnsi="Arial" w:cs="Arial"/>
          <w:sz w:val="20"/>
          <w:szCs w:val="20"/>
          <w:lang w:val="pl-PL"/>
        </w:rPr>
      </w:pPr>
    </w:p>
    <w:p w:rsidR="00496C6C" w:rsidRPr="00765C97" w:rsidRDefault="00496C6C" w:rsidP="00496C6C">
      <w:pPr>
        <w:jc w:val="both"/>
        <w:rPr>
          <w:rFonts w:ascii="Arial" w:hAnsi="Arial" w:cs="Arial"/>
          <w:sz w:val="20"/>
          <w:szCs w:val="20"/>
          <w:lang w:val="pl-PL"/>
        </w:rPr>
      </w:pPr>
      <w:r w:rsidRPr="00765C97">
        <w:rPr>
          <w:rFonts w:ascii="Arial" w:hAnsi="Arial" w:cs="Arial"/>
          <w:sz w:val="20"/>
          <w:szCs w:val="20"/>
          <w:lang w:val="pl-PL"/>
        </w:rPr>
        <w:t>Dnia 27 kwietnia 2012 r. Zarząd Comarch S.A. poinformowa</w:t>
      </w:r>
      <w:r w:rsidR="007621BE" w:rsidRPr="00765C97">
        <w:rPr>
          <w:rFonts w:ascii="Arial" w:hAnsi="Arial" w:cs="Arial"/>
          <w:sz w:val="20"/>
          <w:szCs w:val="20"/>
          <w:lang w:val="pl-PL"/>
        </w:rPr>
        <w:t>ł o zakupie 50 udziałów spółki ESAProjekt</w:t>
      </w:r>
      <w:r w:rsidRPr="00765C97">
        <w:rPr>
          <w:rFonts w:ascii="Arial" w:hAnsi="Arial" w:cs="Arial"/>
          <w:sz w:val="20"/>
          <w:szCs w:val="20"/>
          <w:lang w:val="pl-PL"/>
        </w:rPr>
        <w:t xml:space="preserve"> sp. z o.o. ("ESAP</w:t>
      </w:r>
      <w:r w:rsidR="007621BE" w:rsidRPr="00765C97">
        <w:rPr>
          <w:rFonts w:ascii="Arial" w:hAnsi="Arial" w:cs="Arial"/>
          <w:sz w:val="20"/>
          <w:szCs w:val="20"/>
          <w:lang w:val="pl-PL"/>
        </w:rPr>
        <w:t>rojekt</w:t>
      </w:r>
      <w:r w:rsidRPr="00765C97">
        <w:rPr>
          <w:rFonts w:ascii="Arial" w:hAnsi="Arial" w:cs="Arial"/>
          <w:sz w:val="20"/>
          <w:szCs w:val="20"/>
          <w:lang w:val="pl-PL"/>
        </w:rPr>
        <w:t xml:space="preserve">") o wartości nominalnej 2 460 PLN każdy, przez CASA Management and Consulting </w:t>
      </w:r>
      <w:r w:rsidR="0031442C" w:rsidRPr="00765C97">
        <w:rPr>
          <w:rFonts w:ascii="Arial" w:hAnsi="Arial" w:cs="Arial"/>
          <w:sz w:val="20"/>
          <w:szCs w:val="20"/>
          <w:lang w:val="pl-PL"/>
        </w:rPr>
        <w:t>Sp. z o.o. SK-A ("CASA"), jednostkę</w:t>
      </w:r>
      <w:r w:rsidRPr="00765C97">
        <w:rPr>
          <w:rFonts w:ascii="Arial" w:hAnsi="Arial" w:cs="Arial"/>
          <w:sz w:val="20"/>
          <w:szCs w:val="20"/>
          <w:lang w:val="pl-PL"/>
        </w:rPr>
        <w:t xml:space="preserve"> zależną Comarch S</w:t>
      </w:r>
      <w:r w:rsidR="00BA34F3" w:rsidRPr="00765C97">
        <w:rPr>
          <w:rFonts w:ascii="Arial" w:hAnsi="Arial" w:cs="Arial"/>
          <w:sz w:val="20"/>
          <w:szCs w:val="20"/>
          <w:lang w:val="pl-PL"/>
        </w:rPr>
        <w:t>.</w:t>
      </w:r>
      <w:r w:rsidRPr="00765C97">
        <w:rPr>
          <w:rFonts w:ascii="Arial" w:hAnsi="Arial" w:cs="Arial"/>
          <w:sz w:val="20"/>
          <w:szCs w:val="20"/>
          <w:lang w:val="pl-PL"/>
        </w:rPr>
        <w:t xml:space="preserve">A. Łączna cena nabycia wynosi 12 200 000 PLN. W wyniku powyższej transakcji CASA posiada 50, tj. 100% udziałów spółki </w:t>
      </w:r>
      <w:r w:rsidR="007621BE" w:rsidRPr="00765C97">
        <w:rPr>
          <w:rFonts w:ascii="Arial" w:hAnsi="Arial" w:cs="Arial"/>
          <w:sz w:val="20"/>
          <w:szCs w:val="20"/>
          <w:lang w:val="pl-PL"/>
        </w:rPr>
        <w:t>ESAProjekt</w:t>
      </w:r>
      <w:r w:rsidRPr="00765C97">
        <w:rPr>
          <w:rFonts w:ascii="Arial" w:hAnsi="Arial" w:cs="Arial"/>
          <w:sz w:val="20"/>
          <w:szCs w:val="20"/>
          <w:lang w:val="pl-PL"/>
        </w:rPr>
        <w:t xml:space="preserve">, uprawniających do 50, tj. 100% wszystkich głosów na zgromadzeniu wspólników spółki. </w:t>
      </w:r>
      <w:r w:rsidR="007621BE" w:rsidRPr="00765C97">
        <w:rPr>
          <w:rFonts w:ascii="Arial" w:hAnsi="Arial" w:cs="Arial"/>
          <w:sz w:val="20"/>
          <w:szCs w:val="20"/>
          <w:lang w:val="pl-PL"/>
        </w:rPr>
        <w:t>ESAProjekt</w:t>
      </w:r>
      <w:r w:rsidRPr="00765C97">
        <w:rPr>
          <w:rFonts w:ascii="Arial" w:hAnsi="Arial" w:cs="Arial"/>
          <w:sz w:val="20"/>
          <w:szCs w:val="20"/>
          <w:lang w:val="pl-PL"/>
        </w:rPr>
        <w:t xml:space="preserve"> jest jednym z czołowych polskich producentów i dostawców kompleksowych rozwiązań informatycznych dla sektora zdrowia.</w:t>
      </w:r>
    </w:p>
    <w:p w:rsidR="00496C6C" w:rsidRPr="00765C97" w:rsidRDefault="00496C6C" w:rsidP="00496C6C">
      <w:pPr>
        <w:jc w:val="both"/>
        <w:rPr>
          <w:rFonts w:ascii="Arial" w:hAnsi="Arial" w:cs="Arial"/>
          <w:sz w:val="20"/>
          <w:szCs w:val="20"/>
          <w:lang w:val="pl-PL"/>
        </w:rPr>
      </w:pPr>
    </w:p>
    <w:p w:rsidR="00496C6C" w:rsidRPr="00765C97" w:rsidRDefault="00496C6C" w:rsidP="00496C6C">
      <w:pPr>
        <w:jc w:val="both"/>
        <w:rPr>
          <w:color w:val="1F497D"/>
          <w:lang w:val="pl-PL"/>
        </w:rPr>
      </w:pPr>
      <w:r w:rsidRPr="00765C97">
        <w:rPr>
          <w:rFonts w:ascii="Arial" w:hAnsi="Arial" w:cs="Arial"/>
          <w:sz w:val="20"/>
          <w:szCs w:val="20"/>
          <w:lang w:val="pl-PL"/>
        </w:rPr>
        <w:t xml:space="preserve">Dnia 25 maja 2012 r. zostało zarejestrowane podwyższenie kapitału zakładowego w spółce </w:t>
      </w:r>
      <w:r w:rsidRPr="00765C97">
        <w:rPr>
          <w:rFonts w:ascii="Arial" w:hAnsi="Arial"/>
          <w:sz w:val="20"/>
          <w:lang w:val="pl-PL"/>
        </w:rPr>
        <w:t>Comarch Vietnam Company Limited o kwotę 50 000 USD.</w:t>
      </w:r>
    </w:p>
    <w:p w:rsidR="00496C6C" w:rsidRPr="00765C97" w:rsidRDefault="00496C6C" w:rsidP="00496C6C">
      <w:pPr>
        <w:jc w:val="both"/>
        <w:rPr>
          <w:color w:val="1F497D"/>
          <w:lang w:val="pl-PL"/>
        </w:rPr>
      </w:pPr>
    </w:p>
    <w:p w:rsidR="00496C6C" w:rsidRPr="00765C97" w:rsidRDefault="00496C6C" w:rsidP="00496C6C">
      <w:pPr>
        <w:jc w:val="both"/>
        <w:rPr>
          <w:rFonts w:ascii="Arial" w:hAnsi="Arial" w:cs="Arial"/>
          <w:sz w:val="20"/>
          <w:szCs w:val="20"/>
          <w:lang w:val="pl-PL"/>
        </w:rPr>
      </w:pPr>
      <w:r w:rsidRPr="00765C97">
        <w:rPr>
          <w:rFonts w:ascii="Arial" w:hAnsi="Arial" w:cs="Arial"/>
          <w:sz w:val="20"/>
          <w:szCs w:val="20"/>
          <w:lang w:val="pl-PL"/>
        </w:rPr>
        <w:t>Dnia 20 czerwca 2012 roku Sąd Rejonowy dla Krakowa-Śródmieścia w Krakowie, XI Wydział Gospodarczy Krajowego Rejestru Sądowego zarejestrował podwyższenie kapitału zakładowego spółki Comarch Management Sp. z o.o. o 50 tys. zł.</w:t>
      </w:r>
    </w:p>
    <w:p w:rsidR="00496C6C" w:rsidRPr="00765C97" w:rsidRDefault="00496C6C" w:rsidP="00496C6C">
      <w:pPr>
        <w:jc w:val="both"/>
        <w:rPr>
          <w:rFonts w:ascii="Arial" w:hAnsi="Arial" w:cs="Arial"/>
          <w:sz w:val="20"/>
          <w:szCs w:val="20"/>
          <w:lang w:val="pl-PL"/>
        </w:rPr>
      </w:pPr>
    </w:p>
    <w:p w:rsidR="00496C6C" w:rsidRPr="00765C97" w:rsidRDefault="00496C6C" w:rsidP="00496C6C">
      <w:pPr>
        <w:tabs>
          <w:tab w:val="left" w:pos="360"/>
        </w:tabs>
        <w:adjustRightInd w:val="0"/>
        <w:jc w:val="both"/>
        <w:rPr>
          <w:rFonts w:ascii="Arial" w:hAnsi="Arial" w:cs="Arial"/>
          <w:sz w:val="20"/>
          <w:szCs w:val="20"/>
          <w:lang w:val="pl-PL"/>
        </w:rPr>
      </w:pPr>
      <w:r w:rsidRPr="00765C97">
        <w:rPr>
          <w:rFonts w:ascii="Arial" w:hAnsi="Arial" w:cs="Arial"/>
          <w:sz w:val="20"/>
          <w:szCs w:val="20"/>
          <w:lang w:val="pl-PL"/>
        </w:rPr>
        <w:t>Dnia 28 czerwca 2012 r. została zawarta umowa nabycia 30% udziałów spółki Comarch R&amp;D S.à. r.l. przez Comarch S.A. od dotychczasowego udziałowca mniejszościowego za kwotę 100 tys. euro.</w:t>
      </w:r>
    </w:p>
    <w:p w:rsidR="00496C6C" w:rsidRPr="00765C97" w:rsidRDefault="00496C6C" w:rsidP="00496C6C">
      <w:pPr>
        <w:tabs>
          <w:tab w:val="left" w:pos="360"/>
        </w:tabs>
        <w:adjustRightInd w:val="0"/>
        <w:jc w:val="both"/>
        <w:rPr>
          <w:rFonts w:ascii="Arial" w:hAnsi="Arial" w:cs="Arial"/>
          <w:sz w:val="20"/>
          <w:szCs w:val="20"/>
          <w:lang w:val="pl-PL"/>
        </w:rPr>
      </w:pPr>
    </w:p>
    <w:p w:rsidR="00496C6C" w:rsidRPr="00765C97" w:rsidRDefault="00496C6C" w:rsidP="00496C6C">
      <w:pPr>
        <w:jc w:val="both"/>
        <w:rPr>
          <w:rFonts w:ascii="Arial" w:hAnsi="Arial" w:cs="Arial"/>
          <w:sz w:val="20"/>
          <w:szCs w:val="20"/>
          <w:lang w:val="pl-PL"/>
        </w:rPr>
      </w:pPr>
      <w:r w:rsidRPr="00765C97">
        <w:rPr>
          <w:rFonts w:ascii="Arial" w:hAnsi="Arial" w:cs="Arial"/>
          <w:sz w:val="20"/>
          <w:szCs w:val="20"/>
          <w:lang w:val="pl-PL"/>
        </w:rPr>
        <w:t>Nadzwyczajne Walne Zgromadzanie Akcjonariuszy iMed24 S.A. podjęło w dniu 30 lipca 2012 roku uchwałę w sprawie podwyższenia kapitału zakładowego spółki z kwoty 1 250 000,00 PLN do kwoty 1 450 000,00 PLN. Podwyższenie kapitału zakładowego spółki zostanie dokonane przez emisję nowych akcji serii D w łącznej liczbie 2 000 o wartości nominalnej 100,00 PLN każda.</w:t>
      </w:r>
    </w:p>
    <w:p w:rsidR="00496C6C" w:rsidRPr="00765C97" w:rsidRDefault="00496C6C" w:rsidP="00496C6C">
      <w:pPr>
        <w:jc w:val="both"/>
        <w:rPr>
          <w:rFonts w:ascii="Arial" w:hAnsi="Arial" w:cs="Arial"/>
          <w:sz w:val="20"/>
          <w:szCs w:val="20"/>
          <w:lang w:val="pl-PL"/>
        </w:rPr>
      </w:pPr>
    </w:p>
    <w:p w:rsidR="00496C6C" w:rsidRPr="00765C97" w:rsidRDefault="00496C6C" w:rsidP="00496C6C">
      <w:pPr>
        <w:jc w:val="both"/>
        <w:rPr>
          <w:rFonts w:ascii="Arial" w:hAnsi="Arial" w:cs="Arial"/>
          <w:sz w:val="20"/>
          <w:szCs w:val="20"/>
          <w:lang w:val="pl-PL"/>
        </w:rPr>
      </w:pPr>
      <w:r w:rsidRPr="00765C97">
        <w:rPr>
          <w:rFonts w:ascii="Arial" w:hAnsi="Arial" w:cs="Arial"/>
          <w:sz w:val="20"/>
          <w:szCs w:val="20"/>
          <w:lang w:val="pl-PL"/>
        </w:rPr>
        <w:t xml:space="preserve">W dniu 13 sierpnia 2012 r. walne zgromadzenie akcjonariuszy CSuB podjęło uchwałę o przeniesieniu akcji z dotychczasowych akcjonariuszy mniejszościowych na akcjonariusza większościowego Comarch AG w zamian za wynagrodzenie w wysokości 2,95 euro za akcję.  </w:t>
      </w:r>
    </w:p>
    <w:p w:rsidR="00496C6C" w:rsidRPr="00765C97" w:rsidRDefault="00496C6C" w:rsidP="00496C6C">
      <w:pPr>
        <w:jc w:val="both"/>
        <w:rPr>
          <w:rFonts w:ascii="Arial" w:hAnsi="Arial" w:cs="Arial"/>
          <w:sz w:val="20"/>
          <w:szCs w:val="20"/>
          <w:lang w:val="pl-PL"/>
        </w:rPr>
      </w:pPr>
      <w:r w:rsidRPr="00765C97">
        <w:rPr>
          <w:rFonts w:ascii="Arial" w:hAnsi="Arial" w:cs="Arial"/>
          <w:sz w:val="20"/>
          <w:szCs w:val="20"/>
          <w:lang w:val="pl-PL"/>
        </w:rPr>
        <w:t xml:space="preserve"> </w:t>
      </w:r>
    </w:p>
    <w:p w:rsidR="00496C6C" w:rsidRPr="00765C97" w:rsidRDefault="00496C6C" w:rsidP="00496C6C">
      <w:pPr>
        <w:adjustRightInd w:val="0"/>
        <w:jc w:val="both"/>
        <w:rPr>
          <w:rFonts w:ascii="Arial" w:hAnsi="Arial" w:cs="Arial"/>
          <w:sz w:val="20"/>
          <w:szCs w:val="20"/>
          <w:lang w:val="pl-PL"/>
        </w:rPr>
      </w:pPr>
      <w:r w:rsidRPr="00765C97">
        <w:rPr>
          <w:rFonts w:ascii="Arial" w:hAnsi="Arial" w:cs="Arial"/>
          <w:sz w:val="20"/>
          <w:szCs w:val="20"/>
          <w:lang w:val="pl-PL"/>
        </w:rPr>
        <w:t>W dniu 17 sierpnia 2012 r. zostało zarejestrowane połączenie Comarch Schilling GmbH z Comarch SuB AG.</w:t>
      </w:r>
    </w:p>
    <w:p w:rsidR="00496C6C" w:rsidRPr="00765C97" w:rsidRDefault="00496C6C" w:rsidP="00496C6C">
      <w:pPr>
        <w:adjustRightInd w:val="0"/>
        <w:jc w:val="both"/>
        <w:rPr>
          <w:rFonts w:ascii="Arial" w:hAnsi="Arial" w:cs="Arial"/>
          <w:sz w:val="20"/>
          <w:szCs w:val="20"/>
          <w:lang w:val="pl-PL"/>
        </w:rPr>
      </w:pPr>
    </w:p>
    <w:p w:rsidR="00496C6C" w:rsidRPr="00765C97" w:rsidRDefault="00496C6C" w:rsidP="00496C6C">
      <w:pPr>
        <w:tabs>
          <w:tab w:val="left" w:pos="360"/>
        </w:tabs>
        <w:adjustRightInd w:val="0"/>
        <w:jc w:val="both"/>
        <w:rPr>
          <w:rFonts w:ascii="Arial" w:hAnsi="Arial" w:cs="Arial"/>
          <w:sz w:val="20"/>
          <w:szCs w:val="20"/>
          <w:lang w:val="pl-PL"/>
        </w:rPr>
      </w:pPr>
      <w:r w:rsidRPr="00765C97">
        <w:rPr>
          <w:rFonts w:ascii="Arial" w:hAnsi="Arial" w:cs="Arial"/>
          <w:sz w:val="20"/>
          <w:szCs w:val="20"/>
          <w:lang w:val="pl-PL"/>
        </w:rPr>
        <w:t>W dniu 21 sierpnia 2012 r. zostało zarejestrowane podwyższenie kapitału zakładowego w spółce CASA Management and Consulting Sp. z o.o. SK-A o 85 tys. zł. poprzez emisję 850 akcji o wartości nominalnej 100 zł każda.</w:t>
      </w:r>
    </w:p>
    <w:p w:rsidR="00496C6C" w:rsidRPr="00765C97" w:rsidRDefault="00496C6C" w:rsidP="00496C6C">
      <w:pPr>
        <w:tabs>
          <w:tab w:val="left" w:pos="360"/>
        </w:tabs>
        <w:adjustRightInd w:val="0"/>
        <w:jc w:val="both"/>
        <w:rPr>
          <w:rFonts w:ascii="Arial" w:hAnsi="Arial" w:cs="Arial"/>
          <w:sz w:val="20"/>
          <w:szCs w:val="20"/>
          <w:lang w:val="pl-PL"/>
        </w:rPr>
      </w:pPr>
    </w:p>
    <w:p w:rsidR="00496C6C" w:rsidRPr="00765C97" w:rsidRDefault="00496C6C" w:rsidP="00496C6C">
      <w:pPr>
        <w:jc w:val="both"/>
        <w:rPr>
          <w:rFonts w:ascii="Arial" w:hAnsi="Arial" w:cs="Arial"/>
          <w:sz w:val="20"/>
          <w:szCs w:val="20"/>
          <w:lang w:val="pl-PL"/>
        </w:rPr>
      </w:pPr>
      <w:r w:rsidRPr="00765C97">
        <w:rPr>
          <w:rFonts w:ascii="Arial" w:hAnsi="Arial" w:cs="Arial"/>
          <w:sz w:val="20"/>
          <w:szCs w:val="20"/>
          <w:lang w:val="pl-PL"/>
        </w:rPr>
        <w:t xml:space="preserve">Dnia 2 października 2012 r. Sąd Rejonowy dla Krakowa-Śródmieścia w Krakowie, XI Wydział Gospodarczy Krajowego Rejestru Sądowego zarejestrował podwyższenie kapitału zakładowego iMed24 S.A. z kwoty 1 250 000,00 PLN do kwoty 1 450 000,00 PLN. </w:t>
      </w:r>
    </w:p>
    <w:p w:rsidR="00496C6C" w:rsidRPr="00765C97" w:rsidRDefault="00496C6C" w:rsidP="00496C6C">
      <w:pPr>
        <w:pStyle w:val="Akapitzlist"/>
        <w:ind w:left="360"/>
        <w:jc w:val="both"/>
        <w:rPr>
          <w:rFonts w:ascii="Arial" w:hAnsi="Arial" w:cs="Arial"/>
          <w:sz w:val="20"/>
          <w:szCs w:val="20"/>
          <w:lang w:val="pl-PL"/>
        </w:rPr>
      </w:pPr>
    </w:p>
    <w:p w:rsidR="00496C6C" w:rsidRPr="00765C97" w:rsidRDefault="00496C6C" w:rsidP="00496C6C">
      <w:pPr>
        <w:jc w:val="both"/>
        <w:rPr>
          <w:rFonts w:ascii="Arial" w:hAnsi="Arial" w:cs="Arial"/>
          <w:sz w:val="20"/>
          <w:szCs w:val="20"/>
          <w:lang w:val="pl-PL"/>
        </w:rPr>
      </w:pPr>
      <w:r w:rsidRPr="00765C97">
        <w:rPr>
          <w:rFonts w:ascii="Arial" w:hAnsi="Arial" w:cs="Arial"/>
          <w:sz w:val="20"/>
          <w:szCs w:val="20"/>
          <w:lang w:val="pl-PL"/>
        </w:rPr>
        <w:t>Dnia 5 października 2012 r. (RB-15-2012) Comarch Software und Beratung AG („CSuB”) otrzymała postanowienie sądu rejestrowego w Monachium (Amtsgericht Munchen-Registergericht) z dnia 2 października 2012 roku rejestrujące uchwałę z dnia 13 sierpnia 2012 roku Walnego Zgromadzenia Akcjonariuszy spółki CSuB z siedzibą w Monachium w sprawie przeniesienia akcji CSuB z akcjonariuszy mniejszościowych spółki na akcjonariusza większościowego Comarch AG z siedzibą w Dreźnie. Wynikające z uchwały wynagrodzenie należne akcjonariuszom mniejszościowym zostało wypłacone. W związk</w:t>
      </w:r>
      <w:r w:rsidR="0031442C" w:rsidRPr="00765C97">
        <w:rPr>
          <w:rFonts w:ascii="Arial" w:hAnsi="Arial" w:cs="Arial"/>
          <w:sz w:val="20"/>
          <w:szCs w:val="20"/>
          <w:lang w:val="pl-PL"/>
        </w:rPr>
        <w:t>u z powyższym Comarch AG, jednostka</w:t>
      </w:r>
      <w:r w:rsidRPr="00765C97">
        <w:rPr>
          <w:rFonts w:ascii="Arial" w:hAnsi="Arial" w:cs="Arial"/>
          <w:sz w:val="20"/>
          <w:szCs w:val="20"/>
          <w:lang w:val="pl-PL"/>
        </w:rPr>
        <w:t xml:space="preserve"> zależna Comarch S.A., jest obecnie posiadaczem 100% akcji i 100% głosów spółki CSuB.</w:t>
      </w:r>
    </w:p>
    <w:p w:rsidR="00496C6C" w:rsidRPr="00765C97" w:rsidRDefault="00496C6C" w:rsidP="00496C6C">
      <w:pPr>
        <w:pStyle w:val="Akapitzlist"/>
        <w:ind w:left="360"/>
        <w:jc w:val="both"/>
        <w:rPr>
          <w:rFonts w:ascii="Arial" w:hAnsi="Arial" w:cs="Arial"/>
          <w:sz w:val="20"/>
          <w:szCs w:val="20"/>
          <w:lang w:val="pl-PL"/>
        </w:rPr>
      </w:pPr>
    </w:p>
    <w:p w:rsidR="00496C6C" w:rsidRPr="00765C97" w:rsidRDefault="00496C6C" w:rsidP="00496C6C">
      <w:pPr>
        <w:jc w:val="both"/>
        <w:rPr>
          <w:rFonts w:ascii="Arial" w:hAnsi="Arial" w:cs="Arial"/>
          <w:sz w:val="20"/>
          <w:szCs w:val="20"/>
          <w:lang w:val="pl-PL"/>
        </w:rPr>
      </w:pPr>
      <w:r w:rsidRPr="00765C97">
        <w:rPr>
          <w:rFonts w:ascii="Arial" w:hAnsi="Arial" w:cs="Arial"/>
          <w:sz w:val="20"/>
          <w:szCs w:val="20"/>
          <w:lang w:val="pl-PL"/>
        </w:rPr>
        <w:t>Nadzwyczajne Walne Zgromadzanie Akcjonariuszy iMed24 S.A. podjęło w dniu 29 października 2012 r. uchwałę w sprawie podwyższenia kapitału zakładowego spółki z kwoty 1 450 000,00 PLN do kwoty 1 600 000,00 PLN przez emisję nowych akcji serii E w łącznej liczbie 1 500 o wartości nominalnej 100,00 PLN każda. Niniejsze podwyższenie kapitału zakładowego zostało zarejestrowane w</w:t>
      </w:r>
      <w:r w:rsidRPr="00765C97">
        <w:rPr>
          <w:rFonts w:ascii="Arial" w:hAnsi="Arial"/>
          <w:sz w:val="20"/>
          <w:lang w:val="pl-PL"/>
        </w:rPr>
        <w:t xml:space="preserve"> dniu 22 listopada 2012 r. zgodnie z postanowieniem </w:t>
      </w:r>
      <w:r w:rsidRPr="00765C97">
        <w:rPr>
          <w:rFonts w:ascii="Arial" w:hAnsi="Arial" w:cs="Arial"/>
          <w:bCs/>
          <w:sz w:val="20"/>
          <w:szCs w:val="18"/>
          <w:lang w:val="pl-PL"/>
        </w:rPr>
        <w:t>Sądu Rejonowego dla Krakowa-Śródmieścia w Krakowie, XI Wydział Gospodarczy Krajowego Rejestru.</w:t>
      </w:r>
    </w:p>
    <w:p w:rsidR="00496C6C" w:rsidRPr="00765C97" w:rsidRDefault="00496C6C" w:rsidP="00496C6C">
      <w:pPr>
        <w:pStyle w:val="Akapitzlist"/>
        <w:ind w:left="360"/>
        <w:jc w:val="both"/>
        <w:rPr>
          <w:rFonts w:ascii="Arial" w:hAnsi="Arial" w:cs="Arial"/>
          <w:sz w:val="20"/>
          <w:szCs w:val="20"/>
          <w:lang w:val="pl-PL"/>
        </w:rPr>
      </w:pPr>
    </w:p>
    <w:p w:rsidR="00496C6C" w:rsidRPr="00765C97" w:rsidRDefault="00496C6C" w:rsidP="00496C6C">
      <w:pPr>
        <w:adjustRightInd w:val="0"/>
        <w:jc w:val="both"/>
        <w:rPr>
          <w:rFonts w:ascii="Arial" w:hAnsi="Arial"/>
          <w:sz w:val="20"/>
          <w:lang w:val="pl-PL"/>
        </w:rPr>
      </w:pPr>
      <w:r w:rsidRPr="00765C97">
        <w:rPr>
          <w:rFonts w:ascii="Arial" w:hAnsi="Arial" w:cs="Arial"/>
          <w:sz w:val="20"/>
          <w:szCs w:val="20"/>
          <w:lang w:val="pl-PL"/>
        </w:rPr>
        <w:t xml:space="preserve">W dniu 8 listopada 2012 r. została zakończona transakcja nabycia przez Comarch SAS udziałów spółki Comarch R&amp;D </w:t>
      </w:r>
      <w:r w:rsidRPr="00765C97">
        <w:rPr>
          <w:rFonts w:ascii="Arial" w:hAnsi="Arial"/>
          <w:sz w:val="20"/>
          <w:lang w:val="pl-PL"/>
        </w:rPr>
        <w:t>S.à r.l. od spółki Comarch AG.</w:t>
      </w:r>
    </w:p>
    <w:p w:rsidR="00496C6C" w:rsidRPr="00765C97" w:rsidRDefault="00496C6C" w:rsidP="00496C6C">
      <w:pPr>
        <w:adjustRightInd w:val="0"/>
        <w:jc w:val="both"/>
        <w:rPr>
          <w:rFonts w:ascii="Arial" w:hAnsi="Arial"/>
          <w:sz w:val="20"/>
          <w:lang w:val="pl-PL"/>
        </w:rPr>
      </w:pPr>
    </w:p>
    <w:p w:rsidR="00496C6C" w:rsidRPr="00765C97" w:rsidRDefault="00496C6C" w:rsidP="00496C6C">
      <w:pPr>
        <w:adjustRightInd w:val="0"/>
        <w:jc w:val="both"/>
        <w:rPr>
          <w:rFonts w:ascii="Arial" w:hAnsi="Arial" w:cs="Arial"/>
          <w:sz w:val="20"/>
          <w:szCs w:val="20"/>
          <w:lang w:val="pl-PL"/>
        </w:rPr>
      </w:pPr>
      <w:r w:rsidRPr="00765C97">
        <w:rPr>
          <w:rFonts w:ascii="Arial" w:hAnsi="Arial" w:cs="Arial"/>
          <w:sz w:val="20"/>
          <w:szCs w:val="20"/>
          <w:lang w:val="pl-PL"/>
        </w:rPr>
        <w:t>W dniu 13 listopada 2012 r. siedziba spółki Comarch Solutions GmbH została przeniesiona z Kirchbichl do Innsbrucka.</w:t>
      </w:r>
    </w:p>
    <w:p w:rsidR="00496C6C" w:rsidRPr="00765C97" w:rsidRDefault="00496C6C" w:rsidP="00496C6C">
      <w:pPr>
        <w:adjustRightInd w:val="0"/>
        <w:jc w:val="both"/>
        <w:rPr>
          <w:rFonts w:ascii="Arial" w:hAnsi="Arial" w:cs="Arial"/>
          <w:sz w:val="20"/>
          <w:szCs w:val="20"/>
          <w:lang w:val="pl-PL"/>
        </w:rPr>
      </w:pPr>
    </w:p>
    <w:p w:rsidR="00496C6C" w:rsidRPr="00765C97" w:rsidRDefault="00496C6C" w:rsidP="00496C6C">
      <w:pPr>
        <w:adjustRightInd w:val="0"/>
        <w:jc w:val="both"/>
        <w:rPr>
          <w:rFonts w:ascii="Arial" w:hAnsi="Arial" w:cs="Arial"/>
          <w:sz w:val="20"/>
          <w:szCs w:val="20"/>
          <w:lang w:val="pl-PL"/>
        </w:rPr>
      </w:pPr>
      <w:r w:rsidRPr="00765C97">
        <w:rPr>
          <w:rFonts w:ascii="Arial" w:hAnsi="Arial" w:cs="Arial"/>
          <w:sz w:val="20"/>
          <w:szCs w:val="20"/>
          <w:lang w:val="pl-PL"/>
        </w:rPr>
        <w:t>W dniu 14 grudnia 2012 r. Comarch Software und Beratung AG sprzedał 100% akcji spółki Comarch Swiss AG spółce CASA Management and Consulting Sp. z o.o. SK</w:t>
      </w:r>
      <w:r w:rsidR="00484410" w:rsidRPr="00765C97">
        <w:rPr>
          <w:rFonts w:ascii="Arial" w:hAnsi="Arial" w:cs="Arial"/>
          <w:sz w:val="20"/>
          <w:szCs w:val="20"/>
          <w:lang w:val="pl-PL"/>
        </w:rPr>
        <w:t>-</w:t>
      </w:r>
      <w:r w:rsidRPr="00765C97">
        <w:rPr>
          <w:rFonts w:ascii="Arial" w:hAnsi="Arial" w:cs="Arial"/>
          <w:sz w:val="20"/>
          <w:szCs w:val="20"/>
          <w:lang w:val="pl-PL"/>
        </w:rPr>
        <w:t>A.</w:t>
      </w:r>
    </w:p>
    <w:p w:rsidR="00496C6C" w:rsidRPr="00765C97" w:rsidRDefault="00496C6C" w:rsidP="00496C6C">
      <w:pPr>
        <w:adjustRightInd w:val="0"/>
        <w:jc w:val="both"/>
        <w:rPr>
          <w:rFonts w:ascii="Arial" w:hAnsi="Arial" w:cs="Arial"/>
          <w:sz w:val="20"/>
          <w:szCs w:val="20"/>
          <w:lang w:val="pl-PL"/>
        </w:rPr>
      </w:pPr>
    </w:p>
    <w:p w:rsidR="00496C6C" w:rsidRPr="00765C97" w:rsidRDefault="00496C6C" w:rsidP="00496C6C">
      <w:pPr>
        <w:adjustRightInd w:val="0"/>
        <w:jc w:val="both"/>
        <w:rPr>
          <w:rFonts w:ascii="Arial" w:hAnsi="Arial" w:cs="Arial"/>
          <w:sz w:val="20"/>
          <w:szCs w:val="20"/>
          <w:lang w:val="pl-PL"/>
        </w:rPr>
      </w:pPr>
      <w:r w:rsidRPr="00765C97">
        <w:rPr>
          <w:rFonts w:ascii="Arial" w:hAnsi="Arial" w:cs="Arial"/>
          <w:sz w:val="20"/>
          <w:szCs w:val="20"/>
          <w:lang w:val="pl-PL"/>
        </w:rPr>
        <w:t xml:space="preserve">Nadzwyczajne Walne Zgromadzanie Akcjonariuszy iMed24 S.A. podjęło w dniu 21 grudnia 2012 </w:t>
      </w:r>
      <w:r w:rsidR="00867B20" w:rsidRPr="00765C97">
        <w:rPr>
          <w:rFonts w:ascii="Arial" w:hAnsi="Arial" w:cs="Arial"/>
          <w:sz w:val="20"/>
          <w:szCs w:val="20"/>
          <w:lang w:val="pl-PL"/>
        </w:rPr>
        <w:t xml:space="preserve">r. </w:t>
      </w:r>
      <w:r w:rsidRPr="00765C97">
        <w:rPr>
          <w:rFonts w:ascii="Arial" w:hAnsi="Arial" w:cs="Arial"/>
          <w:sz w:val="20"/>
          <w:szCs w:val="20"/>
          <w:lang w:val="pl-PL"/>
        </w:rPr>
        <w:t xml:space="preserve">uchwałę w sprawie podwyższenia kapitału zakładowego spółki z kwoty 1 600 000,00 PLN do kwoty 1 750 000,00 PLN  przez emisję akcji serii F w łącznej liczbie 1 500 o wartości nominalnej 100,00 PLN każda. </w:t>
      </w:r>
    </w:p>
    <w:p w:rsidR="00496C6C" w:rsidRPr="00765C97" w:rsidRDefault="00496C6C" w:rsidP="00496C6C">
      <w:pPr>
        <w:adjustRightInd w:val="0"/>
        <w:jc w:val="both"/>
        <w:rPr>
          <w:rFonts w:ascii="Arial" w:hAnsi="Arial" w:cs="Arial"/>
          <w:sz w:val="20"/>
          <w:szCs w:val="20"/>
          <w:lang w:val="pl-PL"/>
        </w:rPr>
      </w:pPr>
    </w:p>
    <w:p w:rsidR="00496C6C" w:rsidRPr="00765C97" w:rsidRDefault="00496C6C" w:rsidP="00496C6C">
      <w:pPr>
        <w:adjustRightInd w:val="0"/>
        <w:jc w:val="both"/>
        <w:rPr>
          <w:rFonts w:ascii="Arial" w:hAnsi="Arial" w:cs="Arial"/>
          <w:sz w:val="20"/>
          <w:szCs w:val="20"/>
          <w:lang w:val="pl-PL"/>
        </w:rPr>
      </w:pPr>
      <w:r w:rsidRPr="00765C97">
        <w:rPr>
          <w:rFonts w:ascii="Arial" w:hAnsi="Arial" w:cs="Arial"/>
          <w:sz w:val="20"/>
          <w:szCs w:val="20"/>
          <w:lang w:val="pl-PL"/>
        </w:rPr>
        <w:t xml:space="preserve">Dnia 27 grudnia 2012 r. została zawarta umowa nabycia przez Comarch Management Sp. z o.o. SK-A od CCF FIZ 6 320 akcji w celu umorzenia. Cena sprzedaży wyniosła 237,35 zł za 1 akcję. </w:t>
      </w:r>
    </w:p>
    <w:p w:rsidR="00496C6C" w:rsidRPr="00765C97" w:rsidRDefault="00496C6C" w:rsidP="00496C6C">
      <w:pPr>
        <w:adjustRightInd w:val="0"/>
        <w:jc w:val="both"/>
        <w:rPr>
          <w:rFonts w:ascii="Arial" w:hAnsi="Arial" w:cs="Arial"/>
          <w:sz w:val="20"/>
          <w:szCs w:val="20"/>
          <w:lang w:val="pl-PL"/>
        </w:rPr>
      </w:pPr>
    </w:p>
    <w:p w:rsidR="00CC0764" w:rsidRPr="00765C97" w:rsidRDefault="00496C6C" w:rsidP="00496C6C">
      <w:pPr>
        <w:adjustRightInd w:val="0"/>
        <w:jc w:val="both"/>
        <w:rPr>
          <w:rFonts w:ascii="Arial" w:hAnsi="Arial" w:cs="Arial"/>
          <w:b/>
          <w:sz w:val="20"/>
          <w:szCs w:val="20"/>
          <w:lang w:val="pl-PL"/>
        </w:rPr>
      </w:pPr>
      <w:r w:rsidRPr="00765C97">
        <w:rPr>
          <w:rFonts w:ascii="Arial" w:hAnsi="Arial" w:cs="Arial"/>
          <w:sz w:val="20"/>
          <w:szCs w:val="20"/>
          <w:lang w:val="pl-PL"/>
        </w:rPr>
        <w:t>W czwartym kwartale 2012 r. Comarch S</w:t>
      </w:r>
      <w:r w:rsidR="00BA34F3" w:rsidRPr="00765C97">
        <w:rPr>
          <w:rFonts w:ascii="Arial" w:hAnsi="Arial" w:cs="Arial"/>
          <w:sz w:val="20"/>
          <w:szCs w:val="20"/>
          <w:lang w:val="pl-PL"/>
        </w:rPr>
        <w:t>.</w:t>
      </w:r>
      <w:r w:rsidRPr="00765C97">
        <w:rPr>
          <w:rFonts w:ascii="Arial" w:hAnsi="Arial" w:cs="Arial"/>
          <w:sz w:val="20"/>
          <w:szCs w:val="20"/>
          <w:lang w:val="pl-PL"/>
        </w:rPr>
        <w:t>A</w:t>
      </w:r>
      <w:r w:rsidR="00BA34F3" w:rsidRPr="00765C97">
        <w:rPr>
          <w:rFonts w:ascii="Arial" w:hAnsi="Arial" w:cs="Arial"/>
          <w:sz w:val="20"/>
          <w:szCs w:val="20"/>
          <w:lang w:val="pl-PL"/>
        </w:rPr>
        <w:t>.</w:t>
      </w:r>
      <w:r w:rsidRPr="00765C97">
        <w:rPr>
          <w:rFonts w:ascii="Arial" w:hAnsi="Arial" w:cs="Arial"/>
          <w:sz w:val="20"/>
          <w:szCs w:val="20"/>
          <w:lang w:val="pl-PL"/>
        </w:rPr>
        <w:t xml:space="preserve"> odkupiła 1 akcję spółki CA Consulting S</w:t>
      </w:r>
      <w:r w:rsidR="00BA34F3" w:rsidRPr="00765C97">
        <w:rPr>
          <w:rFonts w:ascii="Arial" w:hAnsi="Arial" w:cs="Arial"/>
          <w:sz w:val="20"/>
          <w:szCs w:val="20"/>
          <w:lang w:val="pl-PL"/>
        </w:rPr>
        <w:t>.</w:t>
      </w:r>
      <w:r w:rsidRPr="00765C97">
        <w:rPr>
          <w:rFonts w:ascii="Arial" w:hAnsi="Arial" w:cs="Arial"/>
          <w:sz w:val="20"/>
          <w:szCs w:val="20"/>
          <w:lang w:val="pl-PL"/>
        </w:rPr>
        <w:t>A</w:t>
      </w:r>
      <w:r w:rsidR="00BA34F3" w:rsidRPr="00765C97">
        <w:rPr>
          <w:rFonts w:ascii="Arial" w:hAnsi="Arial" w:cs="Arial"/>
          <w:sz w:val="20"/>
          <w:szCs w:val="20"/>
          <w:lang w:val="pl-PL"/>
        </w:rPr>
        <w:t>.</w:t>
      </w:r>
      <w:r w:rsidRPr="00765C97">
        <w:rPr>
          <w:rFonts w:ascii="Arial" w:hAnsi="Arial" w:cs="Arial"/>
          <w:sz w:val="20"/>
          <w:szCs w:val="20"/>
          <w:lang w:val="pl-PL"/>
        </w:rPr>
        <w:t xml:space="preserve"> od dotychczasowego indywidualnego akcjonariusza. Comarch S</w:t>
      </w:r>
      <w:r w:rsidR="00BA34F3" w:rsidRPr="00765C97">
        <w:rPr>
          <w:rFonts w:ascii="Arial" w:hAnsi="Arial" w:cs="Arial"/>
          <w:sz w:val="20"/>
          <w:szCs w:val="20"/>
          <w:lang w:val="pl-PL"/>
        </w:rPr>
        <w:t>.</w:t>
      </w:r>
      <w:r w:rsidRPr="00765C97">
        <w:rPr>
          <w:rFonts w:ascii="Arial" w:hAnsi="Arial" w:cs="Arial"/>
          <w:sz w:val="20"/>
          <w:szCs w:val="20"/>
          <w:lang w:val="pl-PL"/>
        </w:rPr>
        <w:t>A</w:t>
      </w:r>
      <w:r w:rsidR="00BA34F3" w:rsidRPr="00765C97">
        <w:rPr>
          <w:rFonts w:ascii="Arial" w:hAnsi="Arial" w:cs="Arial"/>
          <w:sz w:val="20"/>
          <w:szCs w:val="20"/>
          <w:lang w:val="pl-PL"/>
        </w:rPr>
        <w:t>.</w:t>
      </w:r>
      <w:r w:rsidRPr="00765C97">
        <w:rPr>
          <w:rFonts w:ascii="Arial" w:hAnsi="Arial" w:cs="Arial"/>
          <w:sz w:val="20"/>
          <w:szCs w:val="20"/>
          <w:lang w:val="pl-PL"/>
        </w:rPr>
        <w:t xml:space="preserve"> jest w posiadaniu 100% udziałów i głosów w spółce CA Consulting S</w:t>
      </w:r>
      <w:r w:rsidR="00BA34F3" w:rsidRPr="00765C97">
        <w:rPr>
          <w:rFonts w:ascii="Arial" w:hAnsi="Arial" w:cs="Arial"/>
          <w:sz w:val="20"/>
          <w:szCs w:val="20"/>
          <w:lang w:val="pl-PL"/>
        </w:rPr>
        <w:t>.</w:t>
      </w:r>
      <w:r w:rsidRPr="00765C97">
        <w:rPr>
          <w:rFonts w:ascii="Arial" w:hAnsi="Arial" w:cs="Arial"/>
          <w:sz w:val="20"/>
          <w:szCs w:val="20"/>
          <w:lang w:val="pl-PL"/>
        </w:rPr>
        <w:t>A.</w:t>
      </w:r>
    </w:p>
    <w:p w:rsidR="00B24DA9" w:rsidRPr="00765C97" w:rsidRDefault="00B24DA9" w:rsidP="00135A9A">
      <w:pPr>
        <w:pStyle w:val="Nagwek3"/>
        <w:numPr>
          <w:ilvl w:val="1"/>
          <w:numId w:val="21"/>
        </w:numPr>
        <w:spacing w:after="240"/>
        <w:ind w:left="567" w:hanging="425"/>
        <w:rPr>
          <w:sz w:val="20"/>
          <w:lang w:val="pl-PL"/>
        </w:rPr>
      </w:pPr>
      <w:bookmarkStart w:id="23" w:name="_Toc353973201"/>
      <w:r w:rsidRPr="00765C97">
        <w:rPr>
          <w:sz w:val="20"/>
          <w:lang w:val="pl-PL"/>
        </w:rPr>
        <w:t xml:space="preserve">Zmiany </w:t>
      </w:r>
      <w:r w:rsidR="005D486B" w:rsidRPr="00765C97">
        <w:rPr>
          <w:sz w:val="20"/>
          <w:lang w:val="pl-PL"/>
        </w:rPr>
        <w:t xml:space="preserve">właścicielskie i </w:t>
      </w:r>
      <w:r w:rsidR="000B057C" w:rsidRPr="00765C97">
        <w:rPr>
          <w:sz w:val="20"/>
          <w:lang w:val="pl-PL"/>
        </w:rPr>
        <w:t xml:space="preserve">zmiany </w:t>
      </w:r>
      <w:r w:rsidRPr="00765C97">
        <w:rPr>
          <w:sz w:val="20"/>
          <w:lang w:val="pl-PL"/>
        </w:rPr>
        <w:t>w strukturze organizacyjnej po dacie bilansu</w:t>
      </w:r>
      <w:bookmarkEnd w:id="23"/>
    </w:p>
    <w:p w:rsidR="00110A6C" w:rsidRPr="00765C97" w:rsidRDefault="00110A6C" w:rsidP="00110A6C">
      <w:pPr>
        <w:jc w:val="both"/>
        <w:rPr>
          <w:rFonts w:ascii="Arial" w:hAnsi="Arial"/>
          <w:sz w:val="20"/>
          <w:lang w:val="pl-PL"/>
        </w:rPr>
      </w:pPr>
      <w:r w:rsidRPr="00765C97">
        <w:rPr>
          <w:rFonts w:ascii="Arial" w:hAnsi="Arial"/>
          <w:sz w:val="20"/>
          <w:lang w:val="pl-PL"/>
        </w:rPr>
        <w:t xml:space="preserve">W dniu 21 stycznia 2013 </w:t>
      </w:r>
      <w:r w:rsidR="00D033C4" w:rsidRPr="00765C97">
        <w:rPr>
          <w:rFonts w:ascii="Arial" w:hAnsi="Arial"/>
          <w:sz w:val="20"/>
          <w:lang w:val="pl-PL"/>
        </w:rPr>
        <w:t xml:space="preserve">r. </w:t>
      </w:r>
      <w:r w:rsidRPr="00765C97">
        <w:rPr>
          <w:rFonts w:ascii="Arial" w:hAnsi="Arial"/>
          <w:sz w:val="20"/>
          <w:lang w:val="pl-PL"/>
        </w:rPr>
        <w:t>została zarejestrowana CAMS AG z siedzibą w Luzern w Szwajcarii. 51% udziałów należy do CASA Management and Consulting Sp. z o.o. SK-A.</w:t>
      </w:r>
    </w:p>
    <w:p w:rsidR="00110A6C" w:rsidRPr="00765C97" w:rsidRDefault="00110A6C" w:rsidP="00110A6C">
      <w:pPr>
        <w:jc w:val="both"/>
        <w:rPr>
          <w:rFonts w:ascii="Arial" w:hAnsi="Arial"/>
          <w:sz w:val="20"/>
          <w:lang w:val="pl-PL"/>
        </w:rPr>
      </w:pPr>
    </w:p>
    <w:p w:rsidR="00110A6C" w:rsidRPr="00765C97" w:rsidRDefault="00110A6C" w:rsidP="00110A6C">
      <w:pPr>
        <w:jc w:val="both"/>
        <w:rPr>
          <w:rFonts w:ascii="Arial" w:hAnsi="Arial"/>
          <w:sz w:val="20"/>
          <w:lang w:val="pl-PL"/>
        </w:rPr>
      </w:pPr>
      <w:r w:rsidRPr="00765C97">
        <w:rPr>
          <w:rFonts w:ascii="Arial" w:hAnsi="Arial"/>
          <w:sz w:val="20"/>
          <w:lang w:val="pl-PL"/>
        </w:rPr>
        <w:t>W dniach 8-11 lutego 2013 r. CASA Management and Consulting Sp. z o.o. SK-A dokonała zapłaty drugiej części wynagrodzenia w wysokości 300 000 CHF za nabyte w 2012 r. akcje A</w:t>
      </w:r>
      <w:r w:rsidR="00D54D0A" w:rsidRPr="00765C97">
        <w:rPr>
          <w:rFonts w:ascii="Arial" w:hAnsi="Arial"/>
          <w:sz w:val="20"/>
          <w:lang w:val="pl-PL"/>
        </w:rPr>
        <w:t>-</w:t>
      </w:r>
      <w:r w:rsidRPr="00765C97">
        <w:rPr>
          <w:rFonts w:ascii="Arial" w:hAnsi="Arial"/>
          <w:sz w:val="20"/>
          <w:lang w:val="pl-PL"/>
        </w:rPr>
        <w:t xml:space="preserve">MEA Informatik AG. </w:t>
      </w:r>
    </w:p>
    <w:p w:rsidR="00110A6C" w:rsidRPr="00765C97" w:rsidRDefault="00110A6C" w:rsidP="00110A6C">
      <w:pPr>
        <w:jc w:val="both"/>
        <w:rPr>
          <w:rFonts w:ascii="Arial" w:hAnsi="Arial"/>
          <w:sz w:val="20"/>
          <w:lang w:val="pl-PL"/>
        </w:rPr>
      </w:pPr>
    </w:p>
    <w:p w:rsidR="00110A6C" w:rsidRPr="00765C97" w:rsidRDefault="00110A6C" w:rsidP="00110A6C">
      <w:pPr>
        <w:jc w:val="both"/>
        <w:rPr>
          <w:rFonts w:ascii="Arial" w:hAnsi="Arial"/>
          <w:sz w:val="20"/>
          <w:lang w:val="pl-PL"/>
        </w:rPr>
      </w:pPr>
      <w:r w:rsidRPr="00765C97">
        <w:rPr>
          <w:rFonts w:ascii="Arial" w:hAnsi="Arial"/>
          <w:sz w:val="20"/>
          <w:lang w:val="pl-PL"/>
        </w:rPr>
        <w:t xml:space="preserve">W dniu 12 lutego 2013 r. zgodnie z postanowieniem </w:t>
      </w:r>
      <w:r w:rsidRPr="00765C97">
        <w:rPr>
          <w:rFonts w:ascii="Arial" w:hAnsi="Arial" w:cs="Arial"/>
          <w:bCs/>
          <w:sz w:val="20"/>
          <w:szCs w:val="18"/>
          <w:lang w:val="pl-PL"/>
        </w:rPr>
        <w:t>Sądu Rejonowego dla Krakowa-Śródmieścia w Krakowie, XI Wydział Gospodarczy Krajowego Rejestru Sądowego zostało zarejestrowane podwyższenie kapitału zakładowego spółki iMed24 S</w:t>
      </w:r>
      <w:r w:rsidR="00BA34F3" w:rsidRPr="00765C97">
        <w:rPr>
          <w:rFonts w:ascii="Arial" w:hAnsi="Arial" w:cs="Arial"/>
          <w:bCs/>
          <w:sz w:val="20"/>
          <w:szCs w:val="18"/>
          <w:lang w:val="pl-PL"/>
        </w:rPr>
        <w:t>.</w:t>
      </w:r>
      <w:r w:rsidRPr="00765C97">
        <w:rPr>
          <w:rFonts w:ascii="Arial" w:hAnsi="Arial" w:cs="Arial"/>
          <w:bCs/>
          <w:sz w:val="20"/>
          <w:szCs w:val="18"/>
          <w:lang w:val="pl-PL"/>
        </w:rPr>
        <w:t>A</w:t>
      </w:r>
      <w:r w:rsidR="00BA34F3" w:rsidRPr="00765C97">
        <w:rPr>
          <w:rFonts w:ascii="Arial" w:hAnsi="Arial" w:cs="Arial"/>
          <w:bCs/>
          <w:sz w:val="20"/>
          <w:szCs w:val="18"/>
          <w:lang w:val="pl-PL"/>
        </w:rPr>
        <w:t>.</w:t>
      </w:r>
      <w:r w:rsidRPr="00765C97">
        <w:rPr>
          <w:rFonts w:ascii="Arial" w:hAnsi="Arial" w:cs="Arial"/>
          <w:bCs/>
          <w:sz w:val="20"/>
          <w:szCs w:val="18"/>
          <w:lang w:val="pl-PL"/>
        </w:rPr>
        <w:t xml:space="preserve"> </w:t>
      </w:r>
      <w:r w:rsidRPr="00765C97">
        <w:rPr>
          <w:rFonts w:ascii="Arial" w:hAnsi="Arial" w:cs="Arial"/>
          <w:sz w:val="20"/>
          <w:szCs w:val="20"/>
          <w:lang w:val="pl-PL"/>
        </w:rPr>
        <w:t>z kwoty 1 600 000,00 PLN</w:t>
      </w:r>
      <w:r w:rsidRPr="00765C97">
        <w:rPr>
          <w:rFonts w:ascii="Arial" w:hAnsi="Arial" w:cs="Arial"/>
          <w:bCs/>
          <w:sz w:val="20"/>
          <w:szCs w:val="18"/>
          <w:lang w:val="pl-PL"/>
        </w:rPr>
        <w:t xml:space="preserve"> </w:t>
      </w:r>
      <w:r w:rsidRPr="00765C97">
        <w:rPr>
          <w:rFonts w:ascii="Arial" w:hAnsi="Arial" w:cs="Arial"/>
          <w:sz w:val="20"/>
          <w:szCs w:val="20"/>
          <w:lang w:val="pl-PL"/>
        </w:rPr>
        <w:t>do kwoty 1 750 000,00 PLN</w:t>
      </w:r>
      <w:r w:rsidRPr="00765C97">
        <w:rPr>
          <w:rFonts w:ascii="Arial" w:hAnsi="Arial" w:cs="Arial"/>
          <w:bCs/>
          <w:sz w:val="20"/>
          <w:szCs w:val="18"/>
          <w:lang w:val="pl-PL"/>
        </w:rPr>
        <w:t>.</w:t>
      </w:r>
    </w:p>
    <w:p w:rsidR="00110A6C" w:rsidRPr="00765C97" w:rsidRDefault="00110A6C" w:rsidP="00110A6C">
      <w:pPr>
        <w:jc w:val="both"/>
        <w:rPr>
          <w:rFonts w:ascii="Arial" w:hAnsi="Arial"/>
          <w:sz w:val="20"/>
          <w:lang w:val="pl-PL"/>
        </w:rPr>
      </w:pPr>
    </w:p>
    <w:p w:rsidR="00C24263" w:rsidRPr="00765C97" w:rsidRDefault="00110A6C" w:rsidP="00110A6C">
      <w:pPr>
        <w:jc w:val="both"/>
        <w:rPr>
          <w:rFonts w:ascii="Arial" w:hAnsi="Arial"/>
          <w:sz w:val="20"/>
          <w:lang w:val="pl-PL"/>
        </w:rPr>
      </w:pPr>
      <w:r w:rsidRPr="00765C97">
        <w:rPr>
          <w:rFonts w:ascii="Arial" w:hAnsi="Arial"/>
          <w:sz w:val="20"/>
          <w:lang w:val="pl-PL"/>
        </w:rPr>
        <w:t>W dniu 20 lutego 2013 r. Comarch S</w:t>
      </w:r>
      <w:r w:rsidR="00BA34F3" w:rsidRPr="00765C97">
        <w:rPr>
          <w:rFonts w:ascii="Arial" w:hAnsi="Arial"/>
          <w:sz w:val="20"/>
          <w:lang w:val="pl-PL"/>
        </w:rPr>
        <w:t>.</w:t>
      </w:r>
      <w:r w:rsidRPr="00765C97">
        <w:rPr>
          <w:rFonts w:ascii="Arial" w:hAnsi="Arial"/>
          <w:sz w:val="20"/>
          <w:lang w:val="pl-PL"/>
        </w:rPr>
        <w:t>A</w:t>
      </w:r>
      <w:r w:rsidR="00BA34F3" w:rsidRPr="00765C97">
        <w:rPr>
          <w:rFonts w:ascii="Arial" w:hAnsi="Arial"/>
          <w:sz w:val="20"/>
          <w:lang w:val="pl-PL"/>
        </w:rPr>
        <w:t>.</w:t>
      </w:r>
      <w:r w:rsidRPr="00765C97">
        <w:rPr>
          <w:rFonts w:ascii="Arial" w:hAnsi="Arial"/>
          <w:sz w:val="20"/>
          <w:lang w:val="pl-PL"/>
        </w:rPr>
        <w:t xml:space="preserve"> podpisała umowę objęcia akcji serii F w kapitale zakładowym spółki MKS Cracovia SSA. MKS Cracovia SSA złożyła Comarch S</w:t>
      </w:r>
      <w:r w:rsidR="00BA34F3" w:rsidRPr="00765C97">
        <w:rPr>
          <w:rFonts w:ascii="Arial" w:hAnsi="Arial"/>
          <w:sz w:val="20"/>
          <w:lang w:val="pl-PL"/>
        </w:rPr>
        <w:t>.</w:t>
      </w:r>
      <w:r w:rsidRPr="00765C97">
        <w:rPr>
          <w:rFonts w:ascii="Arial" w:hAnsi="Arial"/>
          <w:sz w:val="20"/>
          <w:lang w:val="pl-PL"/>
        </w:rPr>
        <w:t>A</w:t>
      </w:r>
      <w:r w:rsidR="00BA34F3" w:rsidRPr="00765C97">
        <w:rPr>
          <w:rFonts w:ascii="Arial" w:hAnsi="Arial"/>
          <w:sz w:val="20"/>
          <w:lang w:val="pl-PL"/>
        </w:rPr>
        <w:t>.</w:t>
      </w:r>
      <w:r w:rsidRPr="00765C97">
        <w:rPr>
          <w:rFonts w:ascii="Arial" w:hAnsi="Arial"/>
          <w:sz w:val="20"/>
          <w:lang w:val="pl-PL"/>
        </w:rPr>
        <w:t xml:space="preserve"> ofertę objęcia akcji serii F w łącznej liczbie 11 400 sztuk o wartości nominalnej 100 zł. MKS Cracovia SSA zaoferowała Comarch S</w:t>
      </w:r>
      <w:r w:rsidR="00BA34F3" w:rsidRPr="00765C97">
        <w:rPr>
          <w:rFonts w:ascii="Arial" w:hAnsi="Arial"/>
          <w:sz w:val="20"/>
          <w:lang w:val="pl-PL"/>
        </w:rPr>
        <w:t>.</w:t>
      </w:r>
      <w:r w:rsidRPr="00765C97">
        <w:rPr>
          <w:rFonts w:ascii="Arial" w:hAnsi="Arial"/>
          <w:sz w:val="20"/>
          <w:lang w:val="pl-PL"/>
        </w:rPr>
        <w:t>A</w:t>
      </w:r>
      <w:r w:rsidR="00BA34F3" w:rsidRPr="00765C97">
        <w:rPr>
          <w:rFonts w:ascii="Arial" w:hAnsi="Arial"/>
          <w:sz w:val="20"/>
          <w:lang w:val="pl-PL"/>
        </w:rPr>
        <w:t>.</w:t>
      </w:r>
      <w:r w:rsidRPr="00765C97">
        <w:rPr>
          <w:rFonts w:ascii="Arial" w:hAnsi="Arial"/>
          <w:sz w:val="20"/>
          <w:lang w:val="pl-PL"/>
        </w:rPr>
        <w:t xml:space="preserve"> objęcie akcji serii F po cenie emisyjnej wynoszącej łącznie 4 695 774  zł tj. za cenę emisyjną wynoszącą 411,91 zł za jedną akcję serii F.  Cena emisyjna powyższych akcji serii F została pokryta wkładem pieniężnym w wysokości 4 695 774 zł dokonanym przez Comarch S</w:t>
      </w:r>
      <w:r w:rsidR="00BA34F3" w:rsidRPr="00765C97">
        <w:rPr>
          <w:rFonts w:ascii="Arial" w:hAnsi="Arial"/>
          <w:sz w:val="20"/>
          <w:lang w:val="pl-PL"/>
        </w:rPr>
        <w:t>.</w:t>
      </w:r>
      <w:r w:rsidRPr="00765C97">
        <w:rPr>
          <w:rFonts w:ascii="Arial" w:hAnsi="Arial"/>
          <w:sz w:val="20"/>
          <w:lang w:val="pl-PL"/>
        </w:rPr>
        <w:t>A</w:t>
      </w:r>
      <w:r w:rsidR="00BA34F3" w:rsidRPr="00765C97">
        <w:rPr>
          <w:rFonts w:ascii="Arial" w:hAnsi="Arial"/>
          <w:sz w:val="20"/>
          <w:lang w:val="pl-PL"/>
        </w:rPr>
        <w:t>.</w:t>
      </w:r>
      <w:r w:rsidRPr="00765C97">
        <w:rPr>
          <w:rFonts w:ascii="Arial" w:hAnsi="Arial"/>
          <w:sz w:val="20"/>
          <w:lang w:val="pl-PL"/>
        </w:rPr>
        <w:t xml:space="preserve"> w dniu 20 lutego 2013 r. Po rejestracji podwyższenia kapitału MKS Cracovia SSA </w:t>
      </w:r>
      <w:r w:rsidRPr="00765C97">
        <w:rPr>
          <w:rFonts w:ascii="Arial" w:hAnsi="Arial" w:cs="Arial"/>
          <w:sz w:val="20"/>
          <w:szCs w:val="20"/>
          <w:lang w:val="pl-PL"/>
        </w:rPr>
        <w:t>(postanowienie Sądu Rejonowego dla Krakowa-Śródmieścia w Krakowie, XI Wydział Gospodarczy Krajowego Rejestru Sądowego z dnia 6 marca 2013 roku; raport bieżący nr 6/2013 z dnia 14 marca 2013 r.)</w:t>
      </w:r>
      <w:r w:rsidRPr="00765C97">
        <w:rPr>
          <w:rFonts w:ascii="Arial" w:hAnsi="Arial"/>
          <w:sz w:val="20"/>
          <w:lang w:val="pl-PL"/>
        </w:rPr>
        <w:t>, Comarch S</w:t>
      </w:r>
      <w:r w:rsidR="00BA34F3" w:rsidRPr="00765C97">
        <w:rPr>
          <w:rFonts w:ascii="Arial" w:hAnsi="Arial"/>
          <w:sz w:val="20"/>
          <w:lang w:val="pl-PL"/>
        </w:rPr>
        <w:t>.</w:t>
      </w:r>
      <w:r w:rsidRPr="00765C97">
        <w:rPr>
          <w:rFonts w:ascii="Arial" w:hAnsi="Arial"/>
          <w:sz w:val="20"/>
          <w:lang w:val="pl-PL"/>
        </w:rPr>
        <w:t>A</w:t>
      </w:r>
      <w:r w:rsidR="00BA34F3" w:rsidRPr="00765C97">
        <w:rPr>
          <w:rFonts w:ascii="Arial" w:hAnsi="Arial"/>
          <w:sz w:val="20"/>
          <w:lang w:val="pl-PL"/>
        </w:rPr>
        <w:t>.</w:t>
      </w:r>
      <w:r w:rsidRPr="00765C97">
        <w:rPr>
          <w:rFonts w:ascii="Arial" w:hAnsi="Arial"/>
          <w:sz w:val="20"/>
          <w:lang w:val="pl-PL"/>
        </w:rPr>
        <w:t xml:space="preserve"> będzie dysponuje 62,16% głosów na WZA spółki. O szczegółach </w:t>
      </w:r>
      <w:r w:rsidR="006724E3" w:rsidRPr="00765C97">
        <w:rPr>
          <w:rFonts w:ascii="Arial" w:hAnsi="Arial"/>
          <w:sz w:val="20"/>
          <w:lang w:val="pl-PL"/>
        </w:rPr>
        <w:t>S</w:t>
      </w:r>
      <w:r w:rsidRPr="00765C97">
        <w:rPr>
          <w:rFonts w:ascii="Arial" w:hAnsi="Arial"/>
          <w:sz w:val="20"/>
          <w:lang w:val="pl-PL"/>
        </w:rPr>
        <w:t>półka informowała raportem bieżącym nr 4/2013.</w:t>
      </w:r>
    </w:p>
    <w:p w:rsidR="00CE7D37" w:rsidRPr="00765C97" w:rsidRDefault="00CE7D37" w:rsidP="00110A6C">
      <w:pPr>
        <w:jc w:val="both"/>
        <w:rPr>
          <w:rFonts w:ascii="Arial" w:hAnsi="Arial"/>
          <w:sz w:val="20"/>
          <w:lang w:val="pl-PL"/>
        </w:rPr>
      </w:pPr>
    </w:p>
    <w:p w:rsidR="00CE7D37" w:rsidRPr="00765C97" w:rsidRDefault="00CE7D37" w:rsidP="00CE7D37">
      <w:pPr>
        <w:jc w:val="both"/>
        <w:rPr>
          <w:rFonts w:ascii="Arial" w:hAnsi="Arial" w:cs="Arial"/>
          <w:sz w:val="20"/>
          <w:szCs w:val="20"/>
          <w:lang w:val="pl-PL"/>
        </w:rPr>
      </w:pPr>
      <w:r w:rsidRPr="00765C97">
        <w:rPr>
          <w:rFonts w:ascii="Arial" w:hAnsi="Arial" w:cs="Arial"/>
          <w:sz w:val="20"/>
          <w:szCs w:val="20"/>
          <w:lang w:val="pl-PL"/>
        </w:rPr>
        <w:t>Nadzwyczajne Walne Zgromadzanie Akcjonariuszy iMed24 S.A. podjęło w dniu 26 marca 2013 r. uchwałę w sprawie podwyższenia kapitału zakładowego spółki z kwoty 1 750 000,00 PLN do kwoty 2 050 000,00 PLN  przez emisję akcji serii G w łącznej liczbie 3 000 o wartości nominalnej 100,00 PLN każda.</w:t>
      </w:r>
    </w:p>
    <w:p w:rsidR="00CE7D37" w:rsidRPr="00765C97" w:rsidRDefault="00CE7D37" w:rsidP="00CE7D37">
      <w:pPr>
        <w:rPr>
          <w:rFonts w:ascii="Arial" w:hAnsi="Arial" w:cs="Arial"/>
          <w:sz w:val="20"/>
          <w:szCs w:val="20"/>
          <w:lang w:val="pl-PL"/>
        </w:rPr>
      </w:pPr>
    </w:p>
    <w:p w:rsidR="00CE7D37" w:rsidRPr="00765C97" w:rsidRDefault="00CE7D37" w:rsidP="00CE7D37">
      <w:pPr>
        <w:jc w:val="both"/>
        <w:rPr>
          <w:rFonts w:ascii="Arial" w:hAnsi="Arial" w:cs="Arial"/>
          <w:sz w:val="20"/>
          <w:szCs w:val="20"/>
          <w:lang w:val="pl-PL"/>
        </w:rPr>
      </w:pPr>
      <w:r w:rsidRPr="00765C97">
        <w:rPr>
          <w:rFonts w:ascii="Arial" w:hAnsi="Arial" w:cs="Arial"/>
          <w:sz w:val="20"/>
          <w:szCs w:val="20"/>
          <w:lang w:val="pl-PL"/>
        </w:rPr>
        <w:t xml:space="preserve">W dniu 26 marca 2013 r. zostało zarejestrowane połączenie spółek A-MEA Informatik AG i Comarch Swiss AG oraz przeniesienie siedziby nowej spółki Comarch Swiss AG do Luzern w Szwajcarii. </w:t>
      </w:r>
    </w:p>
    <w:p w:rsidR="00CE7D37" w:rsidRPr="00765C97" w:rsidRDefault="00CE7D37" w:rsidP="00CE7D37">
      <w:pPr>
        <w:jc w:val="both"/>
        <w:rPr>
          <w:rFonts w:ascii="Arial" w:hAnsi="Arial" w:cs="Arial"/>
          <w:sz w:val="20"/>
          <w:szCs w:val="20"/>
          <w:lang w:val="pl-PL"/>
        </w:rPr>
      </w:pPr>
    </w:p>
    <w:p w:rsidR="00CE7D37" w:rsidRPr="00765C97" w:rsidRDefault="00CE7D37" w:rsidP="00CE7D37">
      <w:pPr>
        <w:jc w:val="both"/>
        <w:rPr>
          <w:rFonts w:ascii="Arial" w:hAnsi="Arial" w:cs="Arial"/>
          <w:sz w:val="20"/>
          <w:szCs w:val="20"/>
          <w:lang w:val="pl-PL"/>
        </w:rPr>
      </w:pPr>
      <w:r w:rsidRPr="00765C97">
        <w:rPr>
          <w:rFonts w:ascii="Arial" w:hAnsi="Arial" w:cs="Arial"/>
          <w:sz w:val="20"/>
          <w:szCs w:val="20"/>
          <w:lang w:val="pl-PL"/>
        </w:rPr>
        <w:t>W dniu 9 kwietnia 2013 r. zostało zarejestrowane podwyższenie kapitału zakładowego Comarch AG do kwoty 15 milionów euro.</w:t>
      </w:r>
    </w:p>
    <w:p w:rsidR="009747F5" w:rsidRPr="00765C97" w:rsidRDefault="009747F5" w:rsidP="00CE7D37">
      <w:pPr>
        <w:jc w:val="both"/>
        <w:rPr>
          <w:rFonts w:ascii="Arial" w:hAnsi="Arial" w:cs="Arial"/>
          <w:sz w:val="20"/>
          <w:szCs w:val="20"/>
          <w:lang w:val="pl-PL"/>
        </w:rPr>
      </w:pPr>
    </w:p>
    <w:p w:rsidR="009747F5" w:rsidRPr="00765C97" w:rsidRDefault="009747F5" w:rsidP="00CE7D37">
      <w:pPr>
        <w:jc w:val="both"/>
        <w:rPr>
          <w:rFonts w:ascii="Arial" w:hAnsi="Arial" w:cs="Arial"/>
          <w:sz w:val="20"/>
          <w:szCs w:val="20"/>
          <w:lang w:val="pl-PL"/>
        </w:rPr>
      </w:pPr>
      <w:r w:rsidRPr="00765C97">
        <w:rPr>
          <w:rFonts w:ascii="Arial" w:hAnsi="Arial" w:cs="Arial"/>
          <w:sz w:val="20"/>
          <w:szCs w:val="20"/>
          <w:lang w:val="pl-PL"/>
        </w:rPr>
        <w:t>W dniu 15 kwietnia 2013 roku jedyny akcjonariusz Comarch SAS działający w ramach kompetencji Walnego Zgromadzanie Akcjonariuszy podjął decyzję o podwyższeniu kapitału zakładowego spółki z kwoty 1 800 000 EUR do kwoty 2 800 000 EUR przez emisję 1 000 000 nowych akcji.</w:t>
      </w:r>
    </w:p>
    <w:p w:rsidR="00B24DA9" w:rsidRPr="00765C97" w:rsidRDefault="00B24DA9" w:rsidP="00135A9A">
      <w:pPr>
        <w:pStyle w:val="Nagwek3"/>
        <w:numPr>
          <w:ilvl w:val="1"/>
          <w:numId w:val="21"/>
        </w:numPr>
        <w:spacing w:after="240"/>
        <w:ind w:left="567" w:hanging="425"/>
        <w:rPr>
          <w:sz w:val="20"/>
          <w:lang w:val="pl-PL"/>
        </w:rPr>
      </w:pPr>
      <w:bookmarkStart w:id="24" w:name="_Toc353973202"/>
      <w:r w:rsidRPr="00765C97">
        <w:rPr>
          <w:sz w:val="20"/>
          <w:lang w:val="pl-PL"/>
        </w:rPr>
        <w:t>Struktura działania Grupy Comarch</w:t>
      </w:r>
      <w:bookmarkEnd w:id="24"/>
    </w:p>
    <w:p w:rsidR="00110A6C" w:rsidRPr="00765C97" w:rsidRDefault="00110A6C" w:rsidP="00110A6C">
      <w:pPr>
        <w:adjustRightInd w:val="0"/>
        <w:jc w:val="both"/>
        <w:rPr>
          <w:rFonts w:ascii="Arial" w:hAnsi="Arial" w:cs="Arial"/>
          <w:sz w:val="20"/>
          <w:szCs w:val="20"/>
          <w:lang w:val="pl-PL"/>
        </w:rPr>
      </w:pPr>
      <w:r w:rsidRPr="00765C97">
        <w:rPr>
          <w:rFonts w:ascii="Arial" w:hAnsi="Arial"/>
          <w:sz w:val="20"/>
          <w:lang w:val="pl-PL"/>
        </w:rPr>
        <w:t xml:space="preserve">Struktura </w:t>
      </w:r>
      <w:r w:rsidRPr="00765C97">
        <w:rPr>
          <w:rFonts w:ascii="Arial" w:hAnsi="Arial" w:cs="Arial"/>
          <w:sz w:val="20"/>
          <w:szCs w:val="20"/>
          <w:lang w:val="pl-PL"/>
        </w:rPr>
        <w:t>działania Grupy Comarch jest następująca:</w:t>
      </w:r>
    </w:p>
    <w:p w:rsidR="00110A6C" w:rsidRPr="00765C97" w:rsidRDefault="00110A6C" w:rsidP="00110A6C">
      <w:pPr>
        <w:adjustRightInd w:val="0"/>
        <w:jc w:val="both"/>
        <w:rPr>
          <w:rFonts w:ascii="Arial" w:hAnsi="Arial" w:cs="Arial"/>
          <w:sz w:val="20"/>
          <w:szCs w:val="20"/>
          <w:lang w:val="pl-PL"/>
        </w:rPr>
      </w:pPr>
      <w:r w:rsidRPr="00765C97">
        <w:rPr>
          <w:rFonts w:ascii="Arial" w:hAnsi="Arial" w:cs="Arial"/>
          <w:sz w:val="20"/>
          <w:szCs w:val="20"/>
          <w:lang w:val="pl-PL"/>
        </w:rPr>
        <w:t>- jednostka dominująca Comarch S.A. pozyskuje większość kontraktów w dużej mierze realizując je,</w:t>
      </w:r>
    </w:p>
    <w:p w:rsidR="00110A6C" w:rsidRPr="00765C97" w:rsidRDefault="00110A6C" w:rsidP="00110A6C">
      <w:pPr>
        <w:adjustRightInd w:val="0"/>
        <w:jc w:val="both"/>
        <w:rPr>
          <w:rFonts w:ascii="Arial" w:hAnsi="Arial" w:cs="Arial"/>
          <w:sz w:val="20"/>
          <w:szCs w:val="20"/>
          <w:lang w:val="pl-PL"/>
        </w:rPr>
      </w:pPr>
      <w:r w:rsidRPr="00765C97">
        <w:rPr>
          <w:rFonts w:ascii="Arial" w:hAnsi="Arial" w:cs="Arial"/>
          <w:sz w:val="20"/>
          <w:szCs w:val="20"/>
          <w:lang w:val="pl-PL"/>
        </w:rPr>
        <w:t xml:space="preserve">- spółki Comarch AG, Comarch S.A.S., Comarch R&amp;D </w:t>
      </w:r>
      <w:r w:rsidRPr="00765C97">
        <w:rPr>
          <w:rFonts w:ascii="Arial" w:hAnsi="Arial"/>
          <w:sz w:val="20"/>
          <w:lang w:val="pl-PL"/>
        </w:rPr>
        <w:t>S.à r.l.</w:t>
      </w:r>
      <w:r w:rsidRPr="00765C97">
        <w:rPr>
          <w:rFonts w:ascii="Arial" w:hAnsi="Arial" w:cs="Arial"/>
          <w:sz w:val="20"/>
          <w:szCs w:val="20"/>
          <w:lang w:val="pl-PL"/>
        </w:rPr>
        <w:t xml:space="preserve">, Comarch Luxembourg </w:t>
      </w:r>
      <w:r w:rsidRPr="00765C97">
        <w:rPr>
          <w:rFonts w:ascii="Arial" w:hAnsi="Arial"/>
          <w:sz w:val="20"/>
          <w:lang w:val="pl-PL"/>
        </w:rPr>
        <w:t>S.à r.l.</w:t>
      </w:r>
      <w:r w:rsidRPr="00765C97">
        <w:rPr>
          <w:rFonts w:ascii="Arial" w:hAnsi="Arial" w:cs="Arial"/>
          <w:sz w:val="20"/>
          <w:szCs w:val="20"/>
          <w:lang w:val="pl-PL"/>
        </w:rPr>
        <w:t>, Comarch Inc., Comarch Panama Inc., Comarch Canada, Corp., Comarch Middle East FZ-LLC, Comarch LLC, OOO Comarch, Comarch Oy oraz Comarch UK Ltd. pozyskują kontrakty informatyczne na rynkach zagranicznych i realizują je w całości lub w części,</w:t>
      </w:r>
    </w:p>
    <w:p w:rsidR="00110A6C" w:rsidRPr="00765C97" w:rsidRDefault="00110A6C" w:rsidP="00110A6C">
      <w:pPr>
        <w:adjustRightInd w:val="0"/>
        <w:jc w:val="both"/>
        <w:rPr>
          <w:rFonts w:ascii="Arial" w:hAnsi="Arial" w:cs="Arial"/>
          <w:sz w:val="20"/>
          <w:szCs w:val="20"/>
          <w:lang w:val="pl-PL"/>
        </w:rPr>
      </w:pPr>
      <w:r w:rsidRPr="00765C97">
        <w:rPr>
          <w:rFonts w:ascii="Arial" w:hAnsi="Arial" w:cs="Arial"/>
          <w:sz w:val="20"/>
          <w:szCs w:val="20"/>
          <w:lang w:val="pl-PL"/>
        </w:rPr>
        <w:t>- spółki SouthForge Sp. z o.o. i Comarch Polska S.A. pozyskują kontrakty informatyczne na rynku krajowym i zagranicznym i realizują je w całości lub w części,</w:t>
      </w:r>
    </w:p>
    <w:p w:rsidR="00110A6C" w:rsidRPr="00765C97" w:rsidRDefault="00110A6C" w:rsidP="00110A6C">
      <w:pPr>
        <w:adjustRightInd w:val="0"/>
        <w:jc w:val="both"/>
        <w:rPr>
          <w:rFonts w:ascii="Arial" w:hAnsi="Arial" w:cs="Arial"/>
          <w:sz w:val="20"/>
          <w:szCs w:val="20"/>
          <w:lang w:val="pl-PL"/>
        </w:rPr>
      </w:pPr>
      <w:r w:rsidRPr="00765C97">
        <w:rPr>
          <w:rFonts w:ascii="Arial" w:hAnsi="Arial" w:cs="Arial"/>
          <w:sz w:val="20"/>
          <w:szCs w:val="20"/>
          <w:lang w:val="pl-PL"/>
        </w:rPr>
        <w:t>- CA Consulting S.A. prowadzi działalność teleinformatyczną, polegającą na dostarczaniu łącz teleinformatycznych na potrzeby krajowych spółek Grupy, a także na świadczeniu usług informatycznych i consultingowych na rzecz Comarch S.A. oraz klientów spoza Grupy Comarch,</w:t>
      </w:r>
    </w:p>
    <w:p w:rsidR="00110A6C" w:rsidRPr="00765C97" w:rsidRDefault="00110A6C" w:rsidP="00110A6C">
      <w:pPr>
        <w:adjustRightInd w:val="0"/>
        <w:jc w:val="both"/>
        <w:rPr>
          <w:rFonts w:ascii="Arial" w:hAnsi="Arial" w:cs="Arial"/>
          <w:sz w:val="20"/>
          <w:szCs w:val="20"/>
          <w:lang w:val="pl-PL"/>
        </w:rPr>
      </w:pPr>
      <w:r w:rsidRPr="00765C97">
        <w:rPr>
          <w:rFonts w:ascii="Arial" w:hAnsi="Arial" w:cs="Arial"/>
          <w:sz w:val="20"/>
          <w:szCs w:val="20"/>
          <w:lang w:val="pl-PL"/>
        </w:rPr>
        <w:t xml:space="preserve">- Spółka Comarch Software und Beratung AG jest znaczącym na rynku niemieckim producentem oprogramowania ERP oraz integratorem systemów informatycznych. Comarch Solutions GmbH oraz Comarch Swiss AG prowadzą działalność o profilu identycznym z profilem działalności spółki Comarch Software und Beratung AG, </w:t>
      </w:r>
    </w:p>
    <w:p w:rsidR="00110A6C" w:rsidRPr="00765C97" w:rsidRDefault="00110A6C" w:rsidP="00110A6C">
      <w:pPr>
        <w:adjustRightInd w:val="0"/>
        <w:jc w:val="both"/>
        <w:rPr>
          <w:rFonts w:ascii="Arial" w:hAnsi="Arial"/>
          <w:sz w:val="20"/>
          <w:lang w:val="pl-PL"/>
        </w:rPr>
      </w:pPr>
      <w:r w:rsidRPr="00765C97">
        <w:rPr>
          <w:rFonts w:ascii="Arial" w:hAnsi="Arial" w:cs="Arial"/>
          <w:sz w:val="20"/>
          <w:szCs w:val="20"/>
          <w:lang w:val="pl-PL"/>
        </w:rPr>
        <w:t xml:space="preserve">- </w:t>
      </w:r>
      <w:r w:rsidRPr="00765C97">
        <w:rPr>
          <w:rFonts w:ascii="Arial" w:hAnsi="Arial"/>
          <w:sz w:val="20"/>
          <w:lang w:val="pl-PL"/>
        </w:rPr>
        <w:t>A-MEA Informatik AG zajmuje się sprzedażą i wdrażaniem rozwiązań ERP (w tym Comarch ERP Enterprise) na rynku szwajcarskim,</w:t>
      </w:r>
    </w:p>
    <w:p w:rsidR="00110A6C" w:rsidRPr="00765C97" w:rsidRDefault="00110A6C" w:rsidP="00110A6C">
      <w:pPr>
        <w:adjustRightInd w:val="0"/>
        <w:jc w:val="both"/>
        <w:rPr>
          <w:rFonts w:ascii="Arial" w:hAnsi="Arial"/>
          <w:sz w:val="20"/>
          <w:lang w:val="pl-PL"/>
        </w:rPr>
      </w:pPr>
      <w:r w:rsidRPr="00765C97">
        <w:rPr>
          <w:rFonts w:ascii="Arial" w:hAnsi="Arial"/>
          <w:sz w:val="20"/>
          <w:lang w:val="pl-PL"/>
        </w:rPr>
        <w:t xml:space="preserve">- </w:t>
      </w:r>
      <w:r w:rsidRPr="00765C97">
        <w:rPr>
          <w:rFonts w:ascii="Arial" w:hAnsi="Arial" w:cs="Arial"/>
          <w:sz w:val="20"/>
          <w:szCs w:val="20"/>
          <w:lang w:val="pl-PL"/>
        </w:rPr>
        <w:t>ESAProjekt Sp. z o.o. jest jednym z czołowych polskich producentów i dostawców kompleksowych rozwiązań informatycznych dla sektora zdrowia,</w:t>
      </w:r>
    </w:p>
    <w:p w:rsidR="00110A6C" w:rsidRPr="00765C97" w:rsidRDefault="00110A6C" w:rsidP="00110A6C">
      <w:pPr>
        <w:adjustRightInd w:val="0"/>
        <w:jc w:val="both"/>
        <w:rPr>
          <w:rFonts w:ascii="Arial" w:hAnsi="Arial" w:cs="Arial"/>
          <w:sz w:val="20"/>
          <w:szCs w:val="20"/>
          <w:lang w:val="pl-PL"/>
        </w:rPr>
      </w:pPr>
      <w:r w:rsidRPr="00765C97">
        <w:rPr>
          <w:rFonts w:ascii="Arial" w:hAnsi="Arial" w:cs="Arial"/>
          <w:sz w:val="20"/>
          <w:szCs w:val="20"/>
          <w:lang w:val="pl-PL"/>
        </w:rPr>
        <w:t>- Comarch Corporate Finance Fundusz Inwestycyjny Zamknięty prowadzi działalność in</w:t>
      </w:r>
      <w:r w:rsidR="0031442C" w:rsidRPr="00765C97">
        <w:rPr>
          <w:rFonts w:ascii="Arial" w:hAnsi="Arial" w:cs="Arial"/>
          <w:sz w:val="20"/>
          <w:szCs w:val="20"/>
          <w:lang w:val="pl-PL"/>
        </w:rPr>
        <w:t>westycyjną (poprzez swoje jednostki</w:t>
      </w:r>
      <w:r w:rsidRPr="00765C97">
        <w:rPr>
          <w:rFonts w:ascii="Arial" w:hAnsi="Arial" w:cs="Arial"/>
          <w:sz w:val="20"/>
          <w:szCs w:val="20"/>
          <w:lang w:val="pl-PL"/>
        </w:rPr>
        <w:t xml:space="preserve"> zależne) w zakresie nowych technologii i usług, a także działalność inwestycyjną na rynku kapitałowym,</w:t>
      </w:r>
    </w:p>
    <w:p w:rsidR="00110A6C" w:rsidRPr="00765C97" w:rsidRDefault="00110A6C" w:rsidP="00110A6C">
      <w:pPr>
        <w:adjustRightInd w:val="0"/>
        <w:jc w:val="both"/>
        <w:rPr>
          <w:rFonts w:ascii="Arial" w:hAnsi="Arial" w:cs="Arial"/>
          <w:sz w:val="20"/>
          <w:szCs w:val="20"/>
          <w:lang w:val="pl-PL"/>
        </w:rPr>
      </w:pPr>
      <w:r w:rsidRPr="00765C97">
        <w:rPr>
          <w:rFonts w:ascii="Arial" w:hAnsi="Arial" w:cs="Arial"/>
          <w:sz w:val="20"/>
          <w:szCs w:val="20"/>
          <w:lang w:val="pl-PL"/>
        </w:rPr>
        <w:t>- Comarch Management Sp. z o.o., Comarch Management Sp. z o.o. SK-A , CASA Management and Consulting Sp. z o.o. SK-A, Bonus Management Sp. z o.o. SK-A oraz Bonus Management Sp. z o.o. II Activia SK-A prowadzą działalność inwestycyjną  na rynku kapitałowym oraz związaną z informatyką,</w:t>
      </w:r>
    </w:p>
    <w:p w:rsidR="00110A6C" w:rsidRPr="00765C97" w:rsidRDefault="00110A6C" w:rsidP="00110A6C">
      <w:pPr>
        <w:adjustRightInd w:val="0"/>
        <w:jc w:val="both"/>
        <w:rPr>
          <w:rFonts w:ascii="Arial" w:hAnsi="Arial" w:cs="Arial"/>
          <w:sz w:val="20"/>
          <w:szCs w:val="20"/>
          <w:lang w:val="pl-PL"/>
        </w:rPr>
      </w:pPr>
      <w:r w:rsidRPr="00765C97">
        <w:rPr>
          <w:rFonts w:ascii="Arial" w:hAnsi="Arial"/>
          <w:sz w:val="20"/>
          <w:lang w:val="pl-PL"/>
        </w:rPr>
        <w:t xml:space="preserve">- </w:t>
      </w:r>
      <w:r w:rsidRPr="00765C97">
        <w:rPr>
          <w:rFonts w:ascii="Arial" w:hAnsi="Arial" w:cs="Arial"/>
          <w:sz w:val="20"/>
          <w:szCs w:val="20"/>
          <w:lang w:val="pl-PL"/>
        </w:rPr>
        <w:t>przedmiotem działalności Bonus Development Sp. z o.o. SK-A  oraz Bonus Development Sp. z o.o. II Koncept SK-A jest działalność  developerska oraz inwestycyjna na rynku nieruchomości,</w:t>
      </w:r>
    </w:p>
    <w:p w:rsidR="00110A6C" w:rsidRPr="00765C97" w:rsidRDefault="00110A6C" w:rsidP="00110A6C">
      <w:pPr>
        <w:adjustRightInd w:val="0"/>
        <w:jc w:val="both"/>
        <w:rPr>
          <w:rFonts w:ascii="Arial" w:hAnsi="Arial" w:cs="Arial"/>
          <w:sz w:val="20"/>
          <w:szCs w:val="20"/>
          <w:lang w:val="pl-PL"/>
        </w:rPr>
      </w:pPr>
      <w:r w:rsidRPr="00765C97">
        <w:rPr>
          <w:rFonts w:ascii="Arial" w:hAnsi="Arial" w:cs="Arial"/>
          <w:sz w:val="20"/>
          <w:szCs w:val="20"/>
          <w:lang w:val="pl-PL"/>
        </w:rPr>
        <w:t>- iMed24 S.A. wytwarza i sprzedaje oprogramowanie związane z medycyną oraz świadczy usługi medyczne i diagnostyczne,</w:t>
      </w:r>
    </w:p>
    <w:p w:rsidR="00110A6C" w:rsidRPr="00765C97" w:rsidRDefault="00110A6C" w:rsidP="00110A6C">
      <w:pPr>
        <w:adjustRightInd w:val="0"/>
        <w:jc w:val="both"/>
        <w:rPr>
          <w:rFonts w:ascii="Arial" w:hAnsi="Arial" w:cs="Arial"/>
          <w:sz w:val="20"/>
          <w:szCs w:val="20"/>
          <w:lang w:val="pl-PL"/>
        </w:rPr>
      </w:pPr>
      <w:r w:rsidRPr="00765C97">
        <w:rPr>
          <w:rFonts w:ascii="Arial" w:hAnsi="Arial" w:cs="Arial"/>
          <w:sz w:val="20"/>
          <w:szCs w:val="20"/>
          <w:lang w:val="pl-PL"/>
        </w:rPr>
        <w:t>- iReward24 S.A. prowadzi działalność polegającą na wytwarzaniu i wdrażaniu oprogramowania lojalnościowego dla odbiorców z sektora małych i średnich przedsiębiorstw</w:t>
      </w:r>
      <w:r w:rsidR="003B0DE4" w:rsidRPr="00765C97">
        <w:rPr>
          <w:rFonts w:ascii="Arial" w:hAnsi="Arial" w:cs="Arial"/>
          <w:sz w:val="20"/>
          <w:szCs w:val="20"/>
          <w:lang w:val="pl-PL"/>
        </w:rPr>
        <w:t>,</w:t>
      </w:r>
    </w:p>
    <w:p w:rsidR="00110A6C" w:rsidRPr="00765C97" w:rsidRDefault="00110A6C" w:rsidP="00110A6C">
      <w:pPr>
        <w:adjustRightInd w:val="0"/>
        <w:jc w:val="both"/>
        <w:rPr>
          <w:rFonts w:ascii="Arial" w:hAnsi="Arial" w:cs="Arial"/>
          <w:sz w:val="20"/>
          <w:szCs w:val="20"/>
          <w:lang w:val="pl-PL"/>
        </w:rPr>
      </w:pPr>
      <w:r w:rsidRPr="00765C97">
        <w:rPr>
          <w:rFonts w:ascii="Arial" w:hAnsi="Arial" w:cs="Arial"/>
          <w:sz w:val="20"/>
          <w:szCs w:val="20"/>
          <w:lang w:val="pl-PL"/>
        </w:rPr>
        <w:t xml:space="preserve"> - Infrastruktura24 S.A. prowadzi działalność polegającą na oferowaniu usług </w:t>
      </w:r>
      <w:r w:rsidR="003B0DE4" w:rsidRPr="00765C97">
        <w:rPr>
          <w:rFonts w:ascii="Arial" w:hAnsi="Arial" w:cs="Arial"/>
          <w:sz w:val="20"/>
          <w:szCs w:val="20"/>
          <w:lang w:val="pl-PL"/>
        </w:rPr>
        <w:t>d</w:t>
      </w:r>
      <w:r w:rsidRPr="00765C97">
        <w:rPr>
          <w:rFonts w:ascii="Arial" w:hAnsi="Arial" w:cs="Arial"/>
          <w:sz w:val="20"/>
          <w:szCs w:val="20"/>
          <w:lang w:val="pl-PL"/>
        </w:rPr>
        <w:t xml:space="preserve">ata </w:t>
      </w:r>
      <w:r w:rsidR="003B0DE4" w:rsidRPr="00765C97">
        <w:rPr>
          <w:rFonts w:ascii="Arial" w:hAnsi="Arial" w:cs="Arial"/>
          <w:sz w:val="20"/>
          <w:szCs w:val="20"/>
          <w:lang w:val="pl-PL"/>
        </w:rPr>
        <w:t>c</w:t>
      </w:r>
      <w:r w:rsidRPr="00765C97">
        <w:rPr>
          <w:rFonts w:ascii="Arial" w:hAnsi="Arial" w:cs="Arial"/>
          <w:sz w:val="20"/>
          <w:szCs w:val="20"/>
          <w:lang w:val="pl-PL"/>
        </w:rPr>
        <w:t>enter oraz outsourcingu usług informatycznych,</w:t>
      </w:r>
    </w:p>
    <w:p w:rsidR="00110A6C" w:rsidRPr="00765C97" w:rsidRDefault="00110A6C" w:rsidP="00110A6C">
      <w:pPr>
        <w:adjustRightInd w:val="0"/>
        <w:jc w:val="both"/>
        <w:rPr>
          <w:rFonts w:ascii="Arial" w:hAnsi="Arial" w:cs="Arial"/>
          <w:sz w:val="20"/>
          <w:szCs w:val="20"/>
          <w:lang w:val="pl-PL"/>
        </w:rPr>
      </w:pPr>
      <w:r w:rsidRPr="00765C97">
        <w:rPr>
          <w:rFonts w:ascii="Arial" w:hAnsi="Arial" w:cs="Arial"/>
          <w:sz w:val="20"/>
          <w:szCs w:val="20"/>
          <w:lang w:val="pl-PL"/>
        </w:rPr>
        <w:t xml:space="preserve">- iComarch24 S.A. prowadzi projekty informatyczne z zakresu e-księgowości oraz handlu elektronicznego, świadczy również usługi </w:t>
      </w:r>
      <w:r w:rsidR="0031442C" w:rsidRPr="00765C97">
        <w:rPr>
          <w:rFonts w:ascii="Arial" w:hAnsi="Arial" w:cs="Arial"/>
          <w:sz w:val="20"/>
          <w:szCs w:val="20"/>
          <w:lang w:val="pl-PL"/>
        </w:rPr>
        <w:t>księgowe dla krajowych jednostek</w:t>
      </w:r>
      <w:r w:rsidRPr="00765C97">
        <w:rPr>
          <w:rFonts w:ascii="Arial" w:hAnsi="Arial" w:cs="Arial"/>
          <w:sz w:val="20"/>
          <w:szCs w:val="20"/>
          <w:lang w:val="pl-PL"/>
        </w:rPr>
        <w:t xml:space="preserve"> zależnych z Grupy Comarch,</w:t>
      </w:r>
    </w:p>
    <w:p w:rsidR="00110A6C" w:rsidRPr="00765C97" w:rsidRDefault="00110A6C" w:rsidP="00110A6C">
      <w:pPr>
        <w:adjustRightInd w:val="0"/>
        <w:jc w:val="both"/>
        <w:rPr>
          <w:rFonts w:ascii="Arial" w:hAnsi="Arial" w:cs="Arial"/>
          <w:sz w:val="20"/>
          <w:szCs w:val="20"/>
          <w:lang w:val="pl-PL"/>
        </w:rPr>
      </w:pPr>
      <w:r w:rsidRPr="00765C97">
        <w:rPr>
          <w:rFonts w:ascii="Arial" w:hAnsi="Arial" w:cs="Arial"/>
          <w:sz w:val="20"/>
          <w:szCs w:val="20"/>
          <w:lang w:val="pl-PL"/>
        </w:rPr>
        <w:t>- MKS Cracovia SSA jest sportową spółką akcyjną,</w:t>
      </w:r>
    </w:p>
    <w:p w:rsidR="00110A6C" w:rsidRPr="00765C97" w:rsidRDefault="00110A6C" w:rsidP="00110A6C">
      <w:pPr>
        <w:adjustRightInd w:val="0"/>
        <w:jc w:val="both"/>
        <w:rPr>
          <w:rFonts w:ascii="Arial" w:hAnsi="Arial" w:cs="Arial"/>
          <w:sz w:val="20"/>
          <w:szCs w:val="20"/>
          <w:lang w:val="pl-PL"/>
        </w:rPr>
      </w:pPr>
      <w:r w:rsidRPr="00765C97">
        <w:rPr>
          <w:rFonts w:ascii="Arial" w:hAnsi="Arial" w:cs="Arial"/>
          <w:sz w:val="20"/>
          <w:szCs w:val="20"/>
          <w:lang w:val="pl-PL"/>
        </w:rPr>
        <w:t>- Opso Sp. z o.o. prowadzi działalność gastronomiczną,</w:t>
      </w:r>
    </w:p>
    <w:p w:rsidR="00B24DA9" w:rsidRPr="00765C97" w:rsidRDefault="00110A6C" w:rsidP="00110A6C">
      <w:pPr>
        <w:jc w:val="both"/>
        <w:rPr>
          <w:rFonts w:ascii="Arial" w:hAnsi="Arial"/>
          <w:sz w:val="20"/>
          <w:lang w:val="pl-PL"/>
        </w:rPr>
      </w:pPr>
      <w:r w:rsidRPr="00765C97">
        <w:rPr>
          <w:rFonts w:ascii="Arial" w:hAnsi="Arial" w:cs="Arial"/>
          <w:sz w:val="20"/>
          <w:szCs w:val="20"/>
          <w:lang w:val="pl-PL"/>
        </w:rPr>
        <w:t>- Spółki UAB Comarch oraz Comarch Co. Ltd (Wietnam) są w trakcie procesu likwidacyjnego. Spółka SoftM France S.à r.l. jest w trakcie postępowania upadłościowego. Spółki Comarch s.r.o. i Comarch Software (Shanghai) Co. Ltd. nie prowadzą obecnie działalności operacyjnej.</w:t>
      </w:r>
      <w:r w:rsidR="00B24DA9" w:rsidRPr="00765C97">
        <w:rPr>
          <w:rFonts w:ascii="Arial" w:hAnsi="Arial"/>
          <w:sz w:val="20"/>
          <w:lang w:val="pl-PL"/>
        </w:rPr>
        <w:t xml:space="preserve"> </w:t>
      </w:r>
    </w:p>
    <w:p w:rsidR="00B24DA9" w:rsidRPr="00765C97" w:rsidRDefault="00B24DA9" w:rsidP="00135A9A">
      <w:pPr>
        <w:pStyle w:val="Nagwek2"/>
        <w:numPr>
          <w:ilvl w:val="1"/>
          <w:numId w:val="1"/>
        </w:numPr>
        <w:tabs>
          <w:tab w:val="clear" w:pos="1287"/>
          <w:tab w:val="num" w:pos="540"/>
        </w:tabs>
        <w:spacing w:before="360" w:after="240"/>
        <w:ind w:hanging="1106"/>
        <w:rPr>
          <w:i w:val="0"/>
          <w:sz w:val="22"/>
          <w:lang w:val="pl-PL"/>
        </w:rPr>
      </w:pPr>
      <w:bookmarkStart w:id="25" w:name="_Toc115094329"/>
      <w:bookmarkStart w:id="26" w:name="_Toc353973203"/>
      <w:r w:rsidRPr="00765C97">
        <w:rPr>
          <w:i w:val="0"/>
          <w:sz w:val="22"/>
          <w:lang w:val="pl-PL"/>
        </w:rPr>
        <w:t>Opis stosowanych zasad rachunkowości</w:t>
      </w:r>
      <w:bookmarkEnd w:id="25"/>
      <w:bookmarkEnd w:id="26"/>
    </w:p>
    <w:p w:rsidR="00B24DA9" w:rsidRPr="00765C97" w:rsidRDefault="00B24DA9" w:rsidP="000C3C74">
      <w:pPr>
        <w:adjustRightInd w:val="0"/>
        <w:jc w:val="both"/>
        <w:rPr>
          <w:rFonts w:ascii="Arial" w:hAnsi="Arial"/>
          <w:sz w:val="20"/>
          <w:lang w:val="pl-PL"/>
        </w:rPr>
      </w:pPr>
      <w:r w:rsidRPr="00765C97">
        <w:rPr>
          <w:rFonts w:ascii="Arial" w:hAnsi="Arial"/>
          <w:sz w:val="20"/>
          <w:lang w:val="pl-PL"/>
        </w:rPr>
        <w:t>Niniejsze skonsolidowane sprawozdanie finansowe za 12 miesięcy 20</w:t>
      </w:r>
      <w:r w:rsidR="004347A0" w:rsidRPr="00765C97">
        <w:rPr>
          <w:rFonts w:ascii="Arial" w:hAnsi="Arial"/>
          <w:sz w:val="20"/>
          <w:lang w:val="pl-PL"/>
        </w:rPr>
        <w:t>1</w:t>
      </w:r>
      <w:r w:rsidR="000F3D7E" w:rsidRPr="00765C97">
        <w:rPr>
          <w:rFonts w:ascii="Arial" w:hAnsi="Arial"/>
          <w:sz w:val="20"/>
          <w:lang w:val="pl-PL"/>
        </w:rPr>
        <w:t>2</w:t>
      </w:r>
      <w:r w:rsidRPr="00765C97">
        <w:rPr>
          <w:rFonts w:ascii="Arial" w:hAnsi="Arial"/>
          <w:sz w:val="20"/>
          <w:lang w:val="pl-PL"/>
        </w:rPr>
        <w:t xml:space="preserve"> roku zostało przygotowane zgodnie z Międzynarodowymi Standardami Rachunkowości („MSR”), Międzynarodowymi Standardami Sprawozdawczości Finansowej („MSSF”) oraz interpretacjami opublikowanymi przez Komitet ds. Interpretacji Międzynarodowej Sprawozdawczości Finansowej, które zostały zatwierdzone przez Unię Europejską. </w:t>
      </w: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Niniejsze sprawozdanie finansowe zostało sporządzone zgodnie z zasadą kosztu historycznego za wyjątkiem tych pozycji, które zgodnie z niniejszymi zasadami są wyceniane w inny sposób.</w:t>
      </w:r>
    </w:p>
    <w:p w:rsidR="00C24263" w:rsidRPr="00765C97" w:rsidRDefault="00C24263"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Sporządzenie sprawozdania wg MSSF wymaga dokonania szeregu szacunków i zastosowania własnego osądu. W nocie 2.3.2 zostały zaprezentowane te obszary sprawozdania finansowego, które wymagają znaczących szacunków lub w stosunku do których wymagana jest znacząca doza osądu.</w:t>
      </w:r>
    </w:p>
    <w:p w:rsidR="00C24263" w:rsidRPr="00765C97" w:rsidRDefault="00C24263"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 xml:space="preserve">Sprawozdanie finansowe zostało sporządzone przy założeniu kontynuowania działalności gospodarczej przez Grupę Comarch w dającej się przewidzieć przyszłości. Według Zarządu Spółki nie istnieją okoliczności wskazujące na zagrożenie kontynuowania działalności. </w:t>
      </w:r>
    </w:p>
    <w:p w:rsidR="00C24263" w:rsidRPr="00765C97" w:rsidRDefault="00C24263"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Grupa Comarch sporządza rachunek zysków i strat w wersji kalkulacyjnej, natomiast rachunek przepływów pieniężnych sporządzany jest metodą pośrednią.</w:t>
      </w:r>
    </w:p>
    <w:p w:rsidR="00CD033C" w:rsidRPr="00765C97" w:rsidRDefault="00CD033C" w:rsidP="000C3C74">
      <w:pPr>
        <w:adjustRightInd w:val="0"/>
        <w:jc w:val="both"/>
        <w:rPr>
          <w:rFonts w:ascii="Arial" w:hAnsi="Arial"/>
          <w:sz w:val="20"/>
          <w:lang w:val="pl-PL"/>
        </w:rPr>
      </w:pPr>
    </w:p>
    <w:p w:rsidR="008A4263" w:rsidRPr="00765C97" w:rsidRDefault="008A4263" w:rsidP="000C3C74">
      <w:pPr>
        <w:adjustRightInd w:val="0"/>
        <w:jc w:val="both"/>
        <w:rPr>
          <w:rFonts w:ascii="Arial" w:hAnsi="Arial"/>
          <w:sz w:val="20"/>
          <w:lang w:val="pl-PL"/>
        </w:rPr>
      </w:pPr>
      <w:bookmarkStart w:id="27" w:name="_Toc115093951"/>
      <w:bookmarkStart w:id="28" w:name="_Toc115094330"/>
      <w:bookmarkStart w:id="29" w:name="_Toc115094504"/>
      <w:r w:rsidRPr="00765C97">
        <w:rPr>
          <w:rFonts w:ascii="Arial" w:hAnsi="Arial"/>
          <w:sz w:val="20"/>
          <w:lang w:val="pl-PL"/>
        </w:rPr>
        <w:t>Skonsolidowane sprawozdanie finansowe Grupy Comarch za 12 miesięcy 2012 roku obejmuje sprawozdania następujących spółek:</w:t>
      </w:r>
    </w:p>
    <w:p w:rsidR="008A4263" w:rsidRPr="00765C97" w:rsidRDefault="008A4263" w:rsidP="008A4263">
      <w:pPr>
        <w:pStyle w:val="Akapitzlist"/>
        <w:adjustRightInd w:val="0"/>
        <w:ind w:left="360"/>
        <w:jc w:val="both"/>
        <w:rPr>
          <w:rFonts w:ascii="Arial" w:hAnsi="Arial"/>
          <w:sz w:val="20"/>
          <w:lang w:val="pl-PL"/>
        </w:rPr>
      </w:pPr>
    </w:p>
    <w:tbl>
      <w:tblPr>
        <w:tblW w:w="8647" w:type="dxa"/>
        <w:tblInd w:w="70" w:type="dxa"/>
        <w:tblLayout w:type="fixed"/>
        <w:tblCellMar>
          <w:left w:w="70" w:type="dxa"/>
          <w:right w:w="70" w:type="dxa"/>
        </w:tblCellMar>
        <w:tblLook w:val="0000"/>
      </w:tblPr>
      <w:tblGrid>
        <w:gridCol w:w="2835"/>
        <w:gridCol w:w="1985"/>
        <w:gridCol w:w="1339"/>
        <w:gridCol w:w="2488"/>
      </w:tblGrid>
      <w:tr w:rsidR="008A4263" w:rsidRPr="00F346A4" w:rsidTr="000C3C74">
        <w:trPr>
          <w:trHeight w:val="255"/>
        </w:trPr>
        <w:tc>
          <w:tcPr>
            <w:tcW w:w="2835" w:type="dxa"/>
            <w:tcBorders>
              <w:bottom w:val="single" w:sz="4" w:space="0" w:color="auto"/>
              <w:right w:val="single" w:sz="4" w:space="0" w:color="auto"/>
            </w:tcBorders>
          </w:tcPr>
          <w:p w:rsidR="008A4263" w:rsidRPr="00765C97" w:rsidRDefault="008A4263" w:rsidP="00DB120C">
            <w:pPr>
              <w:adjustRightInd w:val="0"/>
              <w:jc w:val="both"/>
              <w:rPr>
                <w:rFonts w:ascii="Arial" w:hAnsi="Arial"/>
                <w:sz w:val="20"/>
                <w:lang w:val="pl-PL"/>
              </w:rPr>
            </w:pPr>
          </w:p>
        </w:tc>
        <w:tc>
          <w:tcPr>
            <w:tcW w:w="1985" w:type="dxa"/>
            <w:tcBorders>
              <w:left w:val="single" w:sz="4" w:space="0" w:color="auto"/>
              <w:bottom w:val="single" w:sz="4" w:space="0" w:color="auto"/>
            </w:tcBorders>
            <w:vAlign w:val="center"/>
          </w:tcPr>
          <w:p w:rsidR="008A4263" w:rsidRPr="00765C97" w:rsidRDefault="008A4263" w:rsidP="00DB120C">
            <w:pPr>
              <w:adjustRightInd w:val="0"/>
              <w:jc w:val="center"/>
              <w:rPr>
                <w:rFonts w:ascii="Arial" w:hAnsi="Arial"/>
                <w:b/>
                <w:sz w:val="20"/>
                <w:lang w:val="pl-PL"/>
              </w:rPr>
            </w:pPr>
            <w:r w:rsidRPr="00765C97">
              <w:rPr>
                <w:rFonts w:ascii="Arial" w:hAnsi="Arial"/>
                <w:b/>
                <w:sz w:val="20"/>
                <w:lang w:val="pl-PL"/>
              </w:rPr>
              <w:t>Charakter powiązań</w:t>
            </w:r>
          </w:p>
        </w:tc>
        <w:tc>
          <w:tcPr>
            <w:tcW w:w="1339" w:type="dxa"/>
            <w:tcBorders>
              <w:bottom w:val="single" w:sz="4" w:space="0" w:color="auto"/>
            </w:tcBorders>
            <w:vAlign w:val="center"/>
          </w:tcPr>
          <w:p w:rsidR="008A4263" w:rsidRPr="00765C97" w:rsidRDefault="008A4263" w:rsidP="00DB120C">
            <w:pPr>
              <w:adjustRightInd w:val="0"/>
              <w:jc w:val="center"/>
              <w:rPr>
                <w:rFonts w:ascii="Arial" w:hAnsi="Arial"/>
                <w:b/>
                <w:sz w:val="20"/>
                <w:lang w:val="pl-PL"/>
              </w:rPr>
            </w:pPr>
            <w:r w:rsidRPr="00765C97">
              <w:rPr>
                <w:rFonts w:ascii="Arial" w:hAnsi="Arial"/>
                <w:b/>
                <w:sz w:val="20"/>
                <w:lang w:val="pl-PL"/>
              </w:rPr>
              <w:t>Metoda konsolidacji</w:t>
            </w:r>
          </w:p>
        </w:tc>
        <w:tc>
          <w:tcPr>
            <w:tcW w:w="2488" w:type="dxa"/>
            <w:tcBorders>
              <w:bottom w:val="single" w:sz="4" w:space="0" w:color="auto"/>
            </w:tcBorders>
            <w:vAlign w:val="center"/>
          </w:tcPr>
          <w:p w:rsidR="008A4263" w:rsidRPr="00765C97" w:rsidRDefault="008A4263" w:rsidP="00DB120C">
            <w:pPr>
              <w:adjustRightInd w:val="0"/>
              <w:jc w:val="center"/>
              <w:rPr>
                <w:rFonts w:ascii="Arial" w:hAnsi="Arial"/>
                <w:b/>
                <w:sz w:val="20"/>
                <w:lang w:val="pl-PL"/>
              </w:rPr>
            </w:pPr>
            <w:r w:rsidRPr="00765C97">
              <w:rPr>
                <w:rFonts w:ascii="Arial" w:hAnsi="Arial"/>
                <w:b/>
                <w:sz w:val="20"/>
                <w:lang w:val="pl-PL"/>
              </w:rPr>
              <w:t xml:space="preserve">Udział Comarch S.A. </w:t>
            </w:r>
          </w:p>
          <w:p w:rsidR="008A4263" w:rsidRPr="00765C97" w:rsidRDefault="008A4263" w:rsidP="00DB120C">
            <w:pPr>
              <w:adjustRightInd w:val="0"/>
              <w:jc w:val="center"/>
              <w:rPr>
                <w:rFonts w:ascii="Arial" w:hAnsi="Arial"/>
                <w:b/>
                <w:sz w:val="20"/>
                <w:lang w:val="pl-PL"/>
              </w:rPr>
            </w:pPr>
            <w:r w:rsidRPr="00765C97">
              <w:rPr>
                <w:rFonts w:ascii="Arial" w:hAnsi="Arial"/>
                <w:b/>
                <w:sz w:val="20"/>
                <w:lang w:val="pl-PL"/>
              </w:rPr>
              <w:t xml:space="preserve">w kapitale zakładowym </w:t>
            </w:r>
          </w:p>
        </w:tc>
      </w:tr>
      <w:tr w:rsidR="008A4263" w:rsidRPr="00765C97" w:rsidTr="000C3C74">
        <w:trPr>
          <w:trHeight w:val="255"/>
        </w:trPr>
        <w:tc>
          <w:tcPr>
            <w:tcW w:w="2835" w:type="dxa"/>
            <w:tcBorders>
              <w:top w:val="single" w:sz="4" w:space="0" w:color="auto"/>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 xml:space="preserve">Comarch S.A. </w:t>
            </w:r>
          </w:p>
        </w:tc>
        <w:tc>
          <w:tcPr>
            <w:tcW w:w="1985" w:type="dxa"/>
            <w:tcBorders>
              <w:top w:val="single" w:sz="4" w:space="0" w:color="auto"/>
              <w:left w:val="single" w:sz="4" w:space="0" w:color="auto"/>
            </w:tcBorders>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jednostka dominująca</w:t>
            </w:r>
          </w:p>
        </w:tc>
        <w:tc>
          <w:tcPr>
            <w:tcW w:w="1339" w:type="dxa"/>
            <w:tcBorders>
              <w:top w:val="single" w:sz="4" w:space="0" w:color="auto"/>
            </w:tcBorders>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pełna</w:t>
            </w:r>
          </w:p>
        </w:tc>
        <w:tc>
          <w:tcPr>
            <w:tcW w:w="2488" w:type="dxa"/>
            <w:tcBorders>
              <w:top w:val="single" w:sz="4" w:space="0" w:color="auto"/>
            </w:tcBorders>
            <w:vAlign w:val="center"/>
          </w:tcPr>
          <w:p w:rsidR="008A4263" w:rsidRPr="00765C97" w:rsidRDefault="008A4263" w:rsidP="00DB120C">
            <w:pPr>
              <w:adjustRightInd w:val="0"/>
              <w:spacing w:after="120"/>
              <w:jc w:val="center"/>
              <w:rPr>
                <w:rFonts w:ascii="Arial" w:hAnsi="Arial"/>
                <w:sz w:val="20"/>
              </w:rPr>
            </w:pP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 xml:space="preserve">Comarch AG  </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jc w:val="center"/>
              <w:rPr>
                <w:rFonts w:ascii="Arial" w:hAnsi="Arial"/>
                <w:sz w:val="20"/>
              </w:rPr>
            </w:pPr>
            <w:r w:rsidRPr="00765C97">
              <w:rPr>
                <w:rFonts w:ascii="Arial" w:hAnsi="Arial"/>
                <w:sz w:val="20"/>
              </w:rPr>
              <w:t>100,00%</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R&amp;D S.à r.l.</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jc w:val="center"/>
              <w:rPr>
                <w:rFonts w:ascii="Arial" w:hAnsi="Arial"/>
                <w:sz w:val="20"/>
              </w:rPr>
            </w:pPr>
            <w:r w:rsidRPr="00765C97">
              <w:rPr>
                <w:rFonts w:ascii="Arial" w:hAnsi="Arial"/>
                <w:sz w:val="20"/>
              </w:rPr>
              <w:t>30,00%,</w:t>
            </w:r>
          </w:p>
          <w:p w:rsidR="008A4263" w:rsidRPr="00765C97" w:rsidRDefault="008A4263" w:rsidP="00DB120C">
            <w:pPr>
              <w:adjustRightInd w:val="0"/>
              <w:spacing w:after="120"/>
              <w:jc w:val="center"/>
              <w:rPr>
                <w:rFonts w:ascii="Arial" w:hAnsi="Arial"/>
                <w:sz w:val="20"/>
              </w:rPr>
            </w:pPr>
            <w:r w:rsidRPr="00765C97">
              <w:rPr>
                <w:rFonts w:ascii="Arial" w:hAnsi="Arial"/>
                <w:sz w:val="20"/>
              </w:rPr>
              <w:t>70,00% w posiadaniu Comarch SAS</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lang w:val="de-DE"/>
              </w:rPr>
            </w:pPr>
            <w:r w:rsidRPr="00765C97">
              <w:rPr>
                <w:rFonts w:ascii="Arial" w:hAnsi="Arial"/>
                <w:sz w:val="20"/>
                <w:lang w:val="de-DE"/>
              </w:rPr>
              <w:t>Comarch Software und Beratung AG</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100,00% w posiadaniu Comarch AG *)</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Solutions GmbH</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tcPr>
          <w:p w:rsidR="008A4263" w:rsidRPr="00765C97" w:rsidRDefault="008A4263" w:rsidP="00DB120C">
            <w:pPr>
              <w:spacing w:after="120"/>
              <w:jc w:val="center"/>
              <w:rPr>
                <w:rFonts w:ascii="Arial" w:hAnsi="Arial"/>
                <w:sz w:val="20"/>
                <w:lang w:val="de-DE"/>
              </w:rPr>
            </w:pPr>
            <w:r w:rsidRPr="00765C97">
              <w:rPr>
                <w:rFonts w:ascii="Arial" w:hAnsi="Arial"/>
                <w:sz w:val="20"/>
                <w:lang w:val="de-DE"/>
              </w:rPr>
              <w:t>100,00% zależna od Comarch Software und Beratung AG</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SoftM France S.à r.l.</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tcPr>
          <w:p w:rsidR="008A4263" w:rsidRPr="00765C97" w:rsidRDefault="008A4263" w:rsidP="00DB120C">
            <w:pPr>
              <w:spacing w:after="120"/>
              <w:jc w:val="center"/>
              <w:rPr>
                <w:rFonts w:ascii="Arial" w:hAnsi="Arial"/>
                <w:sz w:val="20"/>
                <w:lang w:val="de-DE"/>
              </w:rPr>
            </w:pPr>
            <w:r w:rsidRPr="00765C97">
              <w:rPr>
                <w:rFonts w:ascii="Arial" w:hAnsi="Arial"/>
                <w:sz w:val="20"/>
                <w:lang w:val="de-DE"/>
              </w:rPr>
              <w:t>100,00% zależna od Comarch Software und Beratung AG</w:t>
            </w:r>
          </w:p>
        </w:tc>
      </w:tr>
      <w:tr w:rsidR="008A4263" w:rsidRPr="00765C97" w:rsidTr="000C3C74">
        <w:trPr>
          <w:trHeight w:val="569"/>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S.A.S.</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 xml:space="preserve">100,00% </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lang w:val="de-DE"/>
              </w:rPr>
            </w:pPr>
            <w:r w:rsidRPr="00765C97">
              <w:rPr>
                <w:rFonts w:ascii="Arial" w:hAnsi="Arial"/>
                <w:sz w:val="20"/>
                <w:lang w:val="de-DE"/>
              </w:rPr>
              <w:t>Comarch Luxembourg S.à r.l.</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jc w:val="center"/>
              <w:rPr>
                <w:rFonts w:ascii="Arial" w:hAnsi="Arial"/>
                <w:sz w:val="20"/>
              </w:rPr>
            </w:pPr>
            <w:r w:rsidRPr="00765C97">
              <w:rPr>
                <w:rFonts w:ascii="Arial" w:hAnsi="Arial"/>
                <w:sz w:val="20"/>
              </w:rPr>
              <w:t>100,00%</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Inc.</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jc w:val="center"/>
              <w:rPr>
                <w:rFonts w:ascii="Arial" w:hAnsi="Arial"/>
                <w:sz w:val="20"/>
              </w:rPr>
            </w:pPr>
            <w:r w:rsidRPr="00765C97">
              <w:rPr>
                <w:rFonts w:ascii="Arial" w:hAnsi="Arial"/>
                <w:sz w:val="20"/>
              </w:rPr>
              <w:t>100,00%</w:t>
            </w:r>
          </w:p>
        </w:tc>
      </w:tr>
      <w:tr w:rsidR="008A4263" w:rsidRPr="00765C97" w:rsidTr="000C3C74">
        <w:trPr>
          <w:trHeight w:val="567"/>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Panama Inc.</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jc w:val="center"/>
              <w:rPr>
                <w:rFonts w:ascii="Arial" w:hAnsi="Arial"/>
                <w:sz w:val="20"/>
              </w:rPr>
            </w:pPr>
            <w:r w:rsidRPr="00765C97">
              <w:rPr>
                <w:rFonts w:ascii="Arial" w:hAnsi="Arial"/>
                <w:sz w:val="20"/>
              </w:rPr>
              <w:t>100,00% w posiadaniu Comarch Inc.</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Canada, Corp.</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jc w:val="center"/>
              <w:rPr>
                <w:rFonts w:ascii="Arial" w:hAnsi="Arial"/>
                <w:sz w:val="20"/>
              </w:rPr>
            </w:pPr>
            <w:r w:rsidRPr="00765C97">
              <w:rPr>
                <w:rFonts w:ascii="Arial" w:hAnsi="Arial"/>
                <w:sz w:val="20"/>
              </w:rPr>
              <w:t>100,00%</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Middle East FZ-LLC</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jc w:val="center"/>
              <w:rPr>
                <w:rFonts w:ascii="Arial" w:hAnsi="Arial"/>
                <w:sz w:val="20"/>
              </w:rPr>
            </w:pPr>
            <w:r w:rsidRPr="00765C97">
              <w:rPr>
                <w:rFonts w:ascii="Arial" w:hAnsi="Arial"/>
                <w:sz w:val="20"/>
              </w:rPr>
              <w:t>100,00%</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LLC</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jc w:val="center"/>
              <w:rPr>
                <w:rFonts w:ascii="Arial" w:hAnsi="Arial"/>
                <w:sz w:val="20"/>
              </w:rPr>
            </w:pPr>
            <w:r w:rsidRPr="00765C97">
              <w:rPr>
                <w:rFonts w:ascii="Arial" w:hAnsi="Arial"/>
                <w:sz w:val="20"/>
              </w:rPr>
              <w:t>100,00%</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OOO Comarch</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jc w:val="center"/>
              <w:rPr>
                <w:rFonts w:ascii="Arial" w:hAnsi="Arial"/>
                <w:sz w:val="20"/>
              </w:rPr>
            </w:pPr>
            <w:r w:rsidRPr="00765C97">
              <w:rPr>
                <w:rFonts w:ascii="Arial" w:hAnsi="Arial"/>
                <w:sz w:val="20"/>
              </w:rPr>
              <w:t>100,00%</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Software (Shanghai) Co. Ltd.</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jc w:val="center"/>
              <w:rPr>
                <w:rFonts w:ascii="Arial" w:hAnsi="Arial"/>
                <w:sz w:val="20"/>
              </w:rPr>
            </w:pPr>
            <w:r w:rsidRPr="00765C97">
              <w:rPr>
                <w:rFonts w:ascii="Arial" w:hAnsi="Arial"/>
                <w:sz w:val="20"/>
              </w:rPr>
              <w:t>100,00%</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CO., LTD (Wietnam)</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jc w:val="center"/>
              <w:rPr>
                <w:rFonts w:ascii="Arial" w:hAnsi="Arial"/>
                <w:sz w:val="20"/>
              </w:rPr>
            </w:pPr>
            <w:r w:rsidRPr="00765C97">
              <w:rPr>
                <w:rFonts w:ascii="Arial" w:hAnsi="Arial"/>
                <w:sz w:val="20"/>
              </w:rPr>
              <w:t>100,00%</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Oy</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jc w:val="center"/>
              <w:rPr>
                <w:rFonts w:ascii="Arial" w:hAnsi="Arial"/>
                <w:sz w:val="20"/>
              </w:rPr>
            </w:pPr>
            <w:r w:rsidRPr="00765C97">
              <w:rPr>
                <w:rFonts w:ascii="Arial" w:hAnsi="Arial"/>
                <w:sz w:val="20"/>
              </w:rPr>
              <w:t>100,00%</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UK Ltd.</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jc w:val="center"/>
              <w:rPr>
                <w:rFonts w:ascii="Arial" w:hAnsi="Arial"/>
                <w:sz w:val="20"/>
              </w:rPr>
            </w:pPr>
            <w:r w:rsidRPr="00765C97">
              <w:rPr>
                <w:rFonts w:ascii="Arial" w:hAnsi="Arial"/>
                <w:sz w:val="20"/>
              </w:rPr>
              <w:t>100,00%</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 xml:space="preserve">UAB Comarch </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jc w:val="center"/>
              <w:rPr>
                <w:rFonts w:ascii="Arial" w:hAnsi="Arial"/>
                <w:sz w:val="20"/>
              </w:rPr>
            </w:pPr>
            <w:r w:rsidRPr="00765C97">
              <w:rPr>
                <w:rFonts w:ascii="Arial" w:hAnsi="Arial"/>
                <w:sz w:val="20"/>
              </w:rPr>
              <w:t>100,00%</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s.r.o.</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jc w:val="center"/>
              <w:rPr>
                <w:rFonts w:ascii="Arial" w:hAnsi="Arial"/>
                <w:sz w:val="20"/>
              </w:rPr>
            </w:pPr>
            <w:r w:rsidRPr="00765C97">
              <w:rPr>
                <w:rFonts w:ascii="Arial" w:hAnsi="Arial"/>
                <w:sz w:val="20"/>
              </w:rPr>
              <w:t>100,00%</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SouthForge Sp. z o.o.</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jc w:val="center"/>
              <w:rPr>
                <w:rFonts w:ascii="Arial" w:hAnsi="Arial"/>
                <w:sz w:val="20"/>
              </w:rPr>
            </w:pPr>
            <w:r w:rsidRPr="00765C97">
              <w:rPr>
                <w:rFonts w:ascii="Arial" w:hAnsi="Arial"/>
                <w:sz w:val="20"/>
              </w:rPr>
              <w:t>100,00%</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CA Consulting S.A.</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100,00%</w:t>
            </w:r>
          </w:p>
        </w:tc>
      </w:tr>
      <w:tr w:rsidR="008A4263" w:rsidRPr="00765C97" w:rsidTr="000C3C74">
        <w:trPr>
          <w:trHeight w:val="277"/>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Management Sp. z o.o.</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100,00%</w:t>
            </w:r>
          </w:p>
        </w:tc>
      </w:tr>
      <w:tr w:rsidR="008A4263" w:rsidRPr="00765C97" w:rsidTr="000C3C74">
        <w:trPr>
          <w:trHeight w:val="562"/>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lang w:val="pl-PL"/>
              </w:rPr>
            </w:pPr>
            <w:r w:rsidRPr="00765C97">
              <w:rPr>
                <w:rFonts w:ascii="Arial" w:hAnsi="Arial"/>
                <w:sz w:val="20"/>
                <w:lang w:val="pl-PL"/>
              </w:rPr>
              <w:t>Comarch Corporate Finance Fundusz Inwestycyjny Zamknięty</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100,00% ogólnej liczby certyfikatów inwestycyjnych</w:t>
            </w:r>
          </w:p>
        </w:tc>
      </w:tr>
      <w:tr w:rsidR="008A4263" w:rsidRPr="00F346A4" w:rsidTr="000C3C74">
        <w:trPr>
          <w:trHeight w:val="2098"/>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Management Sp. z o.o. SK-A</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jc w:val="center"/>
              <w:rPr>
                <w:rFonts w:ascii="Arial" w:hAnsi="Arial"/>
                <w:sz w:val="20"/>
                <w:lang w:val="pl-PL"/>
              </w:rPr>
            </w:pPr>
            <w:r w:rsidRPr="00765C97">
              <w:rPr>
                <w:rFonts w:ascii="Arial" w:hAnsi="Arial"/>
                <w:sz w:val="20"/>
                <w:lang w:val="pl-PL"/>
              </w:rPr>
              <w:t>45,42% w posiadaniu CCF FIZ,</w:t>
            </w:r>
          </w:p>
          <w:p w:rsidR="008A4263" w:rsidRPr="00765C97" w:rsidRDefault="008A4263" w:rsidP="00DB120C">
            <w:pPr>
              <w:adjustRightInd w:val="0"/>
              <w:jc w:val="center"/>
              <w:rPr>
                <w:rFonts w:ascii="Arial" w:hAnsi="Arial"/>
                <w:sz w:val="20"/>
                <w:lang w:val="pl-PL"/>
              </w:rPr>
            </w:pPr>
            <w:r w:rsidRPr="00765C97">
              <w:rPr>
                <w:rFonts w:ascii="Arial" w:hAnsi="Arial"/>
                <w:sz w:val="20"/>
                <w:lang w:val="pl-PL"/>
              </w:rPr>
              <w:t>26,65% w posiadaniu Comarch S.A.,</w:t>
            </w:r>
          </w:p>
          <w:p w:rsidR="008A4263" w:rsidRPr="00765C97" w:rsidRDefault="008A4263" w:rsidP="00DB120C">
            <w:pPr>
              <w:adjustRightInd w:val="0"/>
              <w:jc w:val="center"/>
              <w:rPr>
                <w:rFonts w:ascii="Arial" w:hAnsi="Arial"/>
                <w:sz w:val="20"/>
                <w:lang w:val="pl-PL"/>
              </w:rPr>
            </w:pPr>
            <w:r w:rsidRPr="00765C97">
              <w:rPr>
                <w:rFonts w:ascii="Arial" w:hAnsi="Arial"/>
                <w:sz w:val="20"/>
                <w:lang w:val="pl-PL"/>
              </w:rPr>
              <w:t>27,93% akcji nabytych w celu umorzenia przez  Comarch Management Sp. z o.o. SK-A</w:t>
            </w:r>
          </w:p>
        </w:tc>
      </w:tr>
      <w:tr w:rsidR="008A4263" w:rsidRPr="00765C97" w:rsidTr="000C3C74">
        <w:trPr>
          <w:trHeight w:val="678"/>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Bonus Management Sp. z o.o. SK-A</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jc w:val="center"/>
              <w:rPr>
                <w:rFonts w:ascii="Arial" w:hAnsi="Arial"/>
                <w:sz w:val="20"/>
              </w:rPr>
            </w:pPr>
            <w:r w:rsidRPr="00765C97">
              <w:rPr>
                <w:rFonts w:ascii="Arial" w:hAnsi="Arial"/>
                <w:sz w:val="20"/>
              </w:rPr>
              <w:t>100,00% w posiadaniu CCF FIZ</w:t>
            </w:r>
          </w:p>
        </w:tc>
      </w:tr>
      <w:tr w:rsidR="008A4263" w:rsidRPr="00765C97" w:rsidTr="000C3C74">
        <w:trPr>
          <w:trHeight w:val="716"/>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Bonus Development Sp. z o.o. SK-A</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100,00% w posiadaniu CCF FIZ</w:t>
            </w:r>
          </w:p>
        </w:tc>
      </w:tr>
      <w:tr w:rsidR="008A4263" w:rsidRPr="00765C97" w:rsidTr="000C3C74">
        <w:trPr>
          <w:trHeight w:val="557"/>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Bonus Management Sp. z o.o. II Activia SK-A</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100,00% w posiadaniu CCF FIZ</w:t>
            </w:r>
          </w:p>
        </w:tc>
      </w:tr>
      <w:tr w:rsidR="008A4263" w:rsidRPr="00765C97" w:rsidTr="000C3C74">
        <w:trPr>
          <w:trHeight w:val="557"/>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Bonus Development Sp. z o.o. II Koncept SK-A</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100,00% w posiadaniu CCF FIZ</w:t>
            </w:r>
          </w:p>
        </w:tc>
      </w:tr>
      <w:tr w:rsidR="008A4263" w:rsidRPr="00765C97" w:rsidTr="000C3C74">
        <w:trPr>
          <w:trHeight w:val="557"/>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iMed24 S.A.</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100,00% w posiadaniu CCF FIZ</w:t>
            </w:r>
          </w:p>
        </w:tc>
      </w:tr>
      <w:tr w:rsidR="008A4263" w:rsidRPr="00765C97" w:rsidTr="000C3C74">
        <w:trPr>
          <w:trHeight w:val="578"/>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Polska S.A.</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100,00% w posiadaniu CCF FIZ</w:t>
            </w:r>
          </w:p>
        </w:tc>
      </w:tr>
      <w:tr w:rsidR="008A4263" w:rsidRPr="00765C97" w:rsidTr="000C3C74">
        <w:trPr>
          <w:trHeight w:val="576"/>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iReward24 S.A.</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100,00% w posiadaniu CCF FIZ</w:t>
            </w:r>
          </w:p>
        </w:tc>
      </w:tr>
      <w:tr w:rsidR="008A4263" w:rsidRPr="00765C97" w:rsidTr="000C3C74">
        <w:trPr>
          <w:trHeight w:val="661"/>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Infrastruktura24 S.A.</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100,00% w posiadaniu CCF FIZ</w:t>
            </w:r>
          </w:p>
        </w:tc>
      </w:tr>
      <w:tr w:rsidR="008A4263" w:rsidRPr="00765C97" w:rsidTr="000C3C74">
        <w:trPr>
          <w:trHeight w:val="28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iComarch24 S.A.</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100,00% w posiadaniu CCF FIZ</w:t>
            </w:r>
          </w:p>
        </w:tc>
      </w:tr>
      <w:tr w:rsidR="008A4263" w:rsidRPr="00765C97" w:rsidTr="000C3C74">
        <w:trPr>
          <w:trHeight w:val="28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CASA Management and Consulting Sp. z o.o. SK-A</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100,00% w posiadaniu CCF FIZ</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A-MEA Informatik AG</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ind w:left="-74"/>
              <w:jc w:val="center"/>
              <w:rPr>
                <w:rFonts w:ascii="Arial" w:hAnsi="Arial"/>
                <w:sz w:val="20"/>
              </w:rPr>
            </w:pPr>
            <w:r w:rsidRPr="00765C97">
              <w:rPr>
                <w:rFonts w:ascii="Arial" w:hAnsi="Arial"/>
                <w:sz w:val="20"/>
              </w:rPr>
              <w:t>100,00% w posiadaniu CASA Management and Consulting Sp. z o.o. SK-A</w:t>
            </w:r>
          </w:p>
        </w:tc>
      </w:tr>
      <w:tr w:rsidR="008A4263" w:rsidRPr="00765C97" w:rsidTr="000C3C74">
        <w:trPr>
          <w:trHeight w:val="28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lang w:val="pl-PL"/>
              </w:rPr>
            </w:pPr>
            <w:r w:rsidRPr="00765C97">
              <w:rPr>
                <w:rFonts w:ascii="Arial" w:hAnsi="Arial"/>
                <w:sz w:val="20"/>
                <w:lang w:val="pl-PL"/>
              </w:rPr>
              <w:t>ESAProjekt Sp. z o.o.</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spacing w:after="120"/>
              <w:ind w:left="-74"/>
              <w:jc w:val="center"/>
              <w:rPr>
                <w:rFonts w:ascii="Arial" w:hAnsi="Arial"/>
                <w:sz w:val="20"/>
              </w:rPr>
            </w:pPr>
            <w:r w:rsidRPr="00765C97">
              <w:rPr>
                <w:rFonts w:ascii="Arial" w:hAnsi="Arial"/>
                <w:sz w:val="20"/>
              </w:rPr>
              <w:t>100,00% w posiadaniu CASA Management and Consulting Sp. z o.o. SK-A</w:t>
            </w:r>
          </w:p>
        </w:tc>
      </w:tr>
      <w:tr w:rsidR="008A4263" w:rsidRPr="00765C97" w:rsidTr="000C3C74">
        <w:trPr>
          <w:trHeight w:val="25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Comarch Swiss AG</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tcPr>
          <w:p w:rsidR="008A4263" w:rsidRPr="00765C97" w:rsidRDefault="008A4263" w:rsidP="00DB120C">
            <w:pPr>
              <w:spacing w:after="120"/>
              <w:ind w:left="-35"/>
              <w:jc w:val="center"/>
              <w:rPr>
                <w:rFonts w:ascii="Arial" w:hAnsi="Arial"/>
                <w:sz w:val="20"/>
                <w:lang w:val="de-DE"/>
              </w:rPr>
            </w:pPr>
            <w:r w:rsidRPr="00765C97">
              <w:rPr>
                <w:rFonts w:ascii="Arial" w:hAnsi="Arial"/>
                <w:sz w:val="20"/>
                <w:lang w:val="de-DE"/>
              </w:rPr>
              <w:t xml:space="preserve">100,00% </w:t>
            </w:r>
            <w:r w:rsidRPr="00765C97">
              <w:rPr>
                <w:rFonts w:ascii="Arial" w:hAnsi="Arial"/>
                <w:sz w:val="20"/>
              </w:rPr>
              <w:t>w posiadaniu CASA Management and Consulting Sp. z o.o. SK-A</w:t>
            </w:r>
          </w:p>
        </w:tc>
      </w:tr>
      <w:tr w:rsidR="008A4263" w:rsidRPr="00765C97" w:rsidTr="000C3C74">
        <w:trPr>
          <w:trHeight w:val="28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lang w:val="pl-PL"/>
              </w:rPr>
            </w:pPr>
            <w:r w:rsidRPr="00765C97">
              <w:rPr>
                <w:rFonts w:ascii="Arial" w:hAnsi="Arial"/>
                <w:sz w:val="20"/>
                <w:lang w:val="pl-PL"/>
              </w:rPr>
              <w:t>Opso Sp. z o.o.</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spacing w:after="120"/>
              <w:jc w:val="center"/>
              <w:rPr>
                <w:rFonts w:ascii="Arial" w:hAnsi="Arial"/>
                <w:sz w:val="20"/>
                <w:lang w:val="pl-PL"/>
              </w:rPr>
            </w:pPr>
            <w:r w:rsidRPr="00765C97">
              <w:rPr>
                <w:rFonts w:ascii="Arial" w:hAnsi="Arial"/>
                <w:sz w:val="20"/>
                <w:lang w:val="pl-PL"/>
              </w:rPr>
              <w:t>100,00%</w:t>
            </w:r>
          </w:p>
        </w:tc>
      </w:tr>
      <w:tr w:rsidR="008A4263" w:rsidRPr="00765C97" w:rsidTr="000C3C74">
        <w:trPr>
          <w:trHeight w:val="285"/>
        </w:trPr>
        <w:tc>
          <w:tcPr>
            <w:tcW w:w="2835" w:type="dxa"/>
            <w:tcBorders>
              <w:right w:val="single" w:sz="4" w:space="0" w:color="auto"/>
            </w:tcBorders>
            <w:vAlign w:val="center"/>
          </w:tcPr>
          <w:p w:rsidR="008A4263" w:rsidRPr="00765C97" w:rsidRDefault="008A4263" w:rsidP="00DB120C">
            <w:pPr>
              <w:adjustRightInd w:val="0"/>
              <w:spacing w:after="120"/>
              <w:rPr>
                <w:rFonts w:ascii="Arial" w:hAnsi="Arial"/>
                <w:sz w:val="20"/>
              </w:rPr>
            </w:pPr>
            <w:r w:rsidRPr="00765C97">
              <w:rPr>
                <w:rFonts w:ascii="Arial" w:hAnsi="Arial"/>
                <w:sz w:val="20"/>
              </w:rPr>
              <w:t>MKS Cracovia SSA</w:t>
            </w:r>
          </w:p>
        </w:tc>
        <w:tc>
          <w:tcPr>
            <w:tcW w:w="1985" w:type="dxa"/>
            <w:tcBorders>
              <w:left w:val="single" w:sz="4" w:space="0" w:color="auto"/>
            </w:tcBorders>
            <w:vAlign w:val="center"/>
          </w:tcPr>
          <w:p w:rsidR="008A4263" w:rsidRPr="00765C97" w:rsidRDefault="008A4263" w:rsidP="00DB120C">
            <w:pPr>
              <w:spacing w:after="120"/>
              <w:jc w:val="center"/>
              <w:rPr>
                <w:rFonts w:ascii="Arial" w:hAnsi="Arial"/>
                <w:sz w:val="20"/>
              </w:rPr>
            </w:pPr>
            <w:r w:rsidRPr="00765C97">
              <w:rPr>
                <w:rFonts w:ascii="Arial" w:hAnsi="Arial"/>
                <w:sz w:val="20"/>
              </w:rPr>
              <w:t>jednostka zależna</w:t>
            </w:r>
          </w:p>
        </w:tc>
        <w:tc>
          <w:tcPr>
            <w:tcW w:w="1339" w:type="dxa"/>
            <w:vAlign w:val="center"/>
          </w:tcPr>
          <w:p w:rsidR="008A4263" w:rsidRPr="00765C97" w:rsidRDefault="008A4263" w:rsidP="00DB120C">
            <w:pPr>
              <w:spacing w:after="120"/>
              <w:jc w:val="center"/>
              <w:rPr>
                <w:rFonts w:ascii="Arial" w:hAnsi="Arial"/>
                <w:sz w:val="20"/>
              </w:rPr>
            </w:pPr>
            <w:r w:rsidRPr="00765C97">
              <w:rPr>
                <w:rFonts w:ascii="Arial" w:hAnsi="Arial"/>
                <w:sz w:val="20"/>
              </w:rPr>
              <w:t>pełna</w:t>
            </w:r>
          </w:p>
        </w:tc>
        <w:tc>
          <w:tcPr>
            <w:tcW w:w="2488" w:type="dxa"/>
            <w:vAlign w:val="center"/>
          </w:tcPr>
          <w:p w:rsidR="008A4263" w:rsidRPr="00765C97" w:rsidRDefault="008A4263" w:rsidP="00DB120C">
            <w:pPr>
              <w:adjustRightInd w:val="0"/>
              <w:spacing w:after="120"/>
              <w:jc w:val="center"/>
              <w:rPr>
                <w:rFonts w:ascii="Arial" w:hAnsi="Arial"/>
                <w:sz w:val="20"/>
              </w:rPr>
            </w:pPr>
            <w:r w:rsidRPr="00765C97">
              <w:rPr>
                <w:rFonts w:ascii="Arial" w:hAnsi="Arial"/>
                <w:sz w:val="20"/>
              </w:rPr>
              <w:t>59,82%</w:t>
            </w:r>
          </w:p>
        </w:tc>
      </w:tr>
    </w:tbl>
    <w:p w:rsidR="008A4263" w:rsidRPr="00765C97" w:rsidRDefault="008A4263" w:rsidP="008A4263">
      <w:pPr>
        <w:pStyle w:val="Akapitzlist"/>
        <w:tabs>
          <w:tab w:val="left" w:pos="360"/>
        </w:tabs>
        <w:adjustRightInd w:val="0"/>
        <w:ind w:left="360"/>
        <w:jc w:val="both"/>
        <w:rPr>
          <w:rFonts w:ascii="Arial" w:hAnsi="Arial"/>
          <w:i/>
          <w:sz w:val="14"/>
          <w:szCs w:val="14"/>
          <w:lang w:val="pl-PL"/>
        </w:rPr>
      </w:pPr>
    </w:p>
    <w:p w:rsidR="008A4263" w:rsidRPr="00765C97" w:rsidRDefault="008A4263" w:rsidP="008A4263">
      <w:pPr>
        <w:pStyle w:val="Akapitzlist"/>
        <w:tabs>
          <w:tab w:val="left" w:pos="360"/>
        </w:tabs>
        <w:adjustRightInd w:val="0"/>
        <w:ind w:left="360"/>
        <w:jc w:val="both"/>
        <w:rPr>
          <w:rFonts w:ascii="Arial" w:hAnsi="Arial"/>
          <w:sz w:val="18"/>
          <w:lang w:val="pl-PL"/>
        </w:rPr>
      </w:pPr>
      <w:r w:rsidRPr="00765C97">
        <w:rPr>
          <w:rFonts w:ascii="Arial" w:hAnsi="Arial"/>
          <w:i/>
          <w:sz w:val="14"/>
          <w:szCs w:val="14"/>
          <w:lang w:val="pl-PL"/>
        </w:rPr>
        <w:t xml:space="preserve">(*) </w:t>
      </w:r>
      <w:r w:rsidRPr="00765C97">
        <w:rPr>
          <w:rFonts w:ascii="Arial" w:hAnsi="Arial" w:cs="Arial"/>
          <w:i/>
          <w:sz w:val="14"/>
          <w:szCs w:val="14"/>
          <w:lang w:val="pl-PL"/>
        </w:rPr>
        <w:t>w tym 2,68% akcji CSuB AG pożyczonych od podmiotu spoza Grupy Comarch</w:t>
      </w:r>
    </w:p>
    <w:p w:rsidR="00B24DA9" w:rsidRPr="00765C97" w:rsidRDefault="00B24DA9" w:rsidP="00135A9A">
      <w:pPr>
        <w:pStyle w:val="Nagwek3"/>
        <w:numPr>
          <w:ilvl w:val="1"/>
          <w:numId w:val="14"/>
        </w:numPr>
        <w:spacing w:after="240"/>
        <w:ind w:left="709" w:hanging="539"/>
        <w:rPr>
          <w:sz w:val="20"/>
          <w:lang w:val="pl-PL"/>
        </w:rPr>
      </w:pPr>
      <w:bookmarkStart w:id="30" w:name="_Toc353973204"/>
      <w:r w:rsidRPr="00765C97">
        <w:rPr>
          <w:sz w:val="20"/>
          <w:lang w:val="pl-PL"/>
        </w:rPr>
        <w:t>Zasady wyceny aktywów i pasywów oraz ustalania wyniku finansowego</w:t>
      </w:r>
      <w:bookmarkEnd w:id="27"/>
      <w:bookmarkEnd w:id="28"/>
      <w:bookmarkEnd w:id="29"/>
      <w:bookmarkEnd w:id="30"/>
    </w:p>
    <w:p w:rsidR="00B24DA9" w:rsidRPr="00765C97" w:rsidRDefault="00B24DA9" w:rsidP="00135A9A">
      <w:pPr>
        <w:pStyle w:val="Nagwek4"/>
        <w:numPr>
          <w:ilvl w:val="2"/>
          <w:numId w:val="14"/>
        </w:numPr>
        <w:spacing w:before="240" w:after="60"/>
        <w:ind w:left="1276" w:hanging="851"/>
        <w:rPr>
          <w:rFonts w:ascii="Arial" w:hAnsi="Arial"/>
          <w:sz w:val="20"/>
          <w:lang w:val="pl-PL"/>
        </w:rPr>
      </w:pPr>
      <w:r w:rsidRPr="00765C97">
        <w:rPr>
          <w:rFonts w:ascii="Arial" w:hAnsi="Arial"/>
          <w:sz w:val="20"/>
          <w:lang w:val="pl-PL"/>
        </w:rPr>
        <w:t>Sprawozdawczość dotycząca segmentów</w:t>
      </w:r>
    </w:p>
    <w:p w:rsidR="00FA224D" w:rsidRPr="00765C97" w:rsidRDefault="00FA224D" w:rsidP="00110A6C">
      <w:pPr>
        <w:adjustRightInd w:val="0"/>
        <w:jc w:val="both"/>
        <w:rPr>
          <w:rFonts w:ascii="Arial" w:hAnsi="Arial"/>
          <w:spacing w:val="-2"/>
          <w:sz w:val="20"/>
          <w:lang w:val="pl-PL"/>
        </w:rPr>
      </w:pPr>
      <w:r w:rsidRPr="00765C97">
        <w:rPr>
          <w:rFonts w:ascii="Arial" w:hAnsi="Arial"/>
          <w:spacing w:val="-2"/>
          <w:sz w:val="20"/>
          <w:lang w:val="pl-PL"/>
        </w:rPr>
        <w:t xml:space="preserve">Grupa </w:t>
      </w:r>
      <w:r w:rsidR="00444117" w:rsidRPr="00765C97">
        <w:rPr>
          <w:rFonts w:ascii="Arial" w:hAnsi="Arial"/>
          <w:sz w:val="20"/>
          <w:lang w:val="pl-PL"/>
        </w:rPr>
        <w:t>Kapitałowa Comarch prowadzi sprawozdawczość według segmentów zgodnie z MSSF 8 „Segmenty operacyjne”. Segmenty operacyjne zostały określone na podstawie sprawozdań wewnętrznych dotyczących komponentów jednostki gospodarczej podlegających okresowym przeglądom dokonywanym przez członka kierownictwa odpowiedzialnego za podejmowanie decyzji operacyjnych, w celu alokacji zasobów do poszczególnych segmentów i oceny ich działania.</w:t>
      </w:r>
    </w:p>
    <w:p w:rsidR="00C24263" w:rsidRPr="00765C97" w:rsidRDefault="00C24263" w:rsidP="00444117">
      <w:pPr>
        <w:adjustRightInd w:val="0"/>
        <w:ind w:left="180"/>
        <w:jc w:val="both"/>
        <w:rPr>
          <w:rFonts w:ascii="Arial" w:hAnsi="Arial"/>
          <w:sz w:val="20"/>
          <w:lang w:val="pl-PL"/>
        </w:rPr>
      </w:pPr>
    </w:p>
    <w:p w:rsidR="00110A6C" w:rsidRPr="00765C97" w:rsidRDefault="00110A6C" w:rsidP="00110A6C">
      <w:pPr>
        <w:adjustRightInd w:val="0"/>
        <w:jc w:val="both"/>
        <w:rPr>
          <w:rFonts w:ascii="Arial" w:hAnsi="Arial"/>
          <w:sz w:val="20"/>
          <w:lang w:val="pl-PL"/>
        </w:rPr>
      </w:pPr>
      <w:r w:rsidRPr="00765C97">
        <w:rPr>
          <w:rFonts w:ascii="Arial" w:hAnsi="Arial"/>
          <w:sz w:val="20"/>
          <w:lang w:val="pl-PL"/>
        </w:rPr>
        <w:t xml:space="preserve">Dla Grupy Kapitałowej Comarch podstawowym rodzajem segmentów operacyjnych są segmenty branżowe a pomocniczym rodzajem segmentów operacyjnych są segmenty geograficzne. Objęte konsolidacją jednostki Grupy Kapitałowej Comarch prowadzą następujące rodzaje działalności: </w:t>
      </w:r>
    </w:p>
    <w:p w:rsidR="00110A6C" w:rsidRPr="00765C97" w:rsidRDefault="00110A6C" w:rsidP="00110A6C">
      <w:pPr>
        <w:adjustRightInd w:val="0"/>
        <w:jc w:val="both"/>
        <w:rPr>
          <w:rFonts w:ascii="Arial" w:hAnsi="Arial"/>
          <w:sz w:val="20"/>
          <w:lang w:val="pl-PL"/>
        </w:rPr>
      </w:pPr>
    </w:p>
    <w:p w:rsidR="00110A6C" w:rsidRPr="00765C97" w:rsidRDefault="00110A6C" w:rsidP="00110A6C">
      <w:pPr>
        <w:adjustRightInd w:val="0"/>
        <w:jc w:val="both"/>
        <w:rPr>
          <w:rFonts w:ascii="Arial" w:hAnsi="Arial"/>
          <w:sz w:val="20"/>
          <w:lang w:val="pl-PL"/>
        </w:rPr>
      </w:pPr>
      <w:r w:rsidRPr="00765C97">
        <w:rPr>
          <w:rFonts w:ascii="Arial" w:hAnsi="Arial"/>
          <w:sz w:val="20"/>
          <w:lang w:val="pl-PL"/>
        </w:rPr>
        <w:t>- sprzedaż systemów informatycznych i usług z nimi związanych oraz sprzedaż sprzętu informatycznego (określaną dalej jako „Segment IT”),</w:t>
      </w:r>
    </w:p>
    <w:p w:rsidR="00110A6C" w:rsidRPr="00765C97" w:rsidRDefault="00110A6C" w:rsidP="00110A6C">
      <w:pPr>
        <w:adjustRightInd w:val="0"/>
        <w:jc w:val="both"/>
        <w:rPr>
          <w:rFonts w:ascii="Arial" w:hAnsi="Arial"/>
          <w:sz w:val="20"/>
          <w:lang w:val="pl-PL"/>
        </w:rPr>
      </w:pPr>
      <w:r w:rsidRPr="00765C97">
        <w:rPr>
          <w:rFonts w:ascii="Arial" w:hAnsi="Arial"/>
          <w:sz w:val="20"/>
          <w:lang w:val="pl-PL"/>
        </w:rPr>
        <w:t>- działalność sportową (określaną dalej jako „Segment Sport”) prowadzoną przez MKS Cracovia SSA,</w:t>
      </w:r>
    </w:p>
    <w:p w:rsidR="00110A6C" w:rsidRPr="00765C97" w:rsidRDefault="00110A6C" w:rsidP="00110A6C">
      <w:pPr>
        <w:adjustRightInd w:val="0"/>
        <w:jc w:val="both"/>
        <w:rPr>
          <w:rFonts w:ascii="Arial" w:hAnsi="Arial"/>
          <w:sz w:val="20"/>
          <w:lang w:val="pl-PL"/>
        </w:rPr>
      </w:pPr>
      <w:r w:rsidRPr="00765C97">
        <w:rPr>
          <w:rFonts w:ascii="Arial" w:hAnsi="Arial"/>
          <w:sz w:val="20"/>
          <w:lang w:val="pl-PL"/>
        </w:rPr>
        <w:t>- działalność związaną z inwestowaniem na rynku kapitałowym i na rynku nieruchomości (określaną dalej jako „Segment Inwestycje”),</w:t>
      </w:r>
    </w:p>
    <w:p w:rsidR="00110A6C" w:rsidRPr="00765C97" w:rsidRDefault="00110A6C" w:rsidP="00110A6C">
      <w:pPr>
        <w:adjustRightInd w:val="0"/>
        <w:jc w:val="both"/>
        <w:rPr>
          <w:rFonts w:ascii="Arial" w:hAnsi="Arial"/>
          <w:sz w:val="20"/>
          <w:lang w:val="pl-PL"/>
        </w:rPr>
      </w:pPr>
      <w:r w:rsidRPr="00765C97">
        <w:rPr>
          <w:rFonts w:ascii="Arial" w:hAnsi="Arial"/>
          <w:sz w:val="20"/>
          <w:lang w:val="pl-PL"/>
        </w:rPr>
        <w:t>- działalność w zakresie usług medycznych oraz produkcji oprogramowania dla medycyny (określaną dalej jako „Segment Medycyna”).</w:t>
      </w:r>
    </w:p>
    <w:p w:rsidR="00110A6C" w:rsidRPr="00765C97" w:rsidRDefault="00110A6C" w:rsidP="00110A6C">
      <w:pPr>
        <w:adjustRightInd w:val="0"/>
        <w:jc w:val="both"/>
        <w:rPr>
          <w:rFonts w:ascii="Arial" w:hAnsi="Arial"/>
          <w:sz w:val="20"/>
          <w:lang w:val="pl-PL"/>
        </w:rPr>
      </w:pPr>
    </w:p>
    <w:p w:rsidR="00444117" w:rsidRPr="00765C97" w:rsidRDefault="00110A6C" w:rsidP="00110A6C">
      <w:pPr>
        <w:adjustRightInd w:val="0"/>
        <w:jc w:val="both"/>
        <w:rPr>
          <w:rFonts w:ascii="Arial" w:hAnsi="Arial"/>
          <w:sz w:val="20"/>
          <w:lang w:val="pl-PL"/>
        </w:rPr>
      </w:pPr>
      <w:r w:rsidRPr="00765C97">
        <w:rPr>
          <w:rFonts w:ascii="Arial" w:hAnsi="Arial"/>
          <w:sz w:val="20"/>
          <w:lang w:val="pl-PL"/>
        </w:rPr>
        <w:t xml:space="preserve">Dominujący udział w przychodach ze sprzedaży, wynikach oraz aktywach posiada Segment IT. Ze względu na specyfikę działalności segment IT prezentowany jest z wydzieleniem rynku DACH (Niemcy, Austria, Szwajcaria), rynku polskiego oraz rynków pozostałych. Segment Inwestycje został wyodrębniony w pierwszym kwartale 2010 roku w związku ze wzrostem zakresu jego działalności. Ze względu na istotną kwotę poniesionych nakładów inwestycyjnych z dniem 30 września 2011 r. wyodrębniono „Segment Medycyna” i zaprezentowano udział tego segmentu w aktywach, zobowiązaniach i wydatkach inwestycyjnych. W nocie o przychodach, kosztach i wyniku finansowym „Segment Medycyna” został wyodrębniony z dniem 31 grudnia 2011 r., gdyż dopiero w czwartym kwartale poniesiono wydatki kosztowe związane z przygotowaniem do uruchomienia centrum medycznego. Począwszy od </w:t>
      </w:r>
      <w:r w:rsidR="00692BDC" w:rsidRPr="00765C97">
        <w:rPr>
          <w:rFonts w:ascii="Arial" w:hAnsi="Arial"/>
          <w:sz w:val="20"/>
          <w:lang w:val="pl-PL"/>
        </w:rPr>
        <w:t>pierwszego</w:t>
      </w:r>
      <w:r w:rsidRPr="00765C97">
        <w:rPr>
          <w:rFonts w:ascii="Arial" w:hAnsi="Arial"/>
          <w:sz w:val="20"/>
          <w:lang w:val="pl-PL"/>
        </w:rPr>
        <w:t xml:space="preserve"> kwartału 2012 roku Grupa zaprzestała wyodrębniać Segment Internet ze względu na przyporządkowanie działalności prowadzonej dotychczas w tym segmencie do Segmentu IT oraz Segmentu Medycyna. W celu doprowadzenia do porównywalności zostały odpowiednio zmodyfikowane analogiczne dane za rok 2011 (Segment Internet został połączony z Segmentem IT-rynek polski).</w:t>
      </w:r>
      <w:r w:rsidR="00444117" w:rsidRPr="00765C97">
        <w:rPr>
          <w:rFonts w:ascii="Arial" w:hAnsi="Arial"/>
          <w:sz w:val="20"/>
          <w:lang w:val="pl-PL"/>
        </w:rPr>
        <w:t xml:space="preserve">  </w:t>
      </w:r>
    </w:p>
    <w:p w:rsidR="00C24263" w:rsidRPr="00765C97" w:rsidRDefault="00C24263" w:rsidP="00444117">
      <w:pPr>
        <w:adjustRightInd w:val="0"/>
        <w:ind w:left="180"/>
        <w:jc w:val="both"/>
        <w:rPr>
          <w:rFonts w:ascii="Arial" w:hAnsi="Arial"/>
          <w:spacing w:val="-2"/>
          <w:sz w:val="20"/>
          <w:lang w:val="pl-PL"/>
        </w:rPr>
      </w:pPr>
    </w:p>
    <w:p w:rsidR="00DF712C" w:rsidRPr="00765C97" w:rsidRDefault="00DF712C" w:rsidP="00110A6C">
      <w:pPr>
        <w:adjustRightInd w:val="0"/>
        <w:jc w:val="both"/>
        <w:rPr>
          <w:rFonts w:ascii="Arial" w:hAnsi="Arial"/>
          <w:spacing w:val="-2"/>
          <w:sz w:val="20"/>
          <w:lang w:val="pl-PL"/>
        </w:rPr>
      </w:pPr>
      <w:r w:rsidRPr="00765C97">
        <w:rPr>
          <w:rFonts w:ascii="Arial" w:hAnsi="Arial"/>
          <w:spacing w:val="-2"/>
          <w:sz w:val="20"/>
          <w:lang w:val="pl-PL"/>
        </w:rPr>
        <w:t>Rozkład przychodów ze sprzedaży osiąganych przez Grupę Kapitałową Comarch na przestrzeni roku 2012 przedstawiał się następująco: 19% rocznej sprzedaży zostało zrealizowane w pierwszym kwartale, 21% w drugim kwartale, 19% w trzecim kwartale oraz 41% w czwartym kwartale. Taki rozkład przychodów jest typowy dla branży informatycznej.</w:t>
      </w:r>
    </w:p>
    <w:p w:rsidR="00C24263" w:rsidRPr="00765C97" w:rsidRDefault="00DF712C" w:rsidP="00765E5F">
      <w:pPr>
        <w:adjustRightInd w:val="0"/>
        <w:jc w:val="both"/>
        <w:rPr>
          <w:rFonts w:ascii="Arial" w:hAnsi="Arial"/>
          <w:b/>
          <w:bCs/>
          <w:sz w:val="20"/>
          <w:lang w:val="pl-PL"/>
        </w:rPr>
      </w:pPr>
      <w:r w:rsidRPr="00765C97">
        <w:rPr>
          <w:rFonts w:ascii="Arial" w:hAnsi="Arial"/>
          <w:spacing w:val="-2"/>
          <w:sz w:val="20"/>
          <w:lang w:val="pl-PL"/>
        </w:rPr>
        <w:t xml:space="preserve">Na przestrzeni roku 2013 Grupa spodziewa się rozkładu przychodów ze sprzedaży zbliżonego do ubiegłorocznego. </w:t>
      </w:r>
    </w:p>
    <w:p w:rsidR="00B24DA9" w:rsidRPr="00765C97" w:rsidRDefault="00B24DA9" w:rsidP="00135A9A">
      <w:pPr>
        <w:pStyle w:val="Nagwek4"/>
        <w:numPr>
          <w:ilvl w:val="2"/>
          <w:numId w:val="14"/>
        </w:numPr>
        <w:spacing w:before="240" w:after="60"/>
        <w:ind w:left="1276" w:hanging="851"/>
        <w:rPr>
          <w:rFonts w:ascii="Arial" w:hAnsi="Arial"/>
          <w:sz w:val="20"/>
          <w:lang w:val="pl-PL"/>
        </w:rPr>
      </w:pPr>
      <w:r w:rsidRPr="00765C97">
        <w:rPr>
          <w:rFonts w:ascii="Arial" w:hAnsi="Arial"/>
          <w:sz w:val="20"/>
          <w:lang w:val="pl-PL"/>
        </w:rPr>
        <w:t>Konsolidacja</w:t>
      </w:r>
    </w:p>
    <w:p w:rsidR="00B24DA9" w:rsidRPr="00765C97" w:rsidRDefault="00B24DA9">
      <w:pPr>
        <w:pStyle w:val="Style1"/>
        <w:adjustRightInd/>
        <w:spacing w:line="260" w:lineRule="atLeast"/>
        <w:ind w:left="180"/>
        <w:jc w:val="both"/>
        <w:rPr>
          <w:rFonts w:ascii="Arial" w:hAnsi="Arial"/>
          <w:b/>
          <w:spacing w:val="-2"/>
          <w:lang w:val="pl-PL"/>
        </w:rPr>
      </w:pPr>
      <w:r w:rsidRPr="00765C97">
        <w:rPr>
          <w:rFonts w:ascii="Arial" w:hAnsi="Arial"/>
          <w:b/>
          <w:spacing w:val="-8"/>
          <w:lang w:val="pl-PL"/>
        </w:rPr>
        <w:t xml:space="preserve">a) </w:t>
      </w:r>
      <w:r w:rsidRPr="00765C97">
        <w:rPr>
          <w:rFonts w:ascii="Arial" w:hAnsi="Arial"/>
          <w:b/>
          <w:spacing w:val="-2"/>
          <w:lang w:val="pl-PL"/>
        </w:rPr>
        <w:t>Jednostki zależne</w:t>
      </w:r>
    </w:p>
    <w:p w:rsidR="00B24DA9" w:rsidRPr="00765C97" w:rsidRDefault="00B24DA9">
      <w:pPr>
        <w:pStyle w:val="Style1"/>
        <w:adjustRightInd/>
        <w:ind w:left="180"/>
        <w:jc w:val="both"/>
        <w:rPr>
          <w:rFonts w:ascii="Arial" w:hAnsi="Arial"/>
          <w:lang w:val="pl-PL"/>
        </w:rPr>
      </w:pPr>
    </w:p>
    <w:p w:rsidR="008030BE" w:rsidRPr="00765C97" w:rsidRDefault="008030BE" w:rsidP="000C3C74">
      <w:pPr>
        <w:pStyle w:val="Style1"/>
        <w:adjustRightInd/>
        <w:jc w:val="both"/>
        <w:rPr>
          <w:rFonts w:ascii="Arial" w:hAnsi="Arial"/>
          <w:spacing w:val="-17"/>
          <w:lang w:val="pl-PL"/>
        </w:rPr>
      </w:pPr>
      <w:r w:rsidRPr="00765C97">
        <w:rPr>
          <w:rFonts w:ascii="Arial" w:hAnsi="Arial"/>
          <w:lang w:val="pl-PL"/>
        </w:rPr>
        <w:t>Jednostki zależne to wszelkie jednostki (w tym jednostki specjalnego przeznaczenia), w odniesieniu, do których Grupa ma zdolność kierowania ich polityką finansową i operacyjną, co zwykle towarzyszy posiadaniu większości ogólnej liczby głosów w organach stanowiących. Przy dokonywaniu oceny, czy Grupa kontroluje daną jednostkę uwzględnia się istnienie i wpływ potencjalnych praw głosu, które w danej chwili można zrealizować lub zamienić. Jednostki zależne podlegają pełnej konsolidacji od dnia przejęcia nad nimi kontroli przez Grupę. Przestaje się je konsolidować z dniem ustania kontroli</w:t>
      </w:r>
      <w:r w:rsidRPr="00765C97">
        <w:rPr>
          <w:rFonts w:ascii="Arial" w:hAnsi="Arial"/>
          <w:spacing w:val="-17"/>
          <w:lang w:val="pl-PL"/>
        </w:rPr>
        <w:t>.</w:t>
      </w:r>
    </w:p>
    <w:p w:rsidR="008030BE" w:rsidRPr="00765C97" w:rsidRDefault="008030BE" w:rsidP="000C3C74">
      <w:pPr>
        <w:pStyle w:val="Style1"/>
        <w:adjustRightInd/>
        <w:jc w:val="both"/>
        <w:rPr>
          <w:rFonts w:ascii="Arial" w:hAnsi="Arial"/>
          <w:spacing w:val="-17"/>
          <w:lang w:val="pl-PL"/>
        </w:rPr>
      </w:pPr>
    </w:p>
    <w:p w:rsidR="00C362CD" w:rsidRPr="00765C97" w:rsidRDefault="00C362CD" w:rsidP="000C3C74">
      <w:pPr>
        <w:pStyle w:val="Style1"/>
        <w:adjustRightInd/>
        <w:jc w:val="both"/>
        <w:rPr>
          <w:rFonts w:ascii="Arial" w:hAnsi="Arial"/>
          <w:lang w:val="pl-PL"/>
        </w:rPr>
      </w:pPr>
      <w:r w:rsidRPr="00765C97">
        <w:rPr>
          <w:rFonts w:ascii="Arial" w:hAnsi="Arial"/>
          <w:lang w:val="pl-PL"/>
        </w:rPr>
        <w:t>Przejęcia jednostek i wyodrębnionych części działalności rozlicza się metodą nabycia. Każdorazowo płatność przekazana  w wyniku połączenia jednostek wyceniana jest w zagregowanej wartości godziwej (na dzień dokonania zapłaty) przekazanych aktywów, poniesionych lub przejętych zobowiązań oraz instrumentów kapitałowych wyemitowanych przez Grupę w zamian za przejęcie kontroli nad jednostką przejmowaną. Koszty bezpośrednio związane z połączeniem jednostek gospodarczych ujmowane są w wyniku finansowym w momencie ich poniesienia.</w:t>
      </w:r>
    </w:p>
    <w:p w:rsidR="00C24263" w:rsidRPr="00765C97" w:rsidRDefault="00C24263" w:rsidP="000C3C74">
      <w:pPr>
        <w:pStyle w:val="Style1"/>
        <w:jc w:val="both"/>
        <w:rPr>
          <w:rFonts w:ascii="Arial" w:hAnsi="Arial"/>
          <w:lang w:val="pl-PL"/>
        </w:rPr>
      </w:pPr>
    </w:p>
    <w:p w:rsidR="00C362CD" w:rsidRPr="00765C97" w:rsidRDefault="00C362CD" w:rsidP="000C3C74">
      <w:pPr>
        <w:pStyle w:val="Style1"/>
        <w:jc w:val="both"/>
        <w:rPr>
          <w:rFonts w:ascii="Arial" w:hAnsi="Arial"/>
          <w:lang w:val="pl-PL"/>
        </w:rPr>
      </w:pPr>
      <w:r w:rsidRPr="00765C97">
        <w:rPr>
          <w:rFonts w:ascii="Arial" w:hAnsi="Arial"/>
          <w:lang w:val="pl-PL"/>
        </w:rPr>
        <w:t>W określonych przypadkach, przekazana płatność zawiera także aktywa lub zobowiązania wynikające z płatności warunkowej, mierzonej na dzień nabycia w wartości godziwej. Zmiany wartości godziwej płatności warunkowej w kolejnych okresach ujmowane są jako zmiany kosztu połączenia jedynie jeżeli mogą być zaklasyfikowane jako zmiany w okresie pomiaru. Wszystkie inne zmiany rozliczane są zgodnie z odpowiednimi  regulacjami MSSF. Zmiany w wartości godziwej płatności warunkowej zakwalifikowanej jako element kapitałowy nie są ujmowane.</w:t>
      </w:r>
    </w:p>
    <w:p w:rsidR="00C24263" w:rsidRPr="00765C97" w:rsidRDefault="00C24263" w:rsidP="000C3C74">
      <w:pPr>
        <w:pStyle w:val="Style1"/>
        <w:jc w:val="both"/>
        <w:rPr>
          <w:rFonts w:ascii="Arial" w:hAnsi="Arial"/>
          <w:lang w:val="pl-PL"/>
        </w:rPr>
      </w:pPr>
    </w:p>
    <w:p w:rsidR="00C362CD" w:rsidRPr="00765C97" w:rsidRDefault="00C362CD" w:rsidP="000C3C74">
      <w:pPr>
        <w:pStyle w:val="Style1"/>
        <w:jc w:val="both"/>
        <w:rPr>
          <w:rFonts w:ascii="Arial" w:hAnsi="Arial"/>
          <w:lang w:val="pl-PL"/>
        </w:rPr>
      </w:pPr>
      <w:r w:rsidRPr="00765C97">
        <w:rPr>
          <w:rFonts w:ascii="Arial" w:hAnsi="Arial"/>
          <w:lang w:val="pl-PL"/>
        </w:rPr>
        <w:t>Dające się zidentyfikować aktywa, zobowiązania i zobowiązania warunkowe jednostki przejmowanej spełniające warunki ujęcia zgodnie z MSSF 3 „Połączenia jednostek gospodarczych” ujmuje się w wartości godziwej na dzień przejęcia, z uwzględnieniem wyjątków zawartych w MSSF 3.</w:t>
      </w:r>
    </w:p>
    <w:p w:rsidR="00C362CD" w:rsidRPr="00765C97" w:rsidRDefault="00C362CD" w:rsidP="000C3C74">
      <w:pPr>
        <w:pStyle w:val="Style1"/>
        <w:jc w:val="both"/>
        <w:rPr>
          <w:rFonts w:ascii="Arial" w:hAnsi="Arial"/>
          <w:lang w:val="pl-PL"/>
        </w:rPr>
      </w:pPr>
      <w:r w:rsidRPr="00765C97">
        <w:rPr>
          <w:rFonts w:ascii="Arial" w:hAnsi="Arial"/>
          <w:lang w:val="pl-PL"/>
        </w:rPr>
        <w:t>W razie nabycia kontroli w następstwie kilku następujących po sobie transakcji, udziały będące w posiadaniu Grupy na dzień objęcia kontroli są wyceniane w wartości godziwej z odniesieniem skutków w rachunek zysków i strat.  Kwoty narosłe z tytułu udziałów w tej jednostce odniesione uprzednio do innych składników całkowitych dochodów  są przenoszone do rachunku zysków i strat.</w:t>
      </w:r>
    </w:p>
    <w:p w:rsidR="00C24263" w:rsidRPr="00765C97" w:rsidRDefault="00C24263" w:rsidP="000C3C74">
      <w:pPr>
        <w:pStyle w:val="Style1"/>
        <w:adjustRightInd/>
        <w:jc w:val="both"/>
        <w:rPr>
          <w:rFonts w:ascii="Arial" w:hAnsi="Arial"/>
          <w:lang w:val="pl-PL"/>
        </w:rPr>
      </w:pPr>
    </w:p>
    <w:p w:rsidR="00B24DA9" w:rsidRPr="00765C97" w:rsidRDefault="00C362CD" w:rsidP="000C3C74">
      <w:pPr>
        <w:pStyle w:val="Style1"/>
        <w:adjustRightInd/>
        <w:jc w:val="both"/>
        <w:rPr>
          <w:rFonts w:ascii="Arial" w:hAnsi="Arial"/>
          <w:spacing w:val="-1"/>
          <w:lang w:val="pl-PL"/>
        </w:rPr>
      </w:pPr>
      <w:r w:rsidRPr="00765C97">
        <w:rPr>
          <w:rFonts w:ascii="Arial" w:hAnsi="Arial"/>
          <w:lang w:val="pl-PL"/>
        </w:rPr>
        <w:t>Wartość firmy wynikającą z przejęcia ujmuje się w aktywach i początkowo wykazuje po kosztach, jako wartość kosztów przejęcia przekraczającą udział Grupy w wartości godziwej netto dających się zidentyfikować ujętych aktywów, zobowiązań i zobowiązań warunkowych. Jeśli po przeszacowaniu udział Grupy w wartości godziwej netto dających się zidentyfikować aktywów, zobowiązań i zobowiązań warunkowych jednostki przejmowanej przekracza koszt połączenia jednostek gospodarczych, nadwyżkę ujmuje się niezwłocznie w wyniku finansowym.</w:t>
      </w:r>
      <w:r w:rsidR="00B24DA9" w:rsidRPr="00765C97">
        <w:rPr>
          <w:rFonts w:ascii="Arial" w:hAnsi="Arial"/>
          <w:lang w:val="pl-PL"/>
        </w:rPr>
        <w:t xml:space="preserve"> </w:t>
      </w:r>
    </w:p>
    <w:p w:rsidR="00C24263" w:rsidRPr="00765C97" w:rsidRDefault="00C24263" w:rsidP="000C3C74">
      <w:pPr>
        <w:pStyle w:val="Style1"/>
        <w:adjustRightInd/>
        <w:jc w:val="both"/>
        <w:rPr>
          <w:rFonts w:ascii="Arial" w:hAnsi="Arial"/>
          <w:lang w:val="pl-PL"/>
        </w:rPr>
      </w:pPr>
    </w:p>
    <w:p w:rsidR="00B24DA9" w:rsidRPr="00765C97" w:rsidRDefault="00B24DA9" w:rsidP="000C3C74">
      <w:pPr>
        <w:pStyle w:val="Style1"/>
        <w:adjustRightInd/>
        <w:jc w:val="both"/>
        <w:rPr>
          <w:rFonts w:ascii="Arial" w:hAnsi="Arial"/>
          <w:spacing w:val="-2"/>
          <w:lang w:val="pl-PL"/>
        </w:rPr>
      </w:pPr>
      <w:r w:rsidRPr="00765C97">
        <w:rPr>
          <w:rFonts w:ascii="Arial" w:hAnsi="Arial"/>
          <w:lang w:val="pl-PL"/>
        </w:rPr>
        <w:t xml:space="preserve">Transakcje, rozrachunki i nie zrealizowane zyski na transakcjach pomiędzy spółkami Grupy </w:t>
      </w:r>
      <w:r w:rsidRPr="00765C97">
        <w:rPr>
          <w:rFonts w:ascii="Arial" w:hAnsi="Arial"/>
          <w:spacing w:val="-2"/>
          <w:lang w:val="pl-PL"/>
        </w:rPr>
        <w:t xml:space="preserve">są eliminowane. Nie zrealizowane straty również podlegają eliminacji, chyba że transakcja dostarcza dowodów na </w:t>
      </w:r>
      <w:r w:rsidRPr="00765C97">
        <w:rPr>
          <w:rFonts w:ascii="Arial" w:hAnsi="Arial"/>
          <w:lang w:val="pl-PL"/>
        </w:rPr>
        <w:t>utratę wartości przez przekazany składnik aktywów. Zasady rachunkowości stosowane przez jednostki zależne zostały zmienione, tam gdzie było to konieczne, dla zapewnienia zgodności z zasadami rachunkowości stosowanymi przez Grupę.</w:t>
      </w:r>
    </w:p>
    <w:p w:rsidR="00B24DA9" w:rsidRPr="00765C97" w:rsidRDefault="00B24DA9">
      <w:pPr>
        <w:pStyle w:val="Style1"/>
        <w:tabs>
          <w:tab w:val="left" w:pos="1134"/>
        </w:tabs>
        <w:adjustRightInd/>
        <w:spacing w:line="260" w:lineRule="atLeast"/>
        <w:ind w:left="180"/>
        <w:rPr>
          <w:rFonts w:ascii="Arial" w:hAnsi="Arial"/>
          <w:b/>
          <w:spacing w:val="-2"/>
          <w:lang w:val="pl-PL"/>
        </w:rPr>
      </w:pPr>
    </w:p>
    <w:p w:rsidR="00B24DA9" w:rsidRPr="00765C97" w:rsidRDefault="00B24DA9">
      <w:pPr>
        <w:pStyle w:val="Style1"/>
        <w:tabs>
          <w:tab w:val="left" w:pos="1134"/>
        </w:tabs>
        <w:adjustRightInd/>
        <w:spacing w:line="260" w:lineRule="atLeast"/>
        <w:ind w:left="180"/>
        <w:rPr>
          <w:rFonts w:ascii="Arial" w:hAnsi="Arial"/>
          <w:b/>
          <w:spacing w:val="-2"/>
          <w:lang w:val="pl-PL"/>
        </w:rPr>
      </w:pPr>
      <w:r w:rsidRPr="00765C97">
        <w:rPr>
          <w:rFonts w:ascii="Arial" w:hAnsi="Arial"/>
          <w:b/>
          <w:spacing w:val="-2"/>
          <w:lang w:val="pl-PL"/>
        </w:rPr>
        <w:t>b) Jednostki stowarzyszone</w:t>
      </w:r>
    </w:p>
    <w:p w:rsidR="00B24DA9" w:rsidRPr="00765C97" w:rsidRDefault="00B24DA9">
      <w:pPr>
        <w:pStyle w:val="Style1"/>
        <w:adjustRightInd/>
        <w:ind w:left="180"/>
        <w:jc w:val="both"/>
        <w:rPr>
          <w:rFonts w:ascii="Arial" w:hAnsi="Arial"/>
          <w:lang w:val="pl-PL"/>
        </w:rPr>
      </w:pPr>
    </w:p>
    <w:p w:rsidR="00B24DA9" w:rsidRPr="00765C97" w:rsidRDefault="00B24DA9" w:rsidP="000C3C74">
      <w:pPr>
        <w:pStyle w:val="Style1"/>
        <w:adjustRightInd/>
        <w:jc w:val="both"/>
        <w:rPr>
          <w:rFonts w:ascii="Arial" w:hAnsi="Arial"/>
          <w:spacing w:val="-1"/>
          <w:lang w:val="pl-PL"/>
        </w:rPr>
      </w:pPr>
      <w:r w:rsidRPr="00765C97">
        <w:rPr>
          <w:rFonts w:ascii="Arial" w:hAnsi="Arial"/>
          <w:lang w:val="pl-PL"/>
        </w:rPr>
        <w:t xml:space="preserve">Jednostki stowarzyszone to wszelkie jednostki, na które Grupa wywiera znaczący wpływ, lecz których nie kontroluje, co zwykle </w:t>
      </w:r>
      <w:r w:rsidRPr="00765C97">
        <w:rPr>
          <w:rFonts w:ascii="Arial" w:hAnsi="Arial"/>
          <w:spacing w:val="-1"/>
          <w:lang w:val="pl-PL"/>
        </w:rPr>
        <w:t xml:space="preserve">towarzyszy posiadaniu od 20 do 50% ogólnej liczby głosów w organach stanowiących. </w:t>
      </w:r>
    </w:p>
    <w:p w:rsidR="00B24DA9" w:rsidRPr="00765C97" w:rsidRDefault="00B24DA9" w:rsidP="000C3C74">
      <w:pPr>
        <w:pStyle w:val="Style1"/>
        <w:tabs>
          <w:tab w:val="left" w:pos="1418"/>
        </w:tabs>
        <w:adjustRightInd/>
        <w:jc w:val="both"/>
        <w:rPr>
          <w:rFonts w:ascii="Arial" w:hAnsi="Arial"/>
          <w:spacing w:val="-1"/>
          <w:lang w:val="pl-PL"/>
        </w:rPr>
      </w:pPr>
      <w:r w:rsidRPr="00765C97">
        <w:rPr>
          <w:rFonts w:ascii="Arial" w:hAnsi="Arial"/>
          <w:spacing w:val="-5"/>
          <w:lang w:val="pl-PL"/>
        </w:rPr>
        <w:t>I</w:t>
      </w:r>
      <w:r w:rsidRPr="00765C97">
        <w:rPr>
          <w:rFonts w:ascii="Arial" w:hAnsi="Arial"/>
          <w:spacing w:val="-1"/>
          <w:lang w:val="pl-PL"/>
        </w:rPr>
        <w:t xml:space="preserve">nwestycje w jednostkach stowarzyszonych rozlicza się metodą praw własności i ujmuje początkowo według kosztu. </w:t>
      </w:r>
      <w:r w:rsidRPr="00765C97">
        <w:rPr>
          <w:rFonts w:ascii="Arial" w:hAnsi="Arial"/>
          <w:lang w:val="pl-PL"/>
        </w:rPr>
        <w:t>Inwestycja Grupy w jednostkach stowarzyszonych obejmuje określoną w dniu nabycia wartość firmy.</w:t>
      </w:r>
    </w:p>
    <w:p w:rsidR="00B24DA9" w:rsidRPr="00765C97" w:rsidRDefault="00B24DA9" w:rsidP="000C3C74">
      <w:pPr>
        <w:pStyle w:val="Style1"/>
        <w:adjustRightInd/>
        <w:spacing w:before="100"/>
        <w:jc w:val="both"/>
        <w:rPr>
          <w:rFonts w:ascii="Arial" w:hAnsi="Arial"/>
          <w:spacing w:val="-3"/>
          <w:lang w:val="pl-PL"/>
        </w:rPr>
      </w:pPr>
      <w:r w:rsidRPr="00765C97">
        <w:rPr>
          <w:rFonts w:ascii="Arial" w:hAnsi="Arial"/>
          <w:spacing w:val="-2"/>
          <w:lang w:val="pl-PL"/>
        </w:rPr>
        <w:t>Udział Grupy w wyniku finansowym jednostek stowarzyszonych od dnia nabycia ujmuje się w rachunku zysków i strat, zaś jej udział w zmianach stanu innych kapitałów od dnia nabycia – w innych kapitałach. O łączne zmiany stanu od dnia nabycia koryguje się wartość bilansową inwestycji.</w:t>
      </w:r>
      <w:r w:rsidRPr="00765C97">
        <w:rPr>
          <w:rFonts w:ascii="Arial" w:hAnsi="Arial"/>
          <w:lang w:val="pl-PL"/>
        </w:rPr>
        <w:t xml:space="preserve"> </w:t>
      </w:r>
      <w:r w:rsidRPr="00765C97">
        <w:rPr>
          <w:rFonts w:ascii="Arial" w:hAnsi="Arial"/>
          <w:spacing w:val="-3"/>
          <w:lang w:val="pl-PL"/>
        </w:rPr>
        <w:t xml:space="preserve">Gdy udział Grupy w stratach jednostki stowarzyszonej staje się równy lub większy od udziału Grupy w tej jednostce stowarzyszonej, </w:t>
      </w:r>
      <w:r w:rsidRPr="00765C97">
        <w:rPr>
          <w:rFonts w:ascii="Arial" w:hAnsi="Arial"/>
          <w:spacing w:val="-1"/>
          <w:lang w:val="pl-PL"/>
        </w:rPr>
        <w:t>obejmującego ewentualne inne niezabezpieczone należności, Grupa zaprzestaje ujmować dalsze straty, chyba, że wzięła na siebie obowiązki lub dokonała płatności w imieniu danej jednostki stowarzyszonej.</w:t>
      </w:r>
    </w:p>
    <w:p w:rsidR="00C24263" w:rsidRPr="00765C97" w:rsidRDefault="00C24263"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pacing w:val="-1"/>
          <w:sz w:val="20"/>
          <w:lang w:val="pl-PL"/>
        </w:rPr>
      </w:pPr>
      <w:r w:rsidRPr="00765C97">
        <w:rPr>
          <w:rFonts w:ascii="Arial" w:hAnsi="Arial"/>
          <w:sz w:val="20"/>
          <w:lang w:val="pl-PL"/>
        </w:rPr>
        <w:t xml:space="preserve">Nie zrealizowane zyski na transakcjach pomiędzy Grupą, a jej jednostkami stowarzyszonymi eliminuje się proporcjonalnie </w:t>
      </w:r>
      <w:r w:rsidRPr="00765C97">
        <w:rPr>
          <w:rFonts w:ascii="Arial" w:hAnsi="Arial"/>
          <w:spacing w:val="-2"/>
          <w:sz w:val="20"/>
          <w:lang w:val="pl-PL"/>
        </w:rPr>
        <w:t xml:space="preserve">do udziału Grupy w jednostkach stowarzyszonych. Nie zrealizowane straty również są eliminowane, </w:t>
      </w:r>
      <w:r w:rsidRPr="00765C97">
        <w:rPr>
          <w:rFonts w:ascii="Arial" w:hAnsi="Arial"/>
          <w:sz w:val="20"/>
          <w:lang w:val="pl-PL"/>
        </w:rPr>
        <w:t xml:space="preserve">chyba że transakcja dostarcza dowodów na wystąpienie utraty wartości przekazywanego składnika aktywów. Zasady rachunkowości stosowane przez jednostki stowarzyszone zostały, tam gdzie było to konieczne, </w:t>
      </w:r>
      <w:r w:rsidRPr="00765C97">
        <w:rPr>
          <w:rFonts w:ascii="Arial" w:hAnsi="Arial"/>
          <w:spacing w:val="-1"/>
          <w:sz w:val="20"/>
          <w:lang w:val="pl-PL"/>
        </w:rPr>
        <w:t>zmienione dla zapewnienia zgodności z zasadami rachunkowości stosowanymi przez Grupę.</w:t>
      </w:r>
    </w:p>
    <w:p w:rsidR="00B24DA9" w:rsidRPr="00765C97" w:rsidRDefault="00B24DA9" w:rsidP="000C3C74">
      <w:pPr>
        <w:pStyle w:val="Style1"/>
        <w:tabs>
          <w:tab w:val="left" w:pos="1134"/>
        </w:tabs>
        <w:adjustRightInd/>
        <w:spacing w:line="260" w:lineRule="atLeast"/>
        <w:rPr>
          <w:rFonts w:ascii="Arial" w:hAnsi="Arial"/>
          <w:b/>
          <w:spacing w:val="-2"/>
          <w:lang w:val="pl-PL"/>
        </w:rPr>
      </w:pPr>
    </w:p>
    <w:p w:rsidR="00B24DA9" w:rsidRPr="00765C97" w:rsidRDefault="00B24DA9" w:rsidP="000C3C74">
      <w:pPr>
        <w:pStyle w:val="Style1"/>
        <w:tabs>
          <w:tab w:val="left" w:pos="1134"/>
        </w:tabs>
        <w:adjustRightInd/>
        <w:spacing w:line="260" w:lineRule="atLeast"/>
        <w:rPr>
          <w:rFonts w:ascii="Arial" w:hAnsi="Arial"/>
          <w:b/>
          <w:spacing w:val="-2"/>
          <w:lang w:val="pl-PL"/>
        </w:rPr>
      </w:pPr>
      <w:r w:rsidRPr="00765C97">
        <w:rPr>
          <w:rFonts w:ascii="Arial" w:hAnsi="Arial"/>
          <w:b/>
          <w:spacing w:val="-2"/>
          <w:lang w:val="pl-PL"/>
        </w:rPr>
        <w:t xml:space="preserve">c) Zasady ujmowania Grupy </w:t>
      </w:r>
      <w:r w:rsidR="007171EC" w:rsidRPr="00765C97">
        <w:rPr>
          <w:rFonts w:ascii="Arial" w:hAnsi="Arial"/>
          <w:b/>
          <w:spacing w:val="-2"/>
          <w:lang w:val="pl-PL"/>
        </w:rPr>
        <w:t>Comarch SuB</w:t>
      </w:r>
      <w:r w:rsidRPr="00765C97">
        <w:rPr>
          <w:rFonts w:ascii="Arial" w:hAnsi="Arial"/>
          <w:b/>
          <w:spacing w:val="-2"/>
          <w:lang w:val="pl-PL"/>
        </w:rPr>
        <w:t xml:space="preserve"> w sprawozdaniu skonsolidowanym</w:t>
      </w:r>
    </w:p>
    <w:p w:rsidR="00B24DA9" w:rsidRPr="00765C97" w:rsidRDefault="00B24DA9" w:rsidP="000C3C74">
      <w:pPr>
        <w:pStyle w:val="Style1"/>
        <w:adjustRightInd/>
        <w:jc w:val="both"/>
        <w:rPr>
          <w:rFonts w:ascii="Arial" w:hAnsi="Arial"/>
          <w:spacing w:val="-1"/>
          <w:lang w:val="pl-PL"/>
        </w:rPr>
      </w:pPr>
    </w:p>
    <w:p w:rsidR="00B24DA9" w:rsidRPr="00765C97" w:rsidRDefault="00B24DA9" w:rsidP="000C3C74">
      <w:pPr>
        <w:pStyle w:val="Style1"/>
        <w:adjustRightInd/>
        <w:jc w:val="both"/>
        <w:rPr>
          <w:rFonts w:ascii="Arial" w:hAnsi="Arial"/>
          <w:lang w:val="pl-PL"/>
        </w:rPr>
      </w:pPr>
      <w:r w:rsidRPr="00765C97">
        <w:rPr>
          <w:rFonts w:ascii="Arial" w:hAnsi="Arial"/>
          <w:spacing w:val="-1"/>
          <w:lang w:val="pl-PL"/>
        </w:rPr>
        <w:t xml:space="preserve">Spółka </w:t>
      </w:r>
      <w:r w:rsidR="007171EC" w:rsidRPr="00765C97">
        <w:rPr>
          <w:rFonts w:ascii="Arial" w:hAnsi="Arial"/>
          <w:spacing w:val="-1"/>
          <w:lang w:val="pl-PL"/>
        </w:rPr>
        <w:t>Comarch</w:t>
      </w:r>
      <w:r w:rsidRPr="00765C97">
        <w:rPr>
          <w:rFonts w:ascii="Arial" w:hAnsi="Arial"/>
          <w:spacing w:val="-1"/>
          <w:lang w:val="pl-PL"/>
        </w:rPr>
        <w:t xml:space="preserve"> Software und Beratung AG będąca jednostką dominującą dla spółek Grupy </w:t>
      </w:r>
      <w:r w:rsidR="007171EC" w:rsidRPr="00765C97">
        <w:rPr>
          <w:rFonts w:ascii="Arial" w:hAnsi="Arial"/>
          <w:spacing w:val="-1"/>
          <w:lang w:val="pl-PL"/>
        </w:rPr>
        <w:t>Comarch SuB</w:t>
      </w:r>
      <w:r w:rsidRPr="00765C97">
        <w:rPr>
          <w:rFonts w:ascii="Arial" w:hAnsi="Arial"/>
          <w:spacing w:val="-1"/>
          <w:lang w:val="pl-PL"/>
        </w:rPr>
        <w:t xml:space="preserve"> sporządza samodzielnie skonsolidowane sprawozdanie finansowe obejmujące dane spółki </w:t>
      </w:r>
      <w:r w:rsidR="007171EC" w:rsidRPr="00765C97">
        <w:rPr>
          <w:rFonts w:ascii="Arial" w:hAnsi="Arial"/>
          <w:spacing w:val="-1"/>
          <w:lang w:val="pl-PL"/>
        </w:rPr>
        <w:t>Comarch</w:t>
      </w:r>
      <w:r w:rsidRPr="00765C97">
        <w:rPr>
          <w:rFonts w:ascii="Arial" w:hAnsi="Arial"/>
          <w:spacing w:val="-1"/>
          <w:lang w:val="pl-PL"/>
        </w:rPr>
        <w:t xml:space="preserve"> Softw</w:t>
      </w:r>
      <w:r w:rsidR="0031442C" w:rsidRPr="00765C97">
        <w:rPr>
          <w:rFonts w:ascii="Arial" w:hAnsi="Arial"/>
          <w:spacing w:val="-1"/>
          <w:lang w:val="pl-PL"/>
        </w:rPr>
        <w:t>are und Beratung AG i jej jednostek</w:t>
      </w:r>
      <w:r w:rsidRPr="00765C97">
        <w:rPr>
          <w:rFonts w:ascii="Arial" w:hAnsi="Arial"/>
          <w:spacing w:val="-1"/>
          <w:lang w:val="pl-PL"/>
        </w:rPr>
        <w:t xml:space="preserve"> zależnych. </w:t>
      </w:r>
      <w:r w:rsidR="007171EC" w:rsidRPr="00765C97">
        <w:rPr>
          <w:rFonts w:ascii="Arial" w:hAnsi="Arial"/>
          <w:spacing w:val="-1"/>
          <w:lang w:val="pl-PL"/>
        </w:rPr>
        <w:t>Comarch</w:t>
      </w:r>
      <w:r w:rsidRPr="00765C97">
        <w:rPr>
          <w:rFonts w:ascii="Arial" w:hAnsi="Arial"/>
          <w:spacing w:val="-1"/>
          <w:lang w:val="pl-PL"/>
        </w:rPr>
        <w:t xml:space="preserve"> S.A., jednostka dominująca Grupy Comarch, sporządza w sposób bezpośredni skonsolidowane sprawozdanie finansowe obejmujące dane </w:t>
      </w:r>
      <w:r w:rsidR="006724E3" w:rsidRPr="00765C97">
        <w:rPr>
          <w:rFonts w:ascii="Arial" w:hAnsi="Arial"/>
          <w:spacing w:val="-1"/>
          <w:lang w:val="pl-PL"/>
        </w:rPr>
        <w:t>S</w:t>
      </w:r>
      <w:r w:rsidRPr="00765C97">
        <w:rPr>
          <w:rFonts w:ascii="Arial" w:hAnsi="Arial"/>
          <w:spacing w:val="-1"/>
          <w:lang w:val="pl-PL"/>
        </w:rPr>
        <w:t xml:space="preserve">półki </w:t>
      </w:r>
      <w:r w:rsidR="007171EC" w:rsidRPr="00765C97">
        <w:rPr>
          <w:rFonts w:ascii="Arial" w:hAnsi="Arial"/>
          <w:spacing w:val="-1"/>
          <w:lang w:val="pl-PL"/>
        </w:rPr>
        <w:t>Comarch</w:t>
      </w:r>
      <w:r w:rsidRPr="00765C97">
        <w:rPr>
          <w:rFonts w:ascii="Arial" w:hAnsi="Arial"/>
          <w:spacing w:val="-1"/>
          <w:lang w:val="pl-PL"/>
        </w:rPr>
        <w:t xml:space="preserve"> S.A. i wszystkich pozostałych </w:t>
      </w:r>
      <w:r w:rsidR="0031442C" w:rsidRPr="00765C97">
        <w:rPr>
          <w:rFonts w:ascii="Arial" w:hAnsi="Arial"/>
          <w:spacing w:val="-1"/>
          <w:lang w:val="pl-PL"/>
        </w:rPr>
        <w:t>jednostek</w:t>
      </w:r>
      <w:r w:rsidRPr="00765C97">
        <w:rPr>
          <w:rFonts w:ascii="Arial" w:hAnsi="Arial"/>
          <w:spacing w:val="-1"/>
          <w:lang w:val="pl-PL"/>
        </w:rPr>
        <w:t xml:space="preserve"> zależnych (z wyjątkiem spółek Grupy </w:t>
      </w:r>
      <w:r w:rsidR="007171EC" w:rsidRPr="00765C97">
        <w:rPr>
          <w:rFonts w:ascii="Arial" w:hAnsi="Arial"/>
          <w:spacing w:val="-1"/>
          <w:lang w:val="pl-PL"/>
        </w:rPr>
        <w:t>Comarch SuB</w:t>
      </w:r>
      <w:r w:rsidRPr="00765C97">
        <w:rPr>
          <w:rFonts w:ascii="Arial" w:hAnsi="Arial"/>
          <w:spacing w:val="-1"/>
          <w:lang w:val="pl-PL"/>
        </w:rPr>
        <w:t xml:space="preserve">) a następnie sporządzone w powyższy sposób sprawozdanie uzupełnianie jest o łączne skonsolidowane wyniki i dane bilansowe Grupy </w:t>
      </w:r>
      <w:r w:rsidR="007171EC" w:rsidRPr="00765C97">
        <w:rPr>
          <w:rFonts w:ascii="Arial" w:hAnsi="Arial"/>
          <w:spacing w:val="-1"/>
          <w:lang w:val="pl-PL"/>
        </w:rPr>
        <w:t>Comarch SuB</w:t>
      </w:r>
      <w:r w:rsidRPr="00765C97">
        <w:rPr>
          <w:rFonts w:ascii="Arial" w:hAnsi="Arial"/>
          <w:spacing w:val="-1"/>
          <w:lang w:val="pl-PL"/>
        </w:rPr>
        <w:t xml:space="preserve">.    </w:t>
      </w:r>
      <w:r w:rsidRPr="00765C97">
        <w:rPr>
          <w:rFonts w:ascii="Arial" w:hAnsi="Arial"/>
          <w:lang w:val="pl-PL"/>
        </w:rPr>
        <w:t xml:space="preserve">   </w:t>
      </w:r>
    </w:p>
    <w:p w:rsidR="00B24DA9" w:rsidRPr="00765C97" w:rsidRDefault="00B24DA9" w:rsidP="00135A9A">
      <w:pPr>
        <w:pStyle w:val="Nagwek4"/>
        <w:numPr>
          <w:ilvl w:val="2"/>
          <w:numId w:val="14"/>
        </w:numPr>
        <w:spacing w:before="240" w:after="60"/>
        <w:ind w:left="1276" w:hanging="851"/>
        <w:rPr>
          <w:rFonts w:ascii="Arial" w:hAnsi="Arial"/>
          <w:sz w:val="20"/>
          <w:lang w:val="pl-PL"/>
        </w:rPr>
      </w:pPr>
      <w:r w:rsidRPr="00765C97">
        <w:rPr>
          <w:rFonts w:ascii="Arial" w:hAnsi="Arial"/>
          <w:sz w:val="20"/>
          <w:lang w:val="pl-PL"/>
        </w:rPr>
        <w:t>Wycena pozycji wyrażonych w walutach obcych</w:t>
      </w:r>
    </w:p>
    <w:p w:rsidR="00B24DA9" w:rsidRPr="00765C97" w:rsidRDefault="00B24DA9" w:rsidP="000C3C74">
      <w:pPr>
        <w:pStyle w:val="Style1"/>
        <w:tabs>
          <w:tab w:val="left" w:pos="1134"/>
        </w:tabs>
        <w:adjustRightInd/>
        <w:spacing w:line="260" w:lineRule="atLeast"/>
        <w:rPr>
          <w:rFonts w:ascii="Arial" w:hAnsi="Arial"/>
          <w:b/>
          <w:spacing w:val="-2"/>
          <w:lang w:val="pl-PL"/>
        </w:rPr>
      </w:pPr>
      <w:r w:rsidRPr="00765C97">
        <w:rPr>
          <w:rFonts w:ascii="Arial" w:hAnsi="Arial"/>
          <w:b/>
          <w:spacing w:val="-2"/>
          <w:lang w:val="pl-PL"/>
        </w:rPr>
        <w:t>a) Waluta funkcjonalna i waluta prezentacji</w:t>
      </w:r>
    </w:p>
    <w:p w:rsidR="00B24DA9" w:rsidRPr="00765C97" w:rsidRDefault="00B24DA9" w:rsidP="000C3C74">
      <w:pPr>
        <w:pStyle w:val="Style1"/>
        <w:tabs>
          <w:tab w:val="left" w:pos="1134"/>
        </w:tabs>
        <w:adjustRightInd/>
        <w:jc w:val="both"/>
        <w:rPr>
          <w:rFonts w:ascii="Arial" w:hAnsi="Arial"/>
          <w:spacing w:val="-1"/>
          <w:lang w:val="pl-PL"/>
        </w:rPr>
      </w:pPr>
    </w:p>
    <w:p w:rsidR="00B24DA9" w:rsidRPr="00765C97" w:rsidRDefault="00B24DA9" w:rsidP="000C3C74">
      <w:pPr>
        <w:pStyle w:val="Style1"/>
        <w:tabs>
          <w:tab w:val="left" w:pos="1134"/>
        </w:tabs>
        <w:adjustRightInd/>
        <w:jc w:val="both"/>
        <w:rPr>
          <w:rFonts w:ascii="Arial" w:hAnsi="Arial"/>
          <w:lang w:val="pl-PL"/>
        </w:rPr>
      </w:pPr>
      <w:r w:rsidRPr="00765C97">
        <w:rPr>
          <w:rFonts w:ascii="Arial" w:hAnsi="Arial"/>
          <w:spacing w:val="-1"/>
          <w:lang w:val="pl-PL"/>
        </w:rPr>
        <w:t xml:space="preserve">Pozycje zawarte w sprawozdaniach finansowych poszczególnych jednostek Grupy wycenia się w </w:t>
      </w:r>
      <w:r w:rsidRPr="00765C97">
        <w:rPr>
          <w:rFonts w:ascii="Arial" w:hAnsi="Arial"/>
          <w:lang w:val="pl-PL"/>
        </w:rPr>
        <w:t xml:space="preserve">walucie podstawowego środowiska gospodarczego, w którym dana jednostka prowadzi działalność </w:t>
      </w:r>
      <w:r w:rsidRPr="00765C97">
        <w:rPr>
          <w:rFonts w:ascii="Arial" w:hAnsi="Arial"/>
          <w:spacing w:val="-1"/>
          <w:lang w:val="pl-PL"/>
        </w:rPr>
        <w:t xml:space="preserve">(„waluta funkcjonalna”). Skonsolidowane sprawozdanie finansowe prezentowane jest w polskich złotych (PLN), która jest </w:t>
      </w:r>
      <w:r w:rsidRPr="00765C97">
        <w:rPr>
          <w:rFonts w:ascii="Arial" w:hAnsi="Arial"/>
          <w:lang w:val="pl-PL"/>
        </w:rPr>
        <w:t>walutą funkcjonalną i walutą prezentacji jednostki dominującej.</w:t>
      </w:r>
    </w:p>
    <w:p w:rsidR="00B24DA9" w:rsidRPr="00765C97" w:rsidRDefault="00B24DA9" w:rsidP="000C3C74">
      <w:pPr>
        <w:pStyle w:val="Style1"/>
        <w:tabs>
          <w:tab w:val="left" w:pos="1134"/>
        </w:tabs>
        <w:adjustRightInd/>
        <w:jc w:val="both"/>
        <w:rPr>
          <w:rFonts w:ascii="Arial" w:hAnsi="Arial"/>
          <w:spacing w:val="-1"/>
          <w:lang w:val="pl-PL"/>
        </w:rPr>
      </w:pPr>
    </w:p>
    <w:p w:rsidR="00B24DA9" w:rsidRPr="00765C97" w:rsidRDefault="00B24DA9" w:rsidP="000C3C74">
      <w:pPr>
        <w:pStyle w:val="Style1"/>
        <w:tabs>
          <w:tab w:val="left" w:pos="1134"/>
        </w:tabs>
        <w:adjustRightInd/>
        <w:rPr>
          <w:rFonts w:ascii="Arial" w:hAnsi="Arial"/>
          <w:b/>
          <w:spacing w:val="10"/>
          <w:lang w:val="pl-PL"/>
        </w:rPr>
      </w:pPr>
      <w:r w:rsidRPr="00765C97">
        <w:rPr>
          <w:rFonts w:ascii="Arial" w:hAnsi="Arial"/>
          <w:b/>
          <w:spacing w:val="-8"/>
          <w:lang w:val="pl-PL"/>
        </w:rPr>
        <w:t>b) Transakcje i salda wyrażone w walutach obcych</w:t>
      </w:r>
    </w:p>
    <w:p w:rsidR="00B24DA9" w:rsidRPr="00765C97" w:rsidRDefault="00B24DA9" w:rsidP="000C3C74">
      <w:pPr>
        <w:tabs>
          <w:tab w:val="left" w:pos="1134"/>
        </w:tabs>
        <w:ind w:right="648"/>
        <w:jc w:val="both"/>
        <w:rPr>
          <w:rFonts w:ascii="Arial" w:hAnsi="Arial"/>
          <w:sz w:val="20"/>
          <w:lang w:val="pl-PL"/>
        </w:rPr>
      </w:pPr>
    </w:p>
    <w:p w:rsidR="00B24DA9" w:rsidRPr="00765C97" w:rsidRDefault="00B24DA9" w:rsidP="000C3C74">
      <w:pPr>
        <w:tabs>
          <w:tab w:val="left" w:pos="1134"/>
        </w:tabs>
        <w:jc w:val="both"/>
        <w:rPr>
          <w:rFonts w:ascii="Arial" w:hAnsi="Arial"/>
          <w:sz w:val="20"/>
          <w:lang w:val="pl-PL"/>
        </w:rPr>
      </w:pPr>
      <w:r w:rsidRPr="00765C97">
        <w:rPr>
          <w:rFonts w:ascii="Arial" w:hAnsi="Arial"/>
          <w:sz w:val="20"/>
          <w:lang w:val="pl-PL"/>
        </w:rPr>
        <w:t xml:space="preserve">Transakcje wyrażone w walutach obcych przelicza się na walutę funkcjonalną według kursu </w:t>
      </w:r>
      <w:r w:rsidRPr="00765C97">
        <w:rPr>
          <w:rFonts w:ascii="Arial" w:hAnsi="Arial"/>
          <w:spacing w:val="-1"/>
          <w:sz w:val="20"/>
          <w:lang w:val="pl-PL"/>
        </w:rPr>
        <w:t>obowiązującego w dniu transakcji. Zyski i straty kursowe z tytułu rozliczenia tych transakcji oraz wyceny bilansowej</w:t>
      </w:r>
      <w:r w:rsidRPr="00765C97">
        <w:rPr>
          <w:rFonts w:ascii="Arial" w:hAnsi="Arial"/>
          <w:sz w:val="20"/>
          <w:lang w:val="pl-PL"/>
        </w:rPr>
        <w:t xml:space="preserve"> aktywów i zobowiązań pieniężnych wyrażonych w walutach obcych ujmuje się w rachunku zysków i strat, o ile nie odracza się ich w kapitale własnym, gdy kwalifikują się do uznania za zabezpieczenie przepływów pieniężnych i zabezpieczenie udziałów w aktywach netto.</w:t>
      </w:r>
    </w:p>
    <w:p w:rsidR="00F403DE" w:rsidRPr="00765C97" w:rsidRDefault="00F403DE" w:rsidP="000C3C74">
      <w:pPr>
        <w:tabs>
          <w:tab w:val="left" w:pos="1134"/>
        </w:tabs>
        <w:ind w:right="23"/>
        <w:jc w:val="both"/>
        <w:rPr>
          <w:rFonts w:ascii="Arial" w:hAnsi="Arial"/>
          <w:spacing w:val="-1"/>
          <w:sz w:val="20"/>
          <w:lang w:val="pl-PL"/>
        </w:rPr>
      </w:pPr>
    </w:p>
    <w:p w:rsidR="00B24DA9" w:rsidRPr="00765C97" w:rsidRDefault="00B24DA9" w:rsidP="000C3C74">
      <w:pPr>
        <w:tabs>
          <w:tab w:val="left" w:pos="1134"/>
        </w:tabs>
        <w:ind w:right="23"/>
        <w:jc w:val="both"/>
        <w:rPr>
          <w:rFonts w:ascii="Arial" w:hAnsi="Arial"/>
          <w:b/>
          <w:spacing w:val="-8"/>
          <w:sz w:val="20"/>
          <w:lang w:val="pl-PL"/>
        </w:rPr>
      </w:pPr>
      <w:r w:rsidRPr="00765C97">
        <w:rPr>
          <w:rFonts w:ascii="Arial" w:hAnsi="Arial"/>
          <w:spacing w:val="-1"/>
          <w:sz w:val="20"/>
          <w:lang w:val="pl-PL"/>
        </w:rPr>
        <w:t>Różnice kursowe z tytułu pozycji niepieniężnych, takich jak instrumenty kapitałowe wyceniane według wartości godziwej w korespondencji z rachunkiem zysków i strat, wykazuje się w ramach zysków i strat z tytułu zmian wartości godziwej.</w:t>
      </w:r>
      <w:r w:rsidRPr="00765C97">
        <w:rPr>
          <w:rFonts w:ascii="Arial" w:hAnsi="Arial"/>
          <w:spacing w:val="-2"/>
          <w:sz w:val="20"/>
          <w:lang w:val="pl-PL"/>
        </w:rPr>
        <w:t xml:space="preserve"> Różnice kursowe z tytułu takich pozycji niepieniężnych jak instrumenty kapitałowe zaklasyfikowane do aktywów finansowych dostępnych do sprzedaży uwzględnia się w kapitale z wyceny w wartości godziwej.</w:t>
      </w:r>
    </w:p>
    <w:p w:rsidR="00B24DA9" w:rsidRPr="00765C97" w:rsidRDefault="00B24DA9" w:rsidP="000C3C74">
      <w:pPr>
        <w:pStyle w:val="Style1"/>
        <w:tabs>
          <w:tab w:val="left" w:pos="1134"/>
        </w:tabs>
        <w:adjustRightInd/>
        <w:jc w:val="both"/>
        <w:rPr>
          <w:rFonts w:ascii="Arial" w:hAnsi="Arial"/>
          <w:b/>
          <w:spacing w:val="-8"/>
          <w:lang w:val="pl-PL"/>
        </w:rPr>
      </w:pPr>
    </w:p>
    <w:p w:rsidR="00B24DA9" w:rsidRPr="00765C97" w:rsidRDefault="00B24DA9" w:rsidP="000C3C74">
      <w:pPr>
        <w:pStyle w:val="Style1"/>
        <w:tabs>
          <w:tab w:val="left" w:pos="1134"/>
        </w:tabs>
        <w:adjustRightInd/>
        <w:jc w:val="both"/>
        <w:rPr>
          <w:rFonts w:ascii="Arial" w:hAnsi="Arial"/>
          <w:b/>
          <w:lang w:val="pl-PL"/>
        </w:rPr>
      </w:pPr>
      <w:r w:rsidRPr="00765C97">
        <w:rPr>
          <w:rFonts w:ascii="Arial" w:hAnsi="Arial"/>
          <w:b/>
          <w:spacing w:val="-8"/>
          <w:lang w:val="pl-PL"/>
        </w:rPr>
        <w:t>c) Spółki wchodzące w skład Grupy</w:t>
      </w:r>
    </w:p>
    <w:p w:rsidR="00B24DA9" w:rsidRPr="00765C97" w:rsidRDefault="00B24DA9" w:rsidP="000C3C74">
      <w:pPr>
        <w:tabs>
          <w:tab w:val="left" w:pos="1134"/>
        </w:tabs>
        <w:jc w:val="both"/>
        <w:rPr>
          <w:rFonts w:ascii="Arial" w:hAnsi="Arial"/>
          <w:sz w:val="20"/>
          <w:lang w:val="pl-PL"/>
        </w:rPr>
      </w:pPr>
    </w:p>
    <w:p w:rsidR="00B24DA9" w:rsidRPr="00765C97" w:rsidRDefault="00B24DA9" w:rsidP="000C3C74">
      <w:pPr>
        <w:tabs>
          <w:tab w:val="left" w:pos="1134"/>
        </w:tabs>
        <w:jc w:val="both"/>
        <w:rPr>
          <w:rFonts w:ascii="Arial" w:hAnsi="Arial"/>
          <w:sz w:val="20"/>
          <w:lang w:val="pl-PL"/>
        </w:rPr>
      </w:pPr>
      <w:r w:rsidRPr="00765C97">
        <w:rPr>
          <w:rFonts w:ascii="Arial" w:hAnsi="Arial"/>
          <w:sz w:val="20"/>
          <w:lang w:val="pl-PL"/>
        </w:rPr>
        <w:t>Wyniki i sytuację finansową wszystkich jednostek Grupy (z których żadna nie prowadzi działalności w warunkach hiperinflacji), których waluty funkcjonalne różnią się od waluty prezentacji, przelicza się na walutę prezentacji w następujący sposób:</w:t>
      </w:r>
    </w:p>
    <w:p w:rsidR="00B24DA9" w:rsidRPr="00765C97" w:rsidRDefault="00B24DA9" w:rsidP="000C3C74">
      <w:pPr>
        <w:jc w:val="both"/>
        <w:rPr>
          <w:rFonts w:ascii="Arial" w:hAnsi="Arial"/>
          <w:sz w:val="20"/>
          <w:lang w:val="pl-PL"/>
        </w:rPr>
      </w:pPr>
      <w:r w:rsidRPr="00765C97">
        <w:rPr>
          <w:rFonts w:ascii="Arial" w:hAnsi="Arial"/>
          <w:spacing w:val="-18"/>
          <w:sz w:val="20"/>
          <w:lang w:val="pl-PL"/>
        </w:rPr>
        <w:t xml:space="preserve">(i)  </w:t>
      </w:r>
      <w:r w:rsidRPr="00765C97">
        <w:rPr>
          <w:rFonts w:ascii="Arial" w:hAnsi="Arial"/>
          <w:spacing w:val="-2"/>
          <w:sz w:val="20"/>
          <w:lang w:val="pl-PL"/>
        </w:rPr>
        <w:t>aktywa i zobowiązania w każdym prezentowanym bilansie przelicza się według kursu zamknięcia obowiązującego na ten dzień bilansowy,</w:t>
      </w:r>
    </w:p>
    <w:p w:rsidR="00B24DA9" w:rsidRPr="00765C97" w:rsidRDefault="00B24DA9" w:rsidP="000C3C74">
      <w:pPr>
        <w:pStyle w:val="Style1"/>
        <w:adjustRightInd/>
        <w:jc w:val="both"/>
        <w:rPr>
          <w:rFonts w:ascii="Arial" w:hAnsi="Arial"/>
          <w:lang w:val="pl-PL"/>
        </w:rPr>
      </w:pPr>
      <w:r w:rsidRPr="00765C97">
        <w:rPr>
          <w:rFonts w:ascii="Arial" w:hAnsi="Arial"/>
          <w:lang w:val="pl-PL"/>
        </w:rPr>
        <w:t>(ii)</w:t>
      </w:r>
      <w:r w:rsidRPr="00765C97">
        <w:rPr>
          <w:rFonts w:ascii="Arial" w:hAnsi="Arial"/>
          <w:spacing w:val="-1"/>
          <w:lang w:val="pl-PL"/>
        </w:rPr>
        <w:t xml:space="preserve"> przychody i koszty w każdym rachunku zysków i strat przelicza się według kursów średnich (chyba, że kurs średni nie stanowi zadowalającego przybliżenia skumulowanego wpływu kursów </w:t>
      </w:r>
      <w:r w:rsidRPr="00765C97">
        <w:rPr>
          <w:rFonts w:ascii="Arial" w:hAnsi="Arial"/>
          <w:lang w:val="pl-PL"/>
        </w:rPr>
        <w:t>z dni transakcji – w takim wypadku przychody i koszty przelicza się według kursów z dni transakcji), a</w:t>
      </w:r>
      <w:r w:rsidRPr="00765C97">
        <w:rPr>
          <w:rFonts w:ascii="Arial" w:hAnsi="Arial"/>
          <w:spacing w:val="-15"/>
          <w:lang w:val="pl-PL"/>
        </w:rPr>
        <w:t xml:space="preserve"> </w:t>
      </w:r>
      <w:r w:rsidRPr="00765C97">
        <w:rPr>
          <w:rFonts w:ascii="Arial" w:hAnsi="Arial"/>
          <w:lang w:val="pl-PL"/>
        </w:rPr>
        <w:t>wszystkie wynikające stąd różnice kursowe ujmuje się jako odrębny składnik kapitału własnego.</w:t>
      </w:r>
    </w:p>
    <w:p w:rsidR="00F403DE" w:rsidRPr="00765C97" w:rsidRDefault="00F403DE" w:rsidP="000C3C74">
      <w:pPr>
        <w:tabs>
          <w:tab w:val="left" w:pos="1134"/>
        </w:tabs>
        <w:jc w:val="both"/>
        <w:rPr>
          <w:rFonts w:ascii="Arial" w:hAnsi="Arial"/>
          <w:sz w:val="20"/>
          <w:lang w:val="pl-PL"/>
        </w:rPr>
      </w:pPr>
    </w:p>
    <w:p w:rsidR="00B24DA9" w:rsidRPr="00765C97" w:rsidRDefault="00B24DA9" w:rsidP="000C3C74">
      <w:pPr>
        <w:tabs>
          <w:tab w:val="left" w:pos="1134"/>
        </w:tabs>
        <w:jc w:val="both"/>
        <w:rPr>
          <w:rFonts w:ascii="Arial" w:hAnsi="Arial"/>
          <w:spacing w:val="-2"/>
          <w:sz w:val="20"/>
          <w:lang w:val="pl-PL"/>
        </w:rPr>
      </w:pPr>
      <w:r w:rsidRPr="00765C97">
        <w:rPr>
          <w:rFonts w:ascii="Arial" w:hAnsi="Arial"/>
          <w:sz w:val="20"/>
          <w:lang w:val="pl-PL"/>
        </w:rPr>
        <w:t>Przy konsolidacji, różnice kursowe z tytułu przeliczenia inwestycji netto w jednostkach zagranicznych oraz kredytów, pożyczek i innych instrumentów walutowych wyznaczonych na zabezpieczenia takich inwestycji ujmuje się w kapitale własnym. Przy sprzedaży jednostki prowadzącej działalność za granicą, takie różnice kursowe ujmuje się w rachunku zysków i strat jako część zysku lub straty ze sprzedaży.</w:t>
      </w:r>
    </w:p>
    <w:p w:rsidR="00F403DE" w:rsidRPr="00765C97" w:rsidRDefault="00F403DE" w:rsidP="000C3C74">
      <w:pPr>
        <w:tabs>
          <w:tab w:val="left" w:pos="1134"/>
        </w:tabs>
        <w:ind w:right="21"/>
        <w:jc w:val="both"/>
        <w:rPr>
          <w:rFonts w:ascii="Arial" w:hAnsi="Arial"/>
          <w:sz w:val="20"/>
          <w:lang w:val="pl-PL"/>
        </w:rPr>
      </w:pPr>
    </w:p>
    <w:p w:rsidR="00B24DA9" w:rsidRPr="00765C97" w:rsidRDefault="00B24DA9" w:rsidP="000C3C74">
      <w:pPr>
        <w:tabs>
          <w:tab w:val="left" w:pos="1134"/>
        </w:tabs>
        <w:ind w:right="21"/>
        <w:jc w:val="both"/>
        <w:rPr>
          <w:rFonts w:ascii="Arial" w:hAnsi="Arial"/>
          <w:sz w:val="20"/>
          <w:lang w:val="pl-PL"/>
        </w:rPr>
      </w:pPr>
      <w:r w:rsidRPr="00765C97">
        <w:rPr>
          <w:rFonts w:ascii="Arial" w:hAnsi="Arial"/>
          <w:sz w:val="20"/>
          <w:lang w:val="pl-PL"/>
        </w:rPr>
        <w:t>Wartość firmy i korekty do poziomu wartości godziwej, które powstają przy nabyciu jednostki zagranicznej, traktuje się jako aktywa i zobowiązania jednostki zagranicznej oraz przelicza według kursu zamknięcia.</w:t>
      </w:r>
    </w:p>
    <w:p w:rsidR="00C93748" w:rsidRPr="00765C97" w:rsidRDefault="00C93748" w:rsidP="000C3C74">
      <w:pPr>
        <w:adjustRightInd w:val="0"/>
        <w:rPr>
          <w:rFonts w:ascii="Arial" w:hAnsi="Arial" w:cs="Arial"/>
          <w:sz w:val="20"/>
          <w:szCs w:val="20"/>
          <w:lang w:val="pl-PL"/>
        </w:rPr>
      </w:pPr>
    </w:p>
    <w:p w:rsidR="00C93748" w:rsidRPr="00765C97" w:rsidRDefault="00C93748" w:rsidP="000C3C74">
      <w:pPr>
        <w:adjustRightInd w:val="0"/>
        <w:rPr>
          <w:rFonts w:ascii="Arial" w:hAnsi="Arial" w:cs="Arial"/>
          <w:sz w:val="20"/>
          <w:szCs w:val="20"/>
          <w:lang w:val="pl-PL"/>
        </w:rPr>
      </w:pPr>
      <w:r w:rsidRPr="00765C97">
        <w:rPr>
          <w:rFonts w:ascii="Arial" w:hAnsi="Arial" w:cs="Arial"/>
          <w:sz w:val="20"/>
          <w:szCs w:val="20"/>
          <w:lang w:val="pl-PL"/>
        </w:rPr>
        <w:t>Kursy EURO użyte do przeliczania danych finansowych:</w:t>
      </w:r>
    </w:p>
    <w:p w:rsidR="00C93748" w:rsidRPr="00765C97" w:rsidRDefault="00C93748" w:rsidP="000C3C74">
      <w:pPr>
        <w:tabs>
          <w:tab w:val="left" w:pos="660"/>
        </w:tabs>
        <w:adjustRightInd w:val="0"/>
        <w:jc w:val="both"/>
        <w:rPr>
          <w:rFonts w:ascii="Arial" w:hAnsi="Arial" w:cs="Arial"/>
          <w:sz w:val="20"/>
          <w:szCs w:val="20"/>
          <w:lang w:val="pl-PL"/>
        </w:rPr>
      </w:pPr>
      <w:r w:rsidRPr="00765C97">
        <w:rPr>
          <w:rFonts w:ascii="Arial" w:hAnsi="Arial" w:cs="Arial"/>
          <w:sz w:val="20"/>
          <w:szCs w:val="20"/>
          <w:lang w:val="pl-PL"/>
        </w:rPr>
        <w:t>Średni kurs NBP z dnia 31.12.201</w:t>
      </w:r>
      <w:r w:rsidR="00DD5175" w:rsidRPr="00765C97">
        <w:rPr>
          <w:rFonts w:ascii="Arial" w:hAnsi="Arial" w:cs="Arial"/>
          <w:sz w:val="20"/>
          <w:szCs w:val="20"/>
          <w:lang w:val="pl-PL"/>
        </w:rPr>
        <w:t>2</w:t>
      </w:r>
      <w:r w:rsidRPr="00765C97">
        <w:rPr>
          <w:rFonts w:ascii="Arial" w:hAnsi="Arial" w:cs="Arial"/>
          <w:sz w:val="20"/>
          <w:szCs w:val="20"/>
          <w:lang w:val="pl-PL"/>
        </w:rPr>
        <w:t>:</w:t>
      </w:r>
      <w:r w:rsidR="00DD5175" w:rsidRPr="00765C97">
        <w:rPr>
          <w:rFonts w:ascii="Arial" w:hAnsi="Arial" w:cs="Arial"/>
          <w:sz w:val="20"/>
          <w:szCs w:val="20"/>
          <w:lang w:val="pl-PL"/>
        </w:rPr>
        <w:t xml:space="preserve"> 4,0882,</w:t>
      </w:r>
      <w:r w:rsidR="00444117" w:rsidRPr="00765C97">
        <w:rPr>
          <w:rFonts w:ascii="Arial" w:hAnsi="Arial" w:cs="Arial"/>
          <w:sz w:val="20"/>
          <w:szCs w:val="20"/>
          <w:lang w:val="pl-PL"/>
        </w:rPr>
        <w:t xml:space="preserve"> </w:t>
      </w:r>
    </w:p>
    <w:p w:rsidR="00C93748" w:rsidRPr="00765C97" w:rsidRDefault="00C93748" w:rsidP="000C3C74">
      <w:pPr>
        <w:tabs>
          <w:tab w:val="left" w:pos="660"/>
        </w:tabs>
        <w:adjustRightInd w:val="0"/>
        <w:jc w:val="both"/>
        <w:rPr>
          <w:rFonts w:ascii="Arial" w:hAnsi="Arial" w:cs="Arial"/>
          <w:sz w:val="20"/>
          <w:szCs w:val="20"/>
          <w:lang w:val="pl-PL"/>
        </w:rPr>
      </w:pPr>
      <w:r w:rsidRPr="00765C97">
        <w:rPr>
          <w:rFonts w:ascii="Arial" w:hAnsi="Arial" w:cs="Arial"/>
          <w:sz w:val="20"/>
          <w:szCs w:val="20"/>
          <w:lang w:val="pl-PL"/>
        </w:rPr>
        <w:t xml:space="preserve">Średni kurs NBP z dnia </w:t>
      </w:r>
      <w:r w:rsidR="00DD5175" w:rsidRPr="00765C97">
        <w:rPr>
          <w:rFonts w:ascii="Arial" w:hAnsi="Arial" w:cs="Arial"/>
          <w:sz w:val="20"/>
          <w:szCs w:val="20"/>
          <w:lang w:val="pl-PL"/>
        </w:rPr>
        <w:t>31.12.2011</w:t>
      </w:r>
      <w:r w:rsidR="00444117" w:rsidRPr="00765C97">
        <w:rPr>
          <w:rFonts w:ascii="Arial" w:hAnsi="Arial" w:cs="Arial"/>
          <w:sz w:val="20"/>
          <w:szCs w:val="20"/>
          <w:lang w:val="pl-PL"/>
        </w:rPr>
        <w:t xml:space="preserve">: </w:t>
      </w:r>
      <w:r w:rsidR="00DD5175" w:rsidRPr="00765C97">
        <w:rPr>
          <w:rFonts w:ascii="Arial" w:hAnsi="Arial" w:cs="Arial"/>
          <w:sz w:val="20"/>
          <w:szCs w:val="20"/>
          <w:lang w:val="pl-PL"/>
        </w:rPr>
        <w:t>4,4168,</w:t>
      </w:r>
    </w:p>
    <w:p w:rsidR="00C93748" w:rsidRPr="00765C97" w:rsidRDefault="00C93748" w:rsidP="000C3C74">
      <w:pPr>
        <w:adjustRightInd w:val="0"/>
        <w:jc w:val="both"/>
        <w:rPr>
          <w:rFonts w:ascii="Arial" w:hAnsi="Arial" w:cs="Arial"/>
          <w:sz w:val="20"/>
          <w:szCs w:val="20"/>
          <w:lang w:val="pl-PL"/>
        </w:rPr>
      </w:pPr>
      <w:r w:rsidRPr="00765C97">
        <w:rPr>
          <w:rFonts w:ascii="Arial" w:hAnsi="Arial" w:cs="Arial"/>
          <w:sz w:val="20"/>
          <w:szCs w:val="20"/>
          <w:lang w:val="pl-PL"/>
        </w:rPr>
        <w:t xml:space="preserve">Średnia arytmetyczna średnich kursów NBP na koniec każdego miesiąca za okres </w:t>
      </w:r>
      <w:r w:rsidRPr="00765C97">
        <w:rPr>
          <w:rFonts w:ascii="Arial" w:hAnsi="Arial" w:cs="Arial"/>
          <w:sz w:val="20"/>
          <w:szCs w:val="20"/>
          <w:lang w:val="pl-PL"/>
        </w:rPr>
        <w:br/>
        <w:t>1.01 - 31.12.201</w:t>
      </w:r>
      <w:r w:rsidR="00DD5175" w:rsidRPr="00765C97">
        <w:rPr>
          <w:rFonts w:ascii="Arial" w:hAnsi="Arial" w:cs="Arial"/>
          <w:sz w:val="20"/>
          <w:szCs w:val="20"/>
          <w:lang w:val="pl-PL"/>
        </w:rPr>
        <w:t>2</w:t>
      </w:r>
      <w:r w:rsidRPr="00765C97">
        <w:rPr>
          <w:rFonts w:ascii="Arial" w:hAnsi="Arial" w:cs="Arial"/>
          <w:sz w:val="20"/>
          <w:szCs w:val="20"/>
          <w:lang w:val="pl-PL"/>
        </w:rPr>
        <w:t>:</w:t>
      </w:r>
      <w:r w:rsidR="00DD5175" w:rsidRPr="00765C97">
        <w:rPr>
          <w:rFonts w:ascii="Arial" w:hAnsi="Arial" w:cs="Arial"/>
          <w:sz w:val="20"/>
          <w:szCs w:val="20"/>
          <w:lang w:val="pl-PL"/>
        </w:rPr>
        <w:t xml:space="preserve"> 4,1736</w:t>
      </w:r>
      <w:r w:rsidRPr="00765C97">
        <w:rPr>
          <w:rFonts w:ascii="Arial" w:hAnsi="Arial" w:cs="Arial"/>
          <w:sz w:val="20"/>
          <w:szCs w:val="20"/>
          <w:lang w:val="pl-PL"/>
        </w:rPr>
        <w:t>,</w:t>
      </w:r>
    </w:p>
    <w:p w:rsidR="00C93748" w:rsidRPr="00765C97" w:rsidRDefault="00C93748" w:rsidP="000C3C74">
      <w:pPr>
        <w:adjustRightInd w:val="0"/>
        <w:jc w:val="both"/>
        <w:rPr>
          <w:rFonts w:ascii="Arial" w:hAnsi="Arial" w:cs="Arial"/>
          <w:sz w:val="20"/>
          <w:szCs w:val="20"/>
          <w:lang w:val="pl-PL"/>
        </w:rPr>
      </w:pPr>
      <w:r w:rsidRPr="00765C97">
        <w:rPr>
          <w:rFonts w:ascii="Arial" w:hAnsi="Arial" w:cs="Arial"/>
          <w:sz w:val="20"/>
          <w:szCs w:val="20"/>
          <w:lang w:val="pl-PL"/>
        </w:rPr>
        <w:t>Średnia arytmetyczna średnich kursów NBP na koniec każdego miesiąca za okres</w:t>
      </w:r>
      <w:r w:rsidRPr="00765C97">
        <w:rPr>
          <w:rFonts w:ascii="Arial" w:hAnsi="Arial" w:cs="Arial"/>
          <w:sz w:val="20"/>
          <w:szCs w:val="20"/>
          <w:lang w:val="pl-PL"/>
        </w:rPr>
        <w:br/>
      </w:r>
      <w:r w:rsidR="00DD5175" w:rsidRPr="00765C97">
        <w:rPr>
          <w:rFonts w:ascii="Arial" w:hAnsi="Arial" w:cs="Arial"/>
          <w:sz w:val="20"/>
          <w:szCs w:val="20"/>
          <w:lang w:val="pl-PL"/>
        </w:rPr>
        <w:t>1.01 - 31.12.2011: 4,1401.</w:t>
      </w:r>
    </w:p>
    <w:p w:rsidR="00B24DA9" w:rsidRPr="00765C97" w:rsidRDefault="00B24DA9" w:rsidP="00135A9A">
      <w:pPr>
        <w:pStyle w:val="Nagwek4"/>
        <w:numPr>
          <w:ilvl w:val="2"/>
          <w:numId w:val="14"/>
        </w:numPr>
        <w:spacing w:before="240" w:after="60"/>
        <w:ind w:left="1276" w:hanging="851"/>
        <w:rPr>
          <w:rFonts w:ascii="Arial" w:hAnsi="Arial"/>
          <w:sz w:val="20"/>
          <w:lang w:val="pl-PL"/>
        </w:rPr>
      </w:pPr>
      <w:r w:rsidRPr="00765C97">
        <w:rPr>
          <w:rFonts w:ascii="Arial" w:hAnsi="Arial"/>
          <w:sz w:val="20"/>
          <w:lang w:val="pl-PL"/>
        </w:rPr>
        <w:t>Inwestycje</w:t>
      </w:r>
    </w:p>
    <w:p w:rsidR="00B24DA9" w:rsidRPr="00765C97" w:rsidRDefault="00B24DA9" w:rsidP="000C3C74">
      <w:pPr>
        <w:pStyle w:val="Style1"/>
        <w:tabs>
          <w:tab w:val="left" w:pos="1134"/>
        </w:tabs>
        <w:adjustRightInd/>
        <w:jc w:val="both"/>
        <w:rPr>
          <w:rFonts w:ascii="Arial" w:hAnsi="Arial"/>
          <w:lang w:val="pl-PL"/>
        </w:rPr>
      </w:pPr>
      <w:r w:rsidRPr="00765C97">
        <w:rPr>
          <w:rFonts w:ascii="Arial" w:hAnsi="Arial"/>
          <w:b/>
          <w:spacing w:val="-8"/>
          <w:lang w:val="pl-PL"/>
        </w:rPr>
        <w:t xml:space="preserve">a) </w:t>
      </w:r>
      <w:r w:rsidRPr="00765C97">
        <w:rPr>
          <w:rFonts w:ascii="Arial" w:hAnsi="Arial"/>
          <w:b/>
          <w:lang w:val="pl-PL"/>
        </w:rPr>
        <w:t>Aktywa finansowe wykazywane według wartości godziwej, z zyskami lub stratami rozliczanymi przez rachunek zysków i strat</w:t>
      </w:r>
    </w:p>
    <w:p w:rsidR="00B24DA9" w:rsidRPr="00765C97" w:rsidRDefault="00B24DA9" w:rsidP="000C3C74">
      <w:pPr>
        <w:pStyle w:val="Style1"/>
        <w:tabs>
          <w:tab w:val="left" w:pos="1134"/>
        </w:tabs>
        <w:adjustRightInd/>
        <w:jc w:val="both"/>
        <w:rPr>
          <w:rFonts w:ascii="Arial" w:hAnsi="Arial"/>
          <w:lang w:val="pl-PL"/>
        </w:rPr>
      </w:pPr>
    </w:p>
    <w:p w:rsidR="00B24DA9" w:rsidRPr="00765C97" w:rsidRDefault="00B24DA9" w:rsidP="000C3C74">
      <w:pPr>
        <w:pStyle w:val="Style1"/>
        <w:tabs>
          <w:tab w:val="left" w:pos="1134"/>
          <w:tab w:val="left" w:pos="1188"/>
        </w:tabs>
        <w:adjustRightInd/>
        <w:jc w:val="both"/>
        <w:rPr>
          <w:rFonts w:ascii="Arial" w:hAnsi="Arial"/>
          <w:lang w:val="pl-PL"/>
        </w:rPr>
      </w:pPr>
      <w:r w:rsidRPr="00765C97">
        <w:rPr>
          <w:rFonts w:ascii="Arial" w:hAnsi="Arial"/>
          <w:lang w:val="pl-PL"/>
        </w:rPr>
        <w:t>Kategoria ta obejmuje dwie podkategorie: aktywa finansowe przeznaczone do obrotu oraz aktywa finansowe przeznaczone w momencie ich początkowego ujęcia do wyceny według</w:t>
      </w:r>
      <w:r w:rsidRPr="00765C97">
        <w:rPr>
          <w:rFonts w:ascii="Arial" w:hAnsi="Arial"/>
          <w:spacing w:val="-1"/>
          <w:lang w:val="pl-PL"/>
        </w:rPr>
        <w:t xml:space="preserve"> wartości godziwej, z zyskami lub stratami ujmowanymi w rachunku zysków i strat. Składnik aktywów finansowych zalicza się do tej kategorii, jeżeli nabyty został przede wszystkim w celu sprzedaży w krótkim terminie lub jeżeli został zaliczony do tej kategorii przez Zarząd. Instrumenty pochodne </w:t>
      </w:r>
      <w:r w:rsidRPr="00765C97">
        <w:rPr>
          <w:rFonts w:ascii="Arial" w:hAnsi="Arial"/>
          <w:spacing w:val="-2"/>
          <w:lang w:val="pl-PL"/>
        </w:rPr>
        <w:t>również zalicza się do „przezna</w:t>
      </w:r>
      <w:r w:rsidRPr="00765C97">
        <w:rPr>
          <w:rFonts w:ascii="Arial" w:hAnsi="Arial"/>
          <w:spacing w:val="-1"/>
          <w:lang w:val="pl-PL"/>
        </w:rPr>
        <w:t>czonych do obrotu”, o ile nie zostały przeznaczone na zabezpieczenia. Tego typu instrumenty są wykazywane osobno w bilansie w pozycji „Pochodne instrumenty finansowe”. Aktywa z tej kategorii zalicza się do aktywów obrotowych, jeżeli są przeznaczone do obrotu lub ich realizacji oczekuje się w ciągu 12 miesięcy od dnia bilansowego.</w:t>
      </w:r>
    </w:p>
    <w:p w:rsidR="00B24DA9" w:rsidRPr="00765C97" w:rsidRDefault="00B24DA9" w:rsidP="000C3C74">
      <w:pPr>
        <w:tabs>
          <w:tab w:val="left" w:pos="1134"/>
        </w:tabs>
        <w:ind w:right="144"/>
        <w:jc w:val="both"/>
        <w:rPr>
          <w:rFonts w:ascii="Arial" w:hAnsi="Arial"/>
          <w:i/>
          <w:sz w:val="20"/>
          <w:lang w:val="pl-PL"/>
        </w:rPr>
      </w:pPr>
    </w:p>
    <w:p w:rsidR="00B24DA9" w:rsidRPr="00765C97" w:rsidRDefault="00B24DA9" w:rsidP="000C3C74">
      <w:pPr>
        <w:tabs>
          <w:tab w:val="left" w:pos="1134"/>
        </w:tabs>
        <w:ind w:right="144"/>
        <w:jc w:val="both"/>
        <w:rPr>
          <w:rFonts w:ascii="Arial" w:hAnsi="Arial"/>
          <w:b/>
          <w:sz w:val="20"/>
          <w:lang w:val="pl-PL"/>
        </w:rPr>
      </w:pPr>
      <w:r w:rsidRPr="00765C97">
        <w:rPr>
          <w:rFonts w:ascii="Arial" w:hAnsi="Arial"/>
          <w:b/>
          <w:sz w:val="20"/>
          <w:lang w:val="pl-PL"/>
        </w:rPr>
        <w:t>b) Pożyczki i należności</w:t>
      </w:r>
    </w:p>
    <w:p w:rsidR="00B24DA9" w:rsidRPr="00765C97" w:rsidRDefault="00B24DA9" w:rsidP="000C3C74">
      <w:pPr>
        <w:tabs>
          <w:tab w:val="left" w:pos="1134"/>
        </w:tabs>
        <w:ind w:right="72"/>
        <w:jc w:val="both"/>
        <w:rPr>
          <w:rFonts w:ascii="Arial" w:hAnsi="Arial"/>
          <w:spacing w:val="-1"/>
          <w:sz w:val="20"/>
          <w:lang w:val="pl-PL"/>
        </w:rPr>
      </w:pPr>
    </w:p>
    <w:p w:rsidR="00B24DA9" w:rsidRPr="00765C97" w:rsidRDefault="00B24DA9" w:rsidP="000C3C74">
      <w:pPr>
        <w:pStyle w:val="Style1"/>
        <w:tabs>
          <w:tab w:val="left" w:pos="1134"/>
        </w:tabs>
        <w:adjustRightInd/>
        <w:jc w:val="both"/>
        <w:rPr>
          <w:rFonts w:ascii="Arial" w:hAnsi="Arial"/>
          <w:spacing w:val="-3"/>
          <w:lang w:val="pl-PL"/>
        </w:rPr>
      </w:pPr>
      <w:r w:rsidRPr="00765C97">
        <w:rPr>
          <w:rFonts w:ascii="Arial" w:hAnsi="Arial"/>
          <w:spacing w:val="-1"/>
          <w:lang w:val="pl-PL"/>
        </w:rPr>
        <w:t>Pożyczki i należności to nie zaliczane do instrumentów pochodnych aktywa finansowe o ustalonych lub możliwych do ustalenia płatnościach, nie notowane na aktywnym rynku.</w:t>
      </w:r>
      <w:r w:rsidRPr="00765C97">
        <w:rPr>
          <w:rFonts w:ascii="Arial" w:hAnsi="Arial"/>
          <w:spacing w:val="-2"/>
          <w:lang w:val="pl-PL"/>
        </w:rPr>
        <w:t xml:space="preserve"> Powstają wówczas, gdy Grupa wydaje środki pieniężne, towary lub usługi bezpośrednio dłużnikowi, nie mając zamiaru wprowadzać swojej należności do obrotu.</w:t>
      </w:r>
      <w:r w:rsidRPr="00765C97">
        <w:rPr>
          <w:rFonts w:ascii="Arial" w:hAnsi="Arial"/>
          <w:spacing w:val="-1"/>
          <w:lang w:val="pl-PL"/>
        </w:rPr>
        <w:t xml:space="preserve"> Zalicza się je do aktywów obrotowych, o ile termin ich wymagalności nie przekracza 12 miesięcy od dnia bilansowego.</w:t>
      </w:r>
      <w:r w:rsidRPr="00765C97">
        <w:rPr>
          <w:rFonts w:ascii="Arial" w:hAnsi="Arial"/>
          <w:spacing w:val="-2"/>
          <w:lang w:val="pl-PL"/>
        </w:rPr>
        <w:t xml:space="preserve"> Pożyczki i należności o terminie wymagalności przekraczającym 12 miesięcy od dnia bilansowego zalicza się do aktywów trwałych.</w:t>
      </w:r>
      <w:r w:rsidRPr="00765C97">
        <w:rPr>
          <w:rFonts w:ascii="Arial" w:hAnsi="Arial"/>
          <w:spacing w:val="-3"/>
          <w:lang w:val="pl-PL"/>
        </w:rPr>
        <w:t xml:space="preserve"> Pożyczki i należności zalicza się do wykazywanych w bilansie należności handlowych i usług oraz pozostałych należności.</w:t>
      </w:r>
    </w:p>
    <w:p w:rsidR="00B24DA9" w:rsidRPr="00765C97" w:rsidRDefault="00B24DA9" w:rsidP="000C3C74">
      <w:pPr>
        <w:pStyle w:val="Style1"/>
        <w:tabs>
          <w:tab w:val="left" w:pos="1134"/>
        </w:tabs>
        <w:adjustRightInd/>
        <w:jc w:val="both"/>
        <w:rPr>
          <w:rFonts w:ascii="Arial" w:hAnsi="Arial"/>
          <w:b/>
          <w:spacing w:val="-8"/>
          <w:lang w:val="pl-PL"/>
        </w:rPr>
      </w:pPr>
    </w:p>
    <w:p w:rsidR="00B24DA9" w:rsidRPr="00765C97" w:rsidRDefault="00B24DA9" w:rsidP="000C3C74">
      <w:pPr>
        <w:pStyle w:val="Style1"/>
        <w:tabs>
          <w:tab w:val="left" w:pos="1134"/>
        </w:tabs>
        <w:adjustRightInd/>
        <w:jc w:val="both"/>
        <w:rPr>
          <w:rFonts w:ascii="Arial" w:hAnsi="Arial"/>
          <w:b/>
          <w:spacing w:val="-8"/>
          <w:lang w:val="pl-PL"/>
        </w:rPr>
      </w:pPr>
      <w:r w:rsidRPr="00765C97">
        <w:rPr>
          <w:rFonts w:ascii="Arial" w:hAnsi="Arial"/>
          <w:b/>
          <w:spacing w:val="-8"/>
          <w:lang w:val="pl-PL"/>
        </w:rPr>
        <w:t>c) Inwestycje utrzymywane do terminu zapadalności</w:t>
      </w:r>
    </w:p>
    <w:p w:rsidR="00B24DA9" w:rsidRPr="00765C97" w:rsidRDefault="00B24DA9" w:rsidP="000C3C74">
      <w:pPr>
        <w:pStyle w:val="Style1"/>
        <w:tabs>
          <w:tab w:val="left" w:pos="1134"/>
        </w:tabs>
        <w:adjustRightInd/>
        <w:jc w:val="both"/>
        <w:rPr>
          <w:rFonts w:ascii="Arial" w:hAnsi="Arial"/>
          <w:b/>
          <w:spacing w:val="-8"/>
          <w:lang w:val="pl-PL"/>
        </w:rPr>
      </w:pPr>
    </w:p>
    <w:p w:rsidR="00B24DA9" w:rsidRPr="00765C97" w:rsidRDefault="00B24DA9" w:rsidP="000C3C74">
      <w:pPr>
        <w:tabs>
          <w:tab w:val="left" w:pos="1134"/>
        </w:tabs>
        <w:ind w:right="21"/>
        <w:jc w:val="both"/>
        <w:rPr>
          <w:rFonts w:ascii="Arial" w:hAnsi="Arial"/>
          <w:sz w:val="20"/>
          <w:lang w:val="pl-PL"/>
        </w:rPr>
      </w:pPr>
      <w:r w:rsidRPr="00765C97">
        <w:rPr>
          <w:rFonts w:ascii="Arial" w:hAnsi="Arial"/>
          <w:sz w:val="20"/>
          <w:lang w:val="pl-PL"/>
        </w:rPr>
        <w:t xml:space="preserve">Inwestycje utrzymywane do terminu zapadalności to niezaliczane do instrumentów pochodnych aktywa finansowe o ustalonych lub możliwych do ustalenia płatnościach i ustalonym terminie zapadalności, </w:t>
      </w:r>
      <w:r w:rsidR="004778A8" w:rsidRPr="00765C97">
        <w:rPr>
          <w:rFonts w:ascii="Arial" w:hAnsi="Arial"/>
          <w:sz w:val="20"/>
          <w:lang w:val="pl-PL"/>
        </w:rPr>
        <w:t>które Zarządy jednostek tworzących Grupę zamierzają i są w stanie utrzymać do terminu zapadalności.</w:t>
      </w:r>
      <w:r w:rsidRPr="00765C97">
        <w:rPr>
          <w:rFonts w:ascii="Arial" w:hAnsi="Arial"/>
          <w:sz w:val="20"/>
          <w:lang w:val="pl-PL"/>
        </w:rPr>
        <w:t xml:space="preserve"> </w:t>
      </w:r>
    </w:p>
    <w:p w:rsidR="00B24DA9" w:rsidRPr="00765C97" w:rsidRDefault="00B24DA9" w:rsidP="000C3C74">
      <w:pPr>
        <w:tabs>
          <w:tab w:val="left" w:pos="1134"/>
        </w:tabs>
        <w:ind w:right="72"/>
        <w:jc w:val="both"/>
        <w:rPr>
          <w:rFonts w:ascii="Arial" w:hAnsi="Arial"/>
          <w:sz w:val="20"/>
          <w:lang w:val="pl-PL"/>
        </w:rPr>
      </w:pPr>
    </w:p>
    <w:p w:rsidR="00B24DA9" w:rsidRPr="00765C97" w:rsidRDefault="00B24DA9" w:rsidP="000C3C74">
      <w:pPr>
        <w:pStyle w:val="Style1"/>
        <w:tabs>
          <w:tab w:val="left" w:pos="1134"/>
        </w:tabs>
        <w:adjustRightInd/>
        <w:jc w:val="both"/>
        <w:rPr>
          <w:rFonts w:ascii="Arial" w:hAnsi="Arial"/>
          <w:b/>
          <w:lang w:val="pl-PL"/>
        </w:rPr>
      </w:pPr>
      <w:r w:rsidRPr="00765C97">
        <w:rPr>
          <w:rFonts w:ascii="Arial" w:hAnsi="Arial"/>
          <w:b/>
          <w:spacing w:val="-7"/>
          <w:lang w:val="pl-PL"/>
        </w:rPr>
        <w:t>d) Aktywa finansowe dostępne do sprzedaży</w:t>
      </w:r>
    </w:p>
    <w:p w:rsidR="00B24DA9" w:rsidRPr="00765C97" w:rsidRDefault="00B24DA9" w:rsidP="000C3C74">
      <w:pPr>
        <w:tabs>
          <w:tab w:val="left" w:pos="1134"/>
        </w:tabs>
        <w:jc w:val="both"/>
        <w:rPr>
          <w:rFonts w:ascii="Arial" w:hAnsi="Arial"/>
          <w:spacing w:val="-1"/>
          <w:sz w:val="20"/>
          <w:lang w:val="pl-PL"/>
        </w:rPr>
      </w:pPr>
    </w:p>
    <w:p w:rsidR="00B24DA9" w:rsidRPr="00765C97" w:rsidRDefault="00B24DA9" w:rsidP="000C3C74">
      <w:pPr>
        <w:tabs>
          <w:tab w:val="left" w:pos="1134"/>
        </w:tabs>
        <w:jc w:val="both"/>
        <w:rPr>
          <w:rFonts w:ascii="Arial" w:hAnsi="Arial"/>
          <w:spacing w:val="-1"/>
          <w:sz w:val="20"/>
          <w:lang w:val="pl-PL"/>
        </w:rPr>
      </w:pPr>
      <w:r w:rsidRPr="00765C97">
        <w:rPr>
          <w:rFonts w:ascii="Arial" w:hAnsi="Arial"/>
          <w:spacing w:val="-1"/>
          <w:sz w:val="20"/>
          <w:lang w:val="pl-PL"/>
        </w:rPr>
        <w:t>Aktywa finansowe dostępne do sprzedaży to nie zaliczone do instrumentów pochodnych instrumenty finansowe przeznaczone do tej kategorii albo nie zaliczone do żadnej z pozostałych. Zalicza się je do aktywów trwałych, o ile Zarząd nie zamierza zbyć inwestycji w ciągu 12 miesięcy od dnia bilansowego.</w:t>
      </w:r>
    </w:p>
    <w:p w:rsidR="00B24DA9" w:rsidRPr="00765C97" w:rsidRDefault="00B24DA9" w:rsidP="000C3C74">
      <w:pPr>
        <w:pStyle w:val="Style1"/>
        <w:tabs>
          <w:tab w:val="left" w:pos="1134"/>
        </w:tabs>
        <w:adjustRightInd/>
        <w:jc w:val="both"/>
        <w:rPr>
          <w:rFonts w:ascii="Arial" w:hAnsi="Arial"/>
          <w:spacing w:val="-2"/>
          <w:lang w:val="pl-PL"/>
        </w:rPr>
      </w:pPr>
    </w:p>
    <w:p w:rsidR="00B24DA9" w:rsidRPr="00765C97" w:rsidRDefault="00B24DA9" w:rsidP="000C3C74">
      <w:pPr>
        <w:pStyle w:val="Style1"/>
        <w:tabs>
          <w:tab w:val="left" w:pos="1134"/>
        </w:tabs>
        <w:adjustRightInd/>
        <w:jc w:val="both"/>
        <w:rPr>
          <w:rFonts w:ascii="Arial" w:hAnsi="Arial"/>
          <w:lang w:val="pl-PL"/>
        </w:rPr>
      </w:pPr>
      <w:r w:rsidRPr="00765C97">
        <w:rPr>
          <w:rFonts w:ascii="Arial" w:hAnsi="Arial"/>
          <w:spacing w:val="-2"/>
          <w:lang w:val="pl-PL"/>
        </w:rPr>
        <w:t xml:space="preserve">Transakcje zakupu i sprzedaży inwestycji ujmuje się na dzień przeprowadzenia transakcji – dzień, w którym </w:t>
      </w:r>
      <w:r w:rsidRPr="00765C97">
        <w:rPr>
          <w:rFonts w:ascii="Arial" w:hAnsi="Arial"/>
          <w:spacing w:val="-10"/>
          <w:lang w:val="pl-PL"/>
        </w:rPr>
        <w:t xml:space="preserve">Grupa  </w:t>
      </w:r>
      <w:r w:rsidRPr="00765C97">
        <w:rPr>
          <w:rFonts w:ascii="Arial" w:hAnsi="Arial"/>
          <w:spacing w:val="-1"/>
          <w:lang w:val="pl-PL"/>
        </w:rPr>
        <w:t>zobowiązuje się zakupić lub sprzedać dany składnik aktywów. Inwestycje ujmuje się początkowo według wartości godziwej powiększonej, w przypadku składnika aktywów niekwalifikowanych jako wyceniane w wartości godziwej przez wynik finansowy, o koszty transakcyjne.</w:t>
      </w:r>
      <w:r w:rsidRPr="00765C97">
        <w:rPr>
          <w:rFonts w:ascii="Arial" w:hAnsi="Arial"/>
          <w:lang w:val="pl-PL"/>
        </w:rPr>
        <w:t xml:space="preserve"> Inwestycje wyłącza się z ksiąg rachunkowych, gdy prawa do uzyskiwania przepływów pieniężnych z ich tytułu wygasły lub zostały przeniesione i Grupa dokonała przeniesienia zasadniczo całego ryzyka i wszystkich pożytków z tytułu ich własności. </w:t>
      </w:r>
    </w:p>
    <w:p w:rsidR="00B24DA9" w:rsidRPr="00765C97" w:rsidRDefault="00B24DA9" w:rsidP="000C3C74">
      <w:pPr>
        <w:pStyle w:val="Style1"/>
        <w:tabs>
          <w:tab w:val="left" w:pos="1134"/>
        </w:tabs>
        <w:adjustRightInd/>
        <w:jc w:val="both"/>
        <w:rPr>
          <w:rFonts w:ascii="Arial" w:hAnsi="Arial"/>
          <w:lang w:val="pl-PL"/>
        </w:rPr>
      </w:pPr>
    </w:p>
    <w:p w:rsidR="00B24DA9" w:rsidRPr="00765C97" w:rsidRDefault="00B24DA9" w:rsidP="000C3C74">
      <w:pPr>
        <w:tabs>
          <w:tab w:val="left" w:pos="1134"/>
        </w:tabs>
        <w:jc w:val="both"/>
        <w:rPr>
          <w:rFonts w:ascii="Arial" w:hAnsi="Arial"/>
          <w:spacing w:val="-1"/>
          <w:sz w:val="20"/>
          <w:lang w:val="pl-PL"/>
        </w:rPr>
      </w:pPr>
      <w:r w:rsidRPr="00765C97">
        <w:rPr>
          <w:rFonts w:ascii="Arial" w:hAnsi="Arial"/>
          <w:sz w:val="20"/>
          <w:lang w:val="pl-PL"/>
        </w:rPr>
        <w:t xml:space="preserve">Aktywa finansowe dostępne do sprzedaży oraz aktywa finansowe wykazywane według wartości godziwej, z zyskami lub stratami wykazywanymi w rachunku zysków i strat, wykazuje się po początkowym ujęciu według wartości godziwej. Pożyczki i należności oraz inwestycje utrzymywane do terminu wymagalności wykazuje się według skorygowanej ceny nabycia (zamortyzowanego kosztu), metodą efektywnej stopy </w:t>
      </w:r>
      <w:r w:rsidRPr="00765C97">
        <w:rPr>
          <w:rFonts w:ascii="Arial" w:hAnsi="Arial"/>
          <w:spacing w:val="-1"/>
          <w:sz w:val="20"/>
          <w:lang w:val="pl-PL"/>
        </w:rPr>
        <w:t xml:space="preserve">procentowej. Zrealizowane i nie zrealizowane zyski i straty z tytułu zmian </w:t>
      </w:r>
      <w:r w:rsidRPr="00765C97">
        <w:rPr>
          <w:rFonts w:ascii="Arial" w:hAnsi="Arial"/>
          <w:sz w:val="20"/>
          <w:lang w:val="pl-PL"/>
        </w:rPr>
        <w:t xml:space="preserve">wartości godziwej aktywów finansowych wykazywanych według wartości godziwej, z zyskami lub stratami rozliczanymi w korespondencji z w rachunkiem zysków i strat wykazuje się w </w:t>
      </w:r>
      <w:r w:rsidRPr="00765C97">
        <w:rPr>
          <w:rFonts w:ascii="Arial" w:hAnsi="Arial"/>
          <w:spacing w:val="-1"/>
          <w:sz w:val="20"/>
          <w:lang w:val="pl-PL"/>
        </w:rPr>
        <w:t>rachunku zysków i strat, w okresie, w którym powstały. Nie zrealizowane zyski i straty z tytułu zmian wartości godziwej niepieniężnych papierów wartościowych zaliczonych do „dostępnych do sprzedaży” ujmuje się w kapitale własnym. W razie sprzedaży papierów wartościowych zaliczonych do „dostępnych do sprzedaży” lub utraty przez nie wartości, łączne dotychczasowe korekty do poziomu aktualnej wartości godziwej wykazuje się w rachunku zysków i strat jako zyski i straty na inwestycyjnych papierach wartościowych.</w:t>
      </w:r>
    </w:p>
    <w:p w:rsidR="00B24DA9" w:rsidRPr="00765C97" w:rsidRDefault="00B24DA9" w:rsidP="000C3C74">
      <w:pPr>
        <w:tabs>
          <w:tab w:val="left" w:pos="1134"/>
        </w:tabs>
        <w:jc w:val="both"/>
        <w:rPr>
          <w:rFonts w:ascii="Arial" w:hAnsi="Arial"/>
          <w:b/>
          <w:spacing w:val="-8"/>
          <w:sz w:val="20"/>
          <w:lang w:val="pl-PL"/>
        </w:rPr>
      </w:pPr>
    </w:p>
    <w:p w:rsidR="00B24DA9" w:rsidRPr="00765C97" w:rsidRDefault="00B24DA9" w:rsidP="000C3C74">
      <w:pPr>
        <w:tabs>
          <w:tab w:val="left" w:pos="1134"/>
        </w:tabs>
        <w:jc w:val="both"/>
        <w:rPr>
          <w:rFonts w:ascii="Arial" w:hAnsi="Arial"/>
          <w:spacing w:val="-2"/>
          <w:sz w:val="20"/>
          <w:lang w:val="pl-PL"/>
        </w:rPr>
      </w:pPr>
      <w:r w:rsidRPr="00765C97">
        <w:rPr>
          <w:rFonts w:ascii="Arial" w:hAnsi="Arial"/>
          <w:spacing w:val="-2"/>
          <w:sz w:val="20"/>
          <w:lang w:val="pl-PL"/>
        </w:rPr>
        <w:t xml:space="preserve">Wartość godziwa inwestycji notowanych wynika z ich bieżącej ceny zakupu. Jeżeli rynek na dany składnik aktywów finansowych </w:t>
      </w:r>
      <w:r w:rsidRPr="00765C97">
        <w:rPr>
          <w:rFonts w:ascii="Arial" w:hAnsi="Arial"/>
          <w:spacing w:val="-1"/>
          <w:sz w:val="20"/>
          <w:lang w:val="pl-PL"/>
        </w:rPr>
        <w:t xml:space="preserve">nie jest aktywny (a także w odniesieniu do nie notowanych papierów wartościowych), Grupa ustala wartość godziwą stosując techniki wyceny. </w:t>
      </w:r>
      <w:r w:rsidRPr="00765C97">
        <w:rPr>
          <w:rFonts w:ascii="Arial" w:hAnsi="Arial"/>
          <w:sz w:val="20"/>
          <w:lang w:val="pl-PL"/>
        </w:rPr>
        <w:t>Obejmują one wykorzystanie niedawno</w:t>
      </w:r>
      <w:r w:rsidRPr="00765C97">
        <w:rPr>
          <w:rFonts w:ascii="Arial" w:hAnsi="Arial"/>
          <w:spacing w:val="-2"/>
          <w:sz w:val="20"/>
          <w:lang w:val="pl-PL"/>
        </w:rPr>
        <w:t xml:space="preserve"> </w:t>
      </w:r>
      <w:r w:rsidRPr="00765C97">
        <w:rPr>
          <w:rFonts w:ascii="Arial" w:hAnsi="Arial"/>
          <w:sz w:val="20"/>
          <w:lang w:val="pl-PL"/>
        </w:rPr>
        <w:t>przeprowadzonych transakcji na normalnych zasadach rynkowych, odwołanie się do innych instrumentów, które są w zasadzie identyczne, analizę zdyskontowanych przepływów pieniężnych oraz powszechnie uznane za poprawne modele wyceny instrumentów pochodnych, oparte na danych wejściowych pochodzących z aktywnego rynku.</w:t>
      </w:r>
    </w:p>
    <w:p w:rsidR="00B24DA9" w:rsidRPr="00765C97" w:rsidRDefault="00B24DA9" w:rsidP="000C3C74">
      <w:pPr>
        <w:tabs>
          <w:tab w:val="left" w:pos="1134"/>
        </w:tabs>
        <w:jc w:val="both"/>
        <w:rPr>
          <w:rFonts w:ascii="Arial" w:hAnsi="Arial"/>
          <w:b/>
          <w:spacing w:val="-8"/>
          <w:sz w:val="20"/>
          <w:lang w:val="pl-PL"/>
        </w:rPr>
      </w:pPr>
    </w:p>
    <w:p w:rsidR="00B24DA9" w:rsidRPr="00765C97" w:rsidRDefault="00B24DA9" w:rsidP="000C3C74">
      <w:pPr>
        <w:tabs>
          <w:tab w:val="left" w:pos="1134"/>
        </w:tabs>
        <w:ind w:right="21"/>
        <w:jc w:val="both"/>
        <w:rPr>
          <w:rFonts w:ascii="Arial" w:hAnsi="Arial"/>
          <w:spacing w:val="-1"/>
          <w:sz w:val="20"/>
          <w:lang w:val="pl-PL"/>
        </w:rPr>
      </w:pPr>
      <w:r w:rsidRPr="00765C97">
        <w:rPr>
          <w:rFonts w:ascii="Arial" w:hAnsi="Arial"/>
          <w:spacing w:val="-1"/>
          <w:sz w:val="20"/>
          <w:lang w:val="pl-PL"/>
        </w:rPr>
        <w:t xml:space="preserve">Grupa dokonuje na każdy dzień bilansowy oceny, czy występują obiektywne dowody na to, że składnik aktywów </w:t>
      </w:r>
      <w:r w:rsidRPr="00765C97">
        <w:rPr>
          <w:rFonts w:ascii="Arial" w:hAnsi="Arial"/>
          <w:spacing w:val="-2"/>
          <w:sz w:val="20"/>
          <w:lang w:val="pl-PL"/>
        </w:rPr>
        <w:t>finansowych lub grupa aktywów finansowych utraciły na wartości. W odniesieniu do kapitałowych</w:t>
      </w:r>
      <w:r w:rsidRPr="00765C97">
        <w:rPr>
          <w:rFonts w:ascii="Arial" w:hAnsi="Arial"/>
          <w:spacing w:val="-1"/>
          <w:sz w:val="20"/>
          <w:lang w:val="pl-PL"/>
        </w:rPr>
        <w:t xml:space="preserve"> </w:t>
      </w:r>
      <w:r w:rsidRPr="00765C97">
        <w:rPr>
          <w:rFonts w:ascii="Arial" w:hAnsi="Arial"/>
          <w:spacing w:val="-2"/>
          <w:sz w:val="20"/>
          <w:lang w:val="pl-PL"/>
        </w:rPr>
        <w:t xml:space="preserve">papierów wartościowych zaliczonych do „dostępnych </w:t>
      </w:r>
      <w:r w:rsidRPr="00765C97">
        <w:rPr>
          <w:rFonts w:ascii="Arial" w:hAnsi="Arial"/>
          <w:spacing w:val="-1"/>
          <w:sz w:val="20"/>
          <w:lang w:val="pl-PL"/>
        </w:rPr>
        <w:t xml:space="preserve">do sprzedaży”, przy ustalaniu, czy papiery wartościowe </w:t>
      </w:r>
      <w:r w:rsidRPr="00765C97">
        <w:rPr>
          <w:rFonts w:ascii="Arial" w:hAnsi="Arial"/>
          <w:sz w:val="20"/>
          <w:lang w:val="pl-PL"/>
        </w:rPr>
        <w:t xml:space="preserve">utraciły na wartości bierze się pod uwagę znaczący lub przedłużający się spadek wartości godziwej danego papieru wartościowego poniżej jego kosztu. Jeżeli takie dowody występują w przypadku aktywów finansowych dostępnych do sprzedaży, łączne dotychczasowe straty – ustalone jako różnica pomiędzy ceną nabycia, a </w:t>
      </w:r>
      <w:r w:rsidRPr="00765C97">
        <w:rPr>
          <w:rFonts w:ascii="Arial" w:hAnsi="Arial"/>
          <w:spacing w:val="-1"/>
          <w:sz w:val="20"/>
          <w:lang w:val="pl-PL"/>
        </w:rPr>
        <w:t xml:space="preserve">aktualną wartością godziwą, pomniejszona o ewentualne straty z tytułu utraty wartości ujęte wcześniej w rachunku zysków i strat – </w:t>
      </w:r>
      <w:r w:rsidRPr="00765C97">
        <w:rPr>
          <w:rFonts w:ascii="Arial" w:hAnsi="Arial"/>
          <w:sz w:val="20"/>
          <w:lang w:val="pl-PL"/>
        </w:rPr>
        <w:t>wyłącza się z kapitału własnego i ujmuje w rachunku zysków i strat.</w:t>
      </w:r>
      <w:r w:rsidRPr="00765C97">
        <w:rPr>
          <w:rFonts w:ascii="Arial" w:hAnsi="Arial"/>
          <w:b/>
          <w:spacing w:val="-8"/>
          <w:sz w:val="20"/>
          <w:lang w:val="pl-PL"/>
        </w:rPr>
        <w:t xml:space="preserve"> </w:t>
      </w:r>
      <w:r w:rsidRPr="00765C97">
        <w:rPr>
          <w:rFonts w:ascii="Arial" w:hAnsi="Arial"/>
          <w:spacing w:val="-1"/>
          <w:sz w:val="20"/>
          <w:lang w:val="pl-PL"/>
        </w:rPr>
        <w:t>Straty z tytułu utraty wartości ujęte wcześniej</w:t>
      </w:r>
      <w:r w:rsidRPr="00765C97">
        <w:rPr>
          <w:rFonts w:ascii="Arial" w:hAnsi="Arial"/>
          <w:sz w:val="20"/>
          <w:lang w:val="pl-PL"/>
        </w:rPr>
        <w:t xml:space="preserve"> w rachunku zysków i strat z tytułu instrumentów kapitałowych</w:t>
      </w:r>
      <w:r w:rsidRPr="00765C97">
        <w:rPr>
          <w:rFonts w:ascii="Arial" w:hAnsi="Arial"/>
          <w:spacing w:val="-1"/>
          <w:sz w:val="20"/>
          <w:lang w:val="pl-PL"/>
        </w:rPr>
        <w:t xml:space="preserve"> </w:t>
      </w:r>
      <w:r w:rsidRPr="00765C97">
        <w:rPr>
          <w:rFonts w:ascii="Arial" w:hAnsi="Arial"/>
          <w:sz w:val="20"/>
          <w:lang w:val="pl-PL"/>
        </w:rPr>
        <w:t>nie podlegają odwróceniu w korespondencji z rachunkiem zysków i strat.</w:t>
      </w:r>
    </w:p>
    <w:p w:rsidR="00B24DA9" w:rsidRPr="00765C97" w:rsidRDefault="00B24DA9" w:rsidP="00135A9A">
      <w:pPr>
        <w:pStyle w:val="Nagwek4"/>
        <w:numPr>
          <w:ilvl w:val="2"/>
          <w:numId w:val="14"/>
        </w:numPr>
        <w:spacing w:before="240" w:after="60"/>
        <w:ind w:left="1276" w:hanging="851"/>
        <w:rPr>
          <w:rFonts w:ascii="Arial" w:hAnsi="Arial"/>
          <w:sz w:val="20"/>
          <w:lang w:val="pl-PL"/>
        </w:rPr>
      </w:pPr>
      <w:r w:rsidRPr="00765C97">
        <w:rPr>
          <w:rFonts w:ascii="Arial" w:hAnsi="Arial"/>
          <w:sz w:val="20"/>
          <w:lang w:val="pl-PL"/>
        </w:rPr>
        <w:t>Aktywa trwałe</w:t>
      </w:r>
    </w:p>
    <w:p w:rsidR="00C362CD" w:rsidRPr="00765C97" w:rsidRDefault="00C362CD" w:rsidP="000C3C74">
      <w:pPr>
        <w:numPr>
          <w:ilvl w:val="12"/>
          <w:numId w:val="0"/>
        </w:numPr>
        <w:tabs>
          <w:tab w:val="left" w:pos="450"/>
        </w:tabs>
        <w:adjustRightInd w:val="0"/>
        <w:jc w:val="both"/>
        <w:rPr>
          <w:rFonts w:ascii="Arial" w:hAnsi="Arial"/>
          <w:b/>
          <w:sz w:val="20"/>
          <w:lang w:val="pl-PL"/>
        </w:rPr>
      </w:pPr>
      <w:r w:rsidRPr="00765C97">
        <w:rPr>
          <w:rFonts w:ascii="Arial" w:hAnsi="Arial"/>
          <w:b/>
          <w:sz w:val="20"/>
          <w:lang w:val="pl-PL"/>
        </w:rPr>
        <w:t>a) Wartości niematerialne</w:t>
      </w:r>
    </w:p>
    <w:p w:rsidR="00B24DA9" w:rsidRPr="00765C97" w:rsidRDefault="00B24DA9" w:rsidP="000C3C74">
      <w:pPr>
        <w:adjustRightInd w:val="0"/>
        <w:rPr>
          <w:rFonts w:ascii="Arial" w:hAnsi="Arial"/>
          <w:sz w:val="20"/>
          <w:lang w:val="pl-PL"/>
        </w:rPr>
      </w:pPr>
    </w:p>
    <w:p w:rsidR="00B24DA9" w:rsidRPr="00765C97" w:rsidRDefault="00B24DA9" w:rsidP="00973410">
      <w:pPr>
        <w:pStyle w:val="Tekstpodstawowywcity3"/>
        <w:tabs>
          <w:tab w:val="left" w:pos="8460"/>
        </w:tabs>
        <w:adjustRightInd w:val="0"/>
        <w:ind w:left="0"/>
        <w:jc w:val="both"/>
        <w:rPr>
          <w:rFonts w:ascii="Arial" w:hAnsi="Arial"/>
          <w:sz w:val="20"/>
          <w:lang w:val="pl-PL"/>
        </w:rPr>
      </w:pPr>
      <w:r w:rsidRPr="00765C97">
        <w:rPr>
          <w:rFonts w:ascii="Arial" w:hAnsi="Arial"/>
          <w:sz w:val="20"/>
          <w:lang w:val="pl-PL"/>
        </w:rPr>
        <w:t>Wartości niematerialne ujmowane są w ewidencji według cen nabycia pomniejszone o dotychczasowe umorzenie i ewentualne odpisy z tytułu utraty wartości. Grupa dokonuje odpisów amortyzacyjnych metodą liniową. Przyjęto następujące stawki amortyzacyjne:</w:t>
      </w:r>
    </w:p>
    <w:p w:rsidR="00B24DA9" w:rsidRPr="00765C97" w:rsidRDefault="00B24DA9" w:rsidP="00135A9A">
      <w:pPr>
        <w:numPr>
          <w:ilvl w:val="0"/>
          <w:numId w:val="4"/>
        </w:numPr>
        <w:tabs>
          <w:tab w:val="left" w:pos="1545"/>
        </w:tabs>
        <w:adjustRightInd w:val="0"/>
        <w:ind w:left="426"/>
        <w:rPr>
          <w:rFonts w:ascii="Arial" w:hAnsi="Arial"/>
          <w:sz w:val="20"/>
          <w:lang w:val="pl-PL"/>
        </w:rPr>
      </w:pPr>
      <w:r w:rsidRPr="00765C97">
        <w:rPr>
          <w:rFonts w:ascii="Arial" w:hAnsi="Arial"/>
          <w:sz w:val="20"/>
          <w:lang w:val="pl-PL"/>
        </w:rPr>
        <w:t>oprogramowanie komputerowe</w:t>
      </w:r>
      <w:r w:rsidRPr="00765C97">
        <w:rPr>
          <w:rFonts w:ascii="Arial" w:hAnsi="Arial"/>
          <w:sz w:val="20"/>
          <w:lang w:val="pl-PL"/>
        </w:rPr>
        <w:tab/>
        <w:t>30%</w:t>
      </w:r>
    </w:p>
    <w:p w:rsidR="00B24DA9" w:rsidRPr="00765C97" w:rsidRDefault="00B24DA9" w:rsidP="00135A9A">
      <w:pPr>
        <w:numPr>
          <w:ilvl w:val="0"/>
          <w:numId w:val="4"/>
        </w:numPr>
        <w:tabs>
          <w:tab w:val="left" w:pos="1545"/>
        </w:tabs>
        <w:adjustRightInd w:val="0"/>
        <w:ind w:left="426"/>
        <w:rPr>
          <w:rFonts w:ascii="Arial" w:hAnsi="Arial"/>
          <w:sz w:val="20"/>
          <w:lang w:val="pl-PL"/>
        </w:rPr>
      </w:pPr>
      <w:r w:rsidRPr="00765C97">
        <w:rPr>
          <w:rFonts w:ascii="Arial" w:hAnsi="Arial"/>
          <w:sz w:val="20"/>
          <w:lang w:val="pl-PL"/>
        </w:rPr>
        <w:t>licencje</w:t>
      </w:r>
      <w:r w:rsidRPr="00765C97">
        <w:rPr>
          <w:rFonts w:ascii="Arial" w:hAnsi="Arial"/>
          <w:sz w:val="20"/>
          <w:lang w:val="pl-PL"/>
        </w:rPr>
        <w:tab/>
      </w:r>
      <w:r w:rsidRPr="00765C97">
        <w:rPr>
          <w:rFonts w:ascii="Arial" w:hAnsi="Arial"/>
          <w:sz w:val="20"/>
          <w:lang w:val="pl-PL"/>
        </w:rPr>
        <w:tab/>
      </w:r>
      <w:r w:rsidRPr="00765C97">
        <w:rPr>
          <w:rFonts w:ascii="Arial" w:hAnsi="Arial"/>
          <w:sz w:val="20"/>
          <w:lang w:val="pl-PL"/>
        </w:rPr>
        <w:tab/>
      </w:r>
      <w:r w:rsidR="00580AC5" w:rsidRPr="00765C97">
        <w:rPr>
          <w:rFonts w:ascii="Arial" w:hAnsi="Arial"/>
          <w:sz w:val="20"/>
          <w:lang w:val="pl-PL"/>
        </w:rPr>
        <w:tab/>
      </w:r>
      <w:r w:rsidR="007751B8" w:rsidRPr="00765C97">
        <w:rPr>
          <w:rFonts w:ascii="Arial" w:hAnsi="Arial"/>
          <w:sz w:val="20"/>
          <w:lang w:val="pl-PL"/>
        </w:rPr>
        <w:tab/>
      </w:r>
      <w:r w:rsidRPr="00765C97">
        <w:rPr>
          <w:rFonts w:ascii="Arial" w:hAnsi="Arial"/>
          <w:sz w:val="20"/>
          <w:lang w:val="pl-PL"/>
        </w:rPr>
        <w:t>30%</w:t>
      </w:r>
    </w:p>
    <w:p w:rsidR="00B24DA9" w:rsidRPr="00765C97" w:rsidRDefault="00B24DA9" w:rsidP="00135A9A">
      <w:pPr>
        <w:numPr>
          <w:ilvl w:val="0"/>
          <w:numId w:val="4"/>
        </w:numPr>
        <w:tabs>
          <w:tab w:val="left" w:pos="1545"/>
        </w:tabs>
        <w:adjustRightInd w:val="0"/>
        <w:ind w:left="426"/>
        <w:rPr>
          <w:rFonts w:ascii="Arial" w:hAnsi="Arial"/>
          <w:sz w:val="20"/>
          <w:lang w:val="pl-PL"/>
        </w:rPr>
      </w:pPr>
      <w:r w:rsidRPr="00765C97">
        <w:rPr>
          <w:rFonts w:ascii="Arial" w:hAnsi="Arial"/>
          <w:sz w:val="20"/>
          <w:lang w:val="pl-PL"/>
        </w:rPr>
        <w:t>prawa autorskie</w:t>
      </w:r>
      <w:r w:rsidRPr="00765C97">
        <w:rPr>
          <w:rFonts w:ascii="Arial" w:hAnsi="Arial"/>
          <w:sz w:val="20"/>
          <w:lang w:val="pl-PL"/>
        </w:rPr>
        <w:tab/>
      </w:r>
      <w:r w:rsidRPr="00765C97">
        <w:rPr>
          <w:rFonts w:ascii="Arial" w:hAnsi="Arial"/>
          <w:sz w:val="20"/>
          <w:lang w:val="pl-PL"/>
        </w:rPr>
        <w:tab/>
      </w:r>
      <w:r w:rsidR="00580AC5" w:rsidRPr="00765C97">
        <w:rPr>
          <w:rFonts w:ascii="Arial" w:hAnsi="Arial"/>
          <w:sz w:val="20"/>
          <w:lang w:val="pl-PL"/>
        </w:rPr>
        <w:tab/>
      </w:r>
      <w:r w:rsidRPr="00765C97">
        <w:rPr>
          <w:rFonts w:ascii="Arial" w:hAnsi="Arial"/>
          <w:sz w:val="20"/>
          <w:lang w:val="pl-PL"/>
        </w:rPr>
        <w:t>30%</w:t>
      </w:r>
    </w:p>
    <w:p w:rsidR="00B24DA9" w:rsidRPr="00765C97" w:rsidRDefault="00B24DA9" w:rsidP="00135A9A">
      <w:pPr>
        <w:numPr>
          <w:ilvl w:val="0"/>
          <w:numId w:val="4"/>
        </w:numPr>
        <w:tabs>
          <w:tab w:val="left" w:pos="1545"/>
        </w:tabs>
        <w:adjustRightInd w:val="0"/>
        <w:ind w:left="426"/>
        <w:rPr>
          <w:rFonts w:ascii="Arial" w:hAnsi="Arial"/>
          <w:sz w:val="20"/>
          <w:lang w:val="pl-PL"/>
        </w:rPr>
      </w:pPr>
      <w:r w:rsidRPr="00765C97">
        <w:rPr>
          <w:rFonts w:ascii="Arial" w:hAnsi="Arial"/>
          <w:sz w:val="20"/>
          <w:lang w:val="pl-PL"/>
        </w:rPr>
        <w:t>pozostałe prawa</w:t>
      </w:r>
      <w:r w:rsidRPr="00765C97">
        <w:rPr>
          <w:rFonts w:ascii="Arial" w:hAnsi="Arial"/>
          <w:sz w:val="20"/>
          <w:lang w:val="pl-PL"/>
        </w:rPr>
        <w:tab/>
      </w:r>
      <w:r w:rsidRPr="00765C97">
        <w:rPr>
          <w:rFonts w:ascii="Arial" w:hAnsi="Arial"/>
          <w:sz w:val="20"/>
          <w:lang w:val="pl-PL"/>
        </w:rPr>
        <w:tab/>
      </w:r>
      <w:r w:rsidR="00580AC5" w:rsidRPr="00765C97">
        <w:rPr>
          <w:rFonts w:ascii="Arial" w:hAnsi="Arial"/>
          <w:sz w:val="20"/>
          <w:lang w:val="pl-PL"/>
        </w:rPr>
        <w:tab/>
      </w:r>
      <w:r w:rsidRPr="00765C97">
        <w:rPr>
          <w:rFonts w:ascii="Arial" w:hAnsi="Arial"/>
          <w:sz w:val="20"/>
          <w:lang w:val="pl-PL"/>
        </w:rPr>
        <w:t xml:space="preserve">10 - </w:t>
      </w:r>
      <w:r w:rsidR="00DE2938" w:rsidRPr="00765C97">
        <w:rPr>
          <w:rFonts w:ascii="Arial" w:hAnsi="Arial"/>
          <w:sz w:val="20"/>
          <w:lang w:val="pl-PL"/>
        </w:rPr>
        <w:t>20</w:t>
      </w:r>
      <w:r w:rsidRPr="00765C97">
        <w:rPr>
          <w:rFonts w:ascii="Arial" w:hAnsi="Arial"/>
          <w:sz w:val="20"/>
          <w:lang w:val="pl-PL"/>
        </w:rPr>
        <w:t>%</w:t>
      </w:r>
    </w:p>
    <w:p w:rsidR="00B24DA9" w:rsidRPr="00765C97" w:rsidRDefault="00B24DA9" w:rsidP="000C3C74">
      <w:pPr>
        <w:numPr>
          <w:ilvl w:val="12"/>
          <w:numId w:val="0"/>
        </w:numPr>
        <w:adjustRightInd w:val="0"/>
        <w:rPr>
          <w:rFonts w:ascii="Arial" w:hAnsi="Arial"/>
          <w:sz w:val="20"/>
          <w:lang w:val="pl-PL"/>
        </w:rPr>
      </w:pPr>
    </w:p>
    <w:p w:rsidR="00F51BC3" w:rsidRPr="00765C97" w:rsidRDefault="00B24DA9" w:rsidP="000C3C74">
      <w:pPr>
        <w:numPr>
          <w:ilvl w:val="12"/>
          <w:numId w:val="0"/>
        </w:numPr>
        <w:tabs>
          <w:tab w:val="left" w:pos="450"/>
        </w:tabs>
        <w:adjustRightInd w:val="0"/>
        <w:jc w:val="both"/>
        <w:rPr>
          <w:rFonts w:ascii="Arial" w:hAnsi="Arial" w:cs="Arial"/>
          <w:color w:val="FF0000"/>
          <w:sz w:val="20"/>
          <w:szCs w:val="20"/>
          <w:lang w:val="pl-PL"/>
        </w:rPr>
      </w:pPr>
      <w:r w:rsidRPr="00765C97">
        <w:rPr>
          <w:rFonts w:ascii="Arial" w:hAnsi="Arial"/>
          <w:sz w:val="20"/>
          <w:lang w:val="pl-PL"/>
        </w:rPr>
        <w:t>Przyjęte stawki amortyzacyjne odpowiadają oszacowanemu okresowi użytko</w:t>
      </w:r>
      <w:r w:rsidR="00F51BC3" w:rsidRPr="00765C97">
        <w:rPr>
          <w:rFonts w:ascii="Arial" w:hAnsi="Arial"/>
          <w:sz w:val="20"/>
          <w:lang w:val="pl-PL"/>
        </w:rPr>
        <w:t xml:space="preserve">wania wartości niematerialnych, </w:t>
      </w:r>
      <w:r w:rsidR="00F51BC3" w:rsidRPr="00765C97">
        <w:rPr>
          <w:rFonts w:ascii="Arial" w:hAnsi="Arial" w:cs="Arial"/>
          <w:color w:val="000000"/>
          <w:sz w:val="20"/>
          <w:szCs w:val="20"/>
          <w:lang w:val="pl-PL"/>
        </w:rPr>
        <w:t>za wyjątkiem kart zawodników (dot. MKS Cracovia SSA), które amortyzowane są w okresie obowiązującej umowy z danym zawodnikiem.</w:t>
      </w:r>
    </w:p>
    <w:p w:rsidR="00B24DA9" w:rsidRPr="00765C97" w:rsidRDefault="00B24DA9" w:rsidP="000C3C74">
      <w:pPr>
        <w:numPr>
          <w:ilvl w:val="12"/>
          <w:numId w:val="0"/>
        </w:numPr>
        <w:tabs>
          <w:tab w:val="left" w:pos="450"/>
        </w:tabs>
        <w:adjustRightInd w:val="0"/>
        <w:jc w:val="both"/>
        <w:rPr>
          <w:rFonts w:ascii="Arial" w:hAnsi="Arial"/>
          <w:sz w:val="20"/>
          <w:lang w:val="pl-PL"/>
        </w:rPr>
      </w:pPr>
      <w:r w:rsidRPr="00765C97">
        <w:rPr>
          <w:rFonts w:ascii="Arial" w:hAnsi="Arial"/>
          <w:sz w:val="20"/>
          <w:lang w:val="pl-PL"/>
        </w:rPr>
        <w:t xml:space="preserve">W przypadku wartości niematerialnych nabytych w celu wykorzystania w konkretnym projekcie okres amortyzacji ustala się jako okres trwania projektu. </w:t>
      </w:r>
    </w:p>
    <w:p w:rsidR="00B24DA9" w:rsidRPr="00765C97" w:rsidRDefault="00B24DA9" w:rsidP="000C3C74">
      <w:pPr>
        <w:numPr>
          <w:ilvl w:val="12"/>
          <w:numId w:val="0"/>
        </w:numPr>
        <w:tabs>
          <w:tab w:val="left" w:pos="450"/>
        </w:tabs>
        <w:adjustRightInd w:val="0"/>
        <w:ind w:firstLine="20"/>
        <w:jc w:val="both"/>
        <w:rPr>
          <w:rFonts w:ascii="Arial" w:hAnsi="Arial"/>
          <w:sz w:val="20"/>
          <w:lang w:val="pl-PL"/>
        </w:rPr>
      </w:pPr>
      <w:r w:rsidRPr="00765C97">
        <w:rPr>
          <w:rFonts w:ascii="Arial" w:hAnsi="Arial"/>
          <w:sz w:val="20"/>
          <w:lang w:val="pl-PL"/>
        </w:rPr>
        <w:t>Prawo wieczystego użytkowania gruntów dotyczących MKS Cracovia SSA zostało nabyte i</w:t>
      </w:r>
      <w:r w:rsidR="00F51BC3" w:rsidRPr="00765C97">
        <w:rPr>
          <w:rFonts w:ascii="Arial" w:hAnsi="Arial"/>
          <w:sz w:val="20"/>
          <w:lang w:val="pl-PL"/>
        </w:rPr>
        <w:t> </w:t>
      </w:r>
      <w:r w:rsidRPr="00765C97">
        <w:rPr>
          <w:rFonts w:ascii="Arial" w:hAnsi="Arial"/>
          <w:sz w:val="20"/>
          <w:lang w:val="pl-PL"/>
        </w:rPr>
        <w:t>jest traktowane jako wartość niematerialna, o nieokreślonym okresie użytkowania i dlatego nie jest amortyzowane. Grunty będące w użytkowaniu wieczystym spółki MKS Cracovia SSA nie podlegają amortyzacji, gdyż posiadają nieokreślony okres użytkowania, z uwagi na fakt, iż Spółka spodziewa się, że nastąpi odnowienie prawa wieczystego użytkowania i odbędzie się to bez ponoszenia znaczących kosztów, gdyż Spółka nie jest zobowiązana do spełnienia żadnych warunków, o których zależałoby przedłużenie tego prawa.</w:t>
      </w:r>
    </w:p>
    <w:p w:rsidR="00DF05E5" w:rsidRPr="00765C97" w:rsidRDefault="00DF05E5" w:rsidP="000C3C74">
      <w:pPr>
        <w:numPr>
          <w:ilvl w:val="12"/>
          <w:numId w:val="0"/>
        </w:numPr>
        <w:tabs>
          <w:tab w:val="left" w:pos="450"/>
        </w:tabs>
        <w:adjustRightInd w:val="0"/>
        <w:ind w:firstLine="20"/>
        <w:jc w:val="both"/>
        <w:rPr>
          <w:rFonts w:ascii="Arial" w:hAnsi="Arial"/>
          <w:sz w:val="20"/>
          <w:lang w:val="pl-PL"/>
        </w:rPr>
      </w:pPr>
    </w:p>
    <w:p w:rsidR="00B24DA9" w:rsidRPr="00765C97" w:rsidRDefault="00B24DA9" w:rsidP="000C3C74">
      <w:pPr>
        <w:numPr>
          <w:ilvl w:val="12"/>
          <w:numId w:val="0"/>
        </w:numPr>
        <w:tabs>
          <w:tab w:val="left" w:pos="450"/>
        </w:tabs>
        <w:adjustRightInd w:val="0"/>
        <w:ind w:firstLine="20"/>
        <w:jc w:val="both"/>
        <w:rPr>
          <w:rFonts w:ascii="Arial" w:hAnsi="Arial"/>
          <w:sz w:val="20"/>
          <w:lang w:val="pl-PL"/>
        </w:rPr>
      </w:pPr>
      <w:r w:rsidRPr="00765C97">
        <w:rPr>
          <w:rFonts w:ascii="Arial" w:hAnsi="Arial"/>
          <w:sz w:val="20"/>
          <w:lang w:val="pl-PL"/>
        </w:rPr>
        <w:t>Wieczyste użytkowanie w Polsce traktowane jest jako synonim własności a nie dzierżawy, po zakończeniu której użytkownik oddaje grunt. Spółka nie spodziewa się poniesienia znaczących kosztów przy odnowieniu prawa wieczystego użytkowania w kontekście dotychczasowych działań współwłaściciela MKS Cracovia SSA czyli Gminy Kraków. Miasto wspiera działalność sportowa w tym MKS Cracovia SSA m in. poprzez:</w:t>
      </w:r>
    </w:p>
    <w:p w:rsidR="00B24DA9" w:rsidRPr="00765C97" w:rsidRDefault="00B24DA9" w:rsidP="00135A9A">
      <w:pPr>
        <w:numPr>
          <w:ilvl w:val="0"/>
          <w:numId w:val="5"/>
        </w:numPr>
        <w:tabs>
          <w:tab w:val="clear" w:pos="2389"/>
          <w:tab w:val="left" w:pos="450"/>
        </w:tabs>
        <w:adjustRightInd w:val="0"/>
        <w:ind w:left="426"/>
        <w:jc w:val="both"/>
        <w:rPr>
          <w:rFonts w:ascii="Arial" w:hAnsi="Arial"/>
          <w:sz w:val="20"/>
          <w:lang w:val="pl-PL"/>
        </w:rPr>
      </w:pPr>
      <w:r w:rsidRPr="00765C97">
        <w:rPr>
          <w:rFonts w:ascii="Arial" w:hAnsi="Arial"/>
          <w:sz w:val="20"/>
          <w:lang w:val="pl-PL"/>
        </w:rPr>
        <w:t>dofinansowywanie budowy infrastruktury sportowej</w:t>
      </w:r>
      <w:r w:rsidR="00C24263" w:rsidRPr="00765C97">
        <w:rPr>
          <w:rFonts w:ascii="Arial" w:hAnsi="Arial"/>
          <w:sz w:val="20"/>
          <w:lang w:val="pl-PL"/>
        </w:rPr>
        <w:t>,</w:t>
      </w:r>
    </w:p>
    <w:p w:rsidR="00B24DA9" w:rsidRPr="00765C97" w:rsidRDefault="00B24DA9" w:rsidP="00135A9A">
      <w:pPr>
        <w:numPr>
          <w:ilvl w:val="0"/>
          <w:numId w:val="5"/>
        </w:numPr>
        <w:tabs>
          <w:tab w:val="clear" w:pos="2389"/>
          <w:tab w:val="left" w:pos="450"/>
        </w:tabs>
        <w:adjustRightInd w:val="0"/>
        <w:ind w:left="426"/>
        <w:jc w:val="both"/>
        <w:rPr>
          <w:rFonts w:ascii="Arial" w:hAnsi="Arial"/>
          <w:sz w:val="20"/>
          <w:lang w:val="pl-PL"/>
        </w:rPr>
      </w:pPr>
      <w:r w:rsidRPr="00765C97">
        <w:rPr>
          <w:rFonts w:ascii="Arial" w:hAnsi="Arial"/>
          <w:sz w:val="20"/>
          <w:lang w:val="pl-PL"/>
        </w:rPr>
        <w:t>umorzenie podatku od nieruchomości</w:t>
      </w:r>
      <w:r w:rsidR="00C24263" w:rsidRPr="00765C97">
        <w:rPr>
          <w:rFonts w:ascii="Arial" w:hAnsi="Arial"/>
          <w:sz w:val="20"/>
          <w:lang w:val="pl-PL"/>
        </w:rPr>
        <w:t>,</w:t>
      </w:r>
    </w:p>
    <w:p w:rsidR="00B24DA9" w:rsidRPr="00765C97" w:rsidRDefault="00B24DA9" w:rsidP="00135A9A">
      <w:pPr>
        <w:numPr>
          <w:ilvl w:val="0"/>
          <w:numId w:val="5"/>
        </w:numPr>
        <w:tabs>
          <w:tab w:val="clear" w:pos="2389"/>
          <w:tab w:val="left" w:pos="450"/>
        </w:tabs>
        <w:adjustRightInd w:val="0"/>
        <w:ind w:left="426"/>
        <w:jc w:val="both"/>
        <w:rPr>
          <w:rFonts w:ascii="Arial" w:hAnsi="Arial"/>
          <w:sz w:val="20"/>
          <w:lang w:val="pl-PL"/>
        </w:rPr>
      </w:pPr>
      <w:r w:rsidRPr="00765C97">
        <w:rPr>
          <w:rFonts w:ascii="Arial" w:hAnsi="Arial"/>
          <w:sz w:val="20"/>
          <w:lang w:val="pl-PL"/>
        </w:rPr>
        <w:t>wniesienie aportem opłat za użytkowanie wieczyste</w:t>
      </w:r>
      <w:r w:rsidR="00C24263" w:rsidRPr="00765C97">
        <w:rPr>
          <w:rFonts w:ascii="Arial" w:hAnsi="Arial"/>
          <w:sz w:val="20"/>
          <w:lang w:val="pl-PL"/>
        </w:rPr>
        <w:t>.</w:t>
      </w:r>
    </w:p>
    <w:p w:rsidR="00B24DA9" w:rsidRPr="00765C97" w:rsidRDefault="00B24DA9" w:rsidP="000C3C74">
      <w:pPr>
        <w:tabs>
          <w:tab w:val="left" w:pos="450"/>
        </w:tabs>
        <w:adjustRightInd w:val="0"/>
        <w:jc w:val="both"/>
        <w:rPr>
          <w:rFonts w:ascii="Arial" w:hAnsi="Arial"/>
          <w:sz w:val="20"/>
          <w:lang w:val="pl-PL"/>
        </w:rPr>
      </w:pPr>
    </w:p>
    <w:p w:rsidR="00CE4808" w:rsidRPr="00765C97" w:rsidRDefault="00CE4808" w:rsidP="00F85D62">
      <w:pPr>
        <w:tabs>
          <w:tab w:val="left" w:pos="450"/>
        </w:tabs>
        <w:adjustRightInd w:val="0"/>
        <w:jc w:val="both"/>
        <w:rPr>
          <w:rFonts w:ascii="Arial" w:hAnsi="Arial"/>
          <w:sz w:val="20"/>
          <w:lang w:val="pl-PL"/>
        </w:rPr>
      </w:pPr>
      <w:r w:rsidRPr="00765C97">
        <w:rPr>
          <w:rFonts w:ascii="Arial" w:hAnsi="Arial"/>
          <w:sz w:val="20"/>
          <w:lang w:val="pl-PL"/>
        </w:rPr>
        <w:t>Prawo wieczystego użytkowania gruntów dotyczących jednostki dominującej jest amortyzowane przez określon</w:t>
      </w:r>
      <w:r w:rsidR="00F36B22" w:rsidRPr="00765C97">
        <w:rPr>
          <w:rFonts w:ascii="Arial" w:hAnsi="Arial"/>
          <w:sz w:val="20"/>
          <w:lang w:val="pl-PL"/>
        </w:rPr>
        <w:t xml:space="preserve">y czas </w:t>
      </w:r>
      <w:r w:rsidRPr="00765C97">
        <w:rPr>
          <w:rFonts w:ascii="Arial" w:hAnsi="Arial"/>
          <w:sz w:val="20"/>
          <w:lang w:val="pl-PL"/>
        </w:rPr>
        <w:t>użytkowania (założony od momentu nabycia okres użytkowania wynosi od 84 do 99 lat). Średnia stawka amortyzacyjna wynosi 1,2%.</w:t>
      </w:r>
    </w:p>
    <w:p w:rsidR="00DF05E5" w:rsidRPr="00765C97" w:rsidRDefault="00DF05E5" w:rsidP="00F85D62">
      <w:pPr>
        <w:tabs>
          <w:tab w:val="left" w:pos="450"/>
        </w:tabs>
        <w:adjustRightInd w:val="0"/>
        <w:jc w:val="both"/>
        <w:rPr>
          <w:rFonts w:ascii="Arial" w:hAnsi="Arial"/>
          <w:sz w:val="20"/>
          <w:lang w:val="pl-PL"/>
        </w:rPr>
      </w:pPr>
    </w:p>
    <w:p w:rsidR="005E7FCB" w:rsidRPr="00765C97" w:rsidRDefault="005E7FCB" w:rsidP="00F85D62">
      <w:pPr>
        <w:jc w:val="both"/>
        <w:rPr>
          <w:lang w:val="pl-PL"/>
        </w:rPr>
      </w:pPr>
      <w:r w:rsidRPr="00765C97">
        <w:rPr>
          <w:rFonts w:ascii="Arial" w:hAnsi="Arial" w:cs="Arial"/>
          <w:sz w:val="20"/>
          <w:szCs w:val="20"/>
          <w:lang w:val="pl-PL"/>
        </w:rPr>
        <w:t>Wartości niematerialne nabyte w wyniku przejęcia Grupy Comarch SuB obejmują prawa majątkowe do oprogramowania: SoftM Semiramis, SoftM SharkNex, SoftM Suite ERP, SoftM Suite Financials, Schilling, DKS, Infostore. Powyższe wartości niematerialne i prawne zostały ujęte na dzień przejęcia w bilansie Grupy Comarch wg wartości godziwej.</w:t>
      </w:r>
      <w:r w:rsidRPr="00765C97">
        <w:rPr>
          <w:rFonts w:ascii="Arial" w:hAnsi="Arial" w:cs="Arial"/>
          <w:color w:val="000000"/>
          <w:sz w:val="20"/>
          <w:szCs w:val="20"/>
          <w:lang w:val="pl-PL"/>
        </w:rPr>
        <w:t xml:space="preserve"> </w:t>
      </w:r>
      <w:r w:rsidRPr="00765C97">
        <w:rPr>
          <w:rFonts w:ascii="Arial" w:hAnsi="Arial" w:cs="Arial"/>
          <w:sz w:val="20"/>
          <w:szCs w:val="20"/>
          <w:lang w:val="pl-PL"/>
        </w:rPr>
        <w:t xml:space="preserve">Grupa dokonuje odpisów amortyzacyjnych </w:t>
      </w:r>
      <w:r w:rsidRPr="00765C97">
        <w:rPr>
          <w:rFonts w:ascii="Arial" w:hAnsi="Arial" w:cs="Arial"/>
          <w:color w:val="000000"/>
          <w:sz w:val="20"/>
          <w:szCs w:val="20"/>
          <w:lang w:val="pl-PL"/>
        </w:rPr>
        <w:t>w</w:t>
      </w:r>
      <w:r w:rsidRPr="00765C97">
        <w:rPr>
          <w:rFonts w:ascii="Arial" w:hAnsi="Arial" w:cs="Arial"/>
          <w:sz w:val="20"/>
          <w:szCs w:val="20"/>
          <w:lang w:val="pl-PL"/>
        </w:rPr>
        <w:t>artości niematerialnych nabytych w wyniku przejęcia Grupy Comarch SuB metodą liniową, przyjęto okres amortyzacji równy przewidywanemu okresowi osiągania korzyści ekonomicznych ze sprzedaży oprogramowania, czyli 60 miesięcy</w:t>
      </w:r>
      <w:r w:rsidR="00F85D62">
        <w:rPr>
          <w:rFonts w:ascii="Arial" w:hAnsi="Arial" w:cs="Arial"/>
          <w:sz w:val="20"/>
          <w:szCs w:val="20"/>
          <w:lang w:val="pl-PL"/>
        </w:rPr>
        <w:t>.</w:t>
      </w:r>
      <w:r w:rsidRPr="00765C97">
        <w:rPr>
          <w:rStyle w:val="Odwoaniedokomentarza"/>
          <w:lang w:val="pl-PL"/>
        </w:rPr>
        <w:t> </w:t>
      </w:r>
    </w:p>
    <w:p w:rsidR="005E7FCB" w:rsidRPr="00765C97" w:rsidRDefault="005E7FCB" w:rsidP="00F85D62">
      <w:pPr>
        <w:jc w:val="both"/>
        <w:rPr>
          <w:rFonts w:ascii="Arial" w:hAnsi="Arial" w:cs="Arial"/>
          <w:sz w:val="20"/>
          <w:szCs w:val="20"/>
          <w:lang w:val="pl-PL"/>
        </w:rPr>
      </w:pPr>
    </w:p>
    <w:p w:rsidR="005E7FCB" w:rsidRPr="00765C97" w:rsidRDefault="005E7FCB" w:rsidP="00F85D62">
      <w:pPr>
        <w:jc w:val="both"/>
        <w:rPr>
          <w:rFonts w:ascii="Arial" w:hAnsi="Arial" w:cs="Arial"/>
          <w:sz w:val="20"/>
          <w:szCs w:val="20"/>
          <w:lang w:val="pl-PL"/>
        </w:rPr>
      </w:pPr>
      <w:r w:rsidRPr="00765C97">
        <w:rPr>
          <w:rFonts w:ascii="Arial" w:hAnsi="Arial" w:cs="Arial"/>
          <w:sz w:val="20"/>
          <w:szCs w:val="20"/>
          <w:lang w:val="pl-PL"/>
        </w:rPr>
        <w:t xml:space="preserve">Wartości niematerialne nabyte w wyniku przejęcia A-MEA Informatik AG obejmują wartość relacji z klientami spółki. Aktywo to zostało ujęte odrębnie od wartości firmy jako wartości niematerialne i prawne i zostało ujęte na dzień przejęcia w bilansie Grupy Comarch wg wartości godziwej. Grupa dokonuje odpisów amortyzacyjnych </w:t>
      </w:r>
      <w:r w:rsidRPr="00765C97">
        <w:rPr>
          <w:rFonts w:ascii="Arial" w:hAnsi="Arial" w:cs="Arial"/>
          <w:color w:val="000000"/>
          <w:sz w:val="20"/>
          <w:szCs w:val="20"/>
          <w:lang w:val="pl-PL"/>
        </w:rPr>
        <w:t>w</w:t>
      </w:r>
      <w:r w:rsidRPr="00765C97">
        <w:rPr>
          <w:rFonts w:ascii="Arial" w:hAnsi="Arial" w:cs="Arial"/>
          <w:sz w:val="20"/>
          <w:szCs w:val="20"/>
          <w:lang w:val="pl-PL"/>
        </w:rPr>
        <w:t>artości niematerialnych nabytych w wyniku przejęcia A-MEA Informatik AG metodą liniową, przyjęto okres amortyzacji równy przewidywanemu okresowi osiągania korzyści ekonomicznych z tytułu istniejących relacji z klientami, czyli 60 miesięcy.</w:t>
      </w:r>
    </w:p>
    <w:p w:rsidR="005E7FCB" w:rsidRPr="00765C97" w:rsidRDefault="005E7FCB" w:rsidP="00F85D62">
      <w:pPr>
        <w:jc w:val="both"/>
        <w:rPr>
          <w:rFonts w:ascii="Arial" w:hAnsi="Arial" w:cs="Arial"/>
          <w:sz w:val="20"/>
          <w:szCs w:val="20"/>
          <w:lang w:val="pl-PL"/>
        </w:rPr>
      </w:pPr>
    </w:p>
    <w:p w:rsidR="00B24DA9" w:rsidRPr="00765C97" w:rsidRDefault="005E7FCB" w:rsidP="00F85D62">
      <w:pPr>
        <w:tabs>
          <w:tab w:val="left" w:pos="450"/>
        </w:tabs>
        <w:adjustRightInd w:val="0"/>
        <w:jc w:val="both"/>
        <w:rPr>
          <w:rFonts w:ascii="Arial" w:hAnsi="Arial"/>
          <w:sz w:val="20"/>
          <w:lang w:val="pl-PL"/>
        </w:rPr>
      </w:pPr>
      <w:r w:rsidRPr="00765C97">
        <w:rPr>
          <w:rFonts w:ascii="Arial" w:hAnsi="Arial" w:cs="Arial"/>
          <w:sz w:val="20"/>
          <w:szCs w:val="20"/>
          <w:lang w:val="pl-PL"/>
        </w:rPr>
        <w:t xml:space="preserve">Wartości niematerialne nabyte w wyniku przejęcia ESAProjekt sp. z o.o. obejmują prawa majątkowe do oprogramowania Optimed, OptiNFZKom, BaKS, Carber, SDK, Repos . Aktywa te zostały ujęte odrębnie od wartości firmy jako wartości niematerialne i prawne i zostało ujęte na dzień przejęcia w bilansie Grupy Comarch wg wartości godziwej. Grupa dokonuje odpisów amortyzacyjnych </w:t>
      </w:r>
      <w:r w:rsidRPr="00765C97">
        <w:rPr>
          <w:rFonts w:ascii="Arial" w:hAnsi="Arial" w:cs="Arial"/>
          <w:color w:val="000000"/>
          <w:sz w:val="20"/>
          <w:szCs w:val="20"/>
          <w:lang w:val="pl-PL"/>
        </w:rPr>
        <w:t>w</w:t>
      </w:r>
      <w:r w:rsidRPr="00765C97">
        <w:rPr>
          <w:rFonts w:ascii="Arial" w:hAnsi="Arial" w:cs="Arial"/>
          <w:sz w:val="20"/>
          <w:szCs w:val="20"/>
          <w:lang w:val="pl-PL"/>
        </w:rPr>
        <w:t>artości niematerialnych nabytych w wyniku przejęcia ESAProjekt sp. o.o. metodą liniową, przyjęto okres amortyzacji równy przewidywanemu okresowi osiągania korzyści ekonomicznych ze sprzedaży oprogramowania, czyli 60 miesięcy.</w:t>
      </w:r>
    </w:p>
    <w:p w:rsidR="00B24DA9" w:rsidRPr="00765C97" w:rsidRDefault="00B24DA9" w:rsidP="000C3C74">
      <w:pPr>
        <w:numPr>
          <w:ilvl w:val="12"/>
          <w:numId w:val="0"/>
        </w:numPr>
        <w:tabs>
          <w:tab w:val="left" w:pos="450"/>
        </w:tabs>
        <w:adjustRightInd w:val="0"/>
        <w:jc w:val="both"/>
        <w:rPr>
          <w:rFonts w:ascii="Arial" w:hAnsi="Arial"/>
          <w:b/>
          <w:sz w:val="20"/>
          <w:lang w:val="pl-PL"/>
        </w:rPr>
      </w:pPr>
    </w:p>
    <w:p w:rsidR="00B24DA9" w:rsidRPr="00765C97" w:rsidRDefault="00B24DA9" w:rsidP="000C3C74">
      <w:pPr>
        <w:numPr>
          <w:ilvl w:val="12"/>
          <w:numId w:val="0"/>
        </w:numPr>
        <w:tabs>
          <w:tab w:val="left" w:pos="450"/>
        </w:tabs>
        <w:adjustRightInd w:val="0"/>
        <w:jc w:val="both"/>
        <w:rPr>
          <w:rFonts w:ascii="Arial" w:hAnsi="Arial"/>
          <w:b/>
          <w:sz w:val="20"/>
          <w:lang w:val="pl-PL"/>
        </w:rPr>
      </w:pPr>
      <w:r w:rsidRPr="00765C97">
        <w:rPr>
          <w:rFonts w:ascii="Arial" w:hAnsi="Arial"/>
          <w:b/>
          <w:sz w:val="20"/>
          <w:lang w:val="pl-PL"/>
        </w:rPr>
        <w:t>b) Wartość firmy</w:t>
      </w:r>
    </w:p>
    <w:p w:rsidR="00B24DA9" w:rsidRPr="00765C97" w:rsidRDefault="00B24DA9" w:rsidP="000C3C74">
      <w:pPr>
        <w:pStyle w:val="Style1"/>
        <w:tabs>
          <w:tab w:val="left" w:pos="0"/>
          <w:tab w:val="left" w:pos="1134"/>
        </w:tabs>
        <w:adjustRightInd/>
        <w:jc w:val="both"/>
        <w:rPr>
          <w:rFonts w:ascii="Arial" w:hAnsi="Arial"/>
          <w:spacing w:val="-1"/>
          <w:lang w:val="pl-PL"/>
        </w:rPr>
      </w:pPr>
    </w:p>
    <w:p w:rsidR="00B24DA9" w:rsidRPr="00765C97" w:rsidRDefault="00B24DA9" w:rsidP="000C3C74">
      <w:pPr>
        <w:pStyle w:val="Style1"/>
        <w:tabs>
          <w:tab w:val="left" w:pos="0"/>
          <w:tab w:val="left" w:pos="1134"/>
        </w:tabs>
        <w:adjustRightInd/>
        <w:jc w:val="both"/>
        <w:rPr>
          <w:rFonts w:ascii="Arial" w:hAnsi="Arial"/>
          <w:spacing w:val="-1"/>
          <w:lang w:val="pl-PL"/>
        </w:rPr>
      </w:pPr>
      <w:r w:rsidRPr="00765C97">
        <w:rPr>
          <w:rFonts w:ascii="Arial" w:hAnsi="Arial"/>
          <w:spacing w:val="-1"/>
          <w:lang w:val="pl-PL"/>
        </w:rPr>
        <w:t>Wartość firmy stanowi nadwyżkę kosztu przejęcia nad wartością godziwą udziału Grupy</w:t>
      </w:r>
      <w:r w:rsidRPr="00765C97">
        <w:rPr>
          <w:rFonts w:ascii="Arial" w:hAnsi="Arial"/>
          <w:lang w:val="pl-PL"/>
        </w:rPr>
        <w:t xml:space="preserve"> w możliwych</w:t>
      </w:r>
      <w:r w:rsidRPr="00765C97">
        <w:rPr>
          <w:rFonts w:ascii="Arial" w:hAnsi="Arial"/>
          <w:spacing w:val="-1"/>
          <w:lang w:val="pl-PL"/>
        </w:rPr>
        <w:t xml:space="preserve"> </w:t>
      </w:r>
      <w:r w:rsidRPr="00765C97">
        <w:rPr>
          <w:rFonts w:ascii="Arial" w:hAnsi="Arial"/>
          <w:lang w:val="pl-PL"/>
        </w:rPr>
        <w:t xml:space="preserve">do zidentyfikowania aktywach netto (obejmujących możliwe do zidentyfikowania aktywa nabyte oraz zobowiązania i zobowiązania warunkowe przejęte w ramach połączenia) przejętej jednostki zależnej/stowarzyszonej na dzień przejęcia. Wartość firmy z przejęcia jednostek zależnych ujmuje się w ramach wartości niematerialnych. Wartość firmy z przejęcia jednostek stowarzyszonych ujmuje się w ramach inwestycji w jednostkach stowarzyszonych. Wartość firmy jest testowana corocznie </w:t>
      </w:r>
      <w:r w:rsidR="004778A8" w:rsidRPr="00765C97">
        <w:rPr>
          <w:rFonts w:ascii="Arial" w:hAnsi="Arial"/>
          <w:lang w:val="pl-PL"/>
        </w:rPr>
        <w:t xml:space="preserve">na dzień bilansowy kończący rok obrotowy </w:t>
      </w:r>
      <w:r w:rsidRPr="00765C97">
        <w:rPr>
          <w:rFonts w:ascii="Arial" w:hAnsi="Arial"/>
          <w:lang w:val="pl-PL"/>
        </w:rPr>
        <w:t>pod kątem utraty wartości i wykazywana w bilansie</w:t>
      </w:r>
      <w:r w:rsidRPr="00765C97">
        <w:rPr>
          <w:rFonts w:ascii="Arial" w:hAnsi="Arial"/>
          <w:spacing w:val="-2"/>
          <w:lang w:val="pl-PL"/>
        </w:rPr>
        <w:t xml:space="preserve"> według kosztu pomniejszonego o skumulowane odpisy z tytułu ewentualnej utraty wartości. Zyski i straty ze zbycia jednostki uwzględniają </w:t>
      </w:r>
      <w:r w:rsidRPr="00765C97">
        <w:rPr>
          <w:rFonts w:ascii="Arial" w:hAnsi="Arial"/>
          <w:lang w:val="pl-PL"/>
        </w:rPr>
        <w:t>wartość bilansową wartości firmy dotyczącą sprzedanej jednostki.</w:t>
      </w:r>
    </w:p>
    <w:p w:rsidR="00DF05E5" w:rsidRPr="00765C97" w:rsidRDefault="00DF05E5" w:rsidP="000C3C74">
      <w:pPr>
        <w:tabs>
          <w:tab w:val="left" w:pos="0"/>
          <w:tab w:val="left" w:pos="1134"/>
        </w:tabs>
        <w:ind w:right="23"/>
        <w:jc w:val="both"/>
        <w:rPr>
          <w:rFonts w:ascii="Arial" w:hAnsi="Arial"/>
          <w:spacing w:val="-6"/>
          <w:sz w:val="20"/>
          <w:lang w:val="pl-PL"/>
        </w:rPr>
      </w:pPr>
    </w:p>
    <w:p w:rsidR="00B24DA9" w:rsidRPr="00765C97" w:rsidRDefault="00B24DA9" w:rsidP="000C3C74">
      <w:pPr>
        <w:tabs>
          <w:tab w:val="left" w:pos="0"/>
          <w:tab w:val="left" w:pos="1134"/>
        </w:tabs>
        <w:ind w:right="23"/>
        <w:jc w:val="both"/>
        <w:rPr>
          <w:rFonts w:ascii="Arial" w:hAnsi="Arial"/>
          <w:sz w:val="20"/>
          <w:lang w:val="pl-PL"/>
        </w:rPr>
      </w:pPr>
      <w:r w:rsidRPr="00765C97">
        <w:rPr>
          <w:rFonts w:ascii="Arial" w:hAnsi="Arial"/>
          <w:spacing w:val="-6"/>
          <w:sz w:val="20"/>
          <w:lang w:val="pl-PL"/>
        </w:rPr>
        <w:t xml:space="preserve">W celu przeprowadzenia testu pod kątem możliwej utraty wartości </w:t>
      </w:r>
      <w:r w:rsidRPr="00765C97">
        <w:rPr>
          <w:rFonts w:ascii="Arial" w:hAnsi="Arial"/>
          <w:sz w:val="20"/>
          <w:lang w:val="pl-PL"/>
        </w:rPr>
        <w:t>wartość firmy alokowana jest do ośrodków wypracowujących środki pieniężne.</w:t>
      </w:r>
    </w:p>
    <w:p w:rsidR="00B24DA9" w:rsidRPr="00765C97" w:rsidRDefault="00B24DA9" w:rsidP="000C3C74">
      <w:pPr>
        <w:numPr>
          <w:ilvl w:val="12"/>
          <w:numId w:val="0"/>
        </w:numPr>
        <w:tabs>
          <w:tab w:val="left" w:pos="450"/>
        </w:tabs>
        <w:adjustRightInd w:val="0"/>
        <w:ind w:firstLine="20"/>
        <w:jc w:val="both"/>
        <w:rPr>
          <w:rFonts w:ascii="Arial" w:hAnsi="Arial"/>
          <w:sz w:val="20"/>
          <w:lang w:val="pl-PL"/>
        </w:rPr>
      </w:pPr>
    </w:p>
    <w:p w:rsidR="00B24DA9" w:rsidRPr="00765C97" w:rsidRDefault="00B24DA9" w:rsidP="000C3C74">
      <w:pPr>
        <w:adjustRightInd w:val="0"/>
        <w:rPr>
          <w:rFonts w:ascii="Arial" w:hAnsi="Arial"/>
          <w:b/>
          <w:sz w:val="20"/>
          <w:lang w:val="pl-PL"/>
        </w:rPr>
      </w:pPr>
      <w:r w:rsidRPr="00765C97">
        <w:rPr>
          <w:rFonts w:ascii="Arial" w:hAnsi="Arial"/>
          <w:b/>
          <w:sz w:val="20"/>
          <w:lang w:val="pl-PL"/>
        </w:rPr>
        <w:t>c) Rzeczowe aktywa trwałe</w:t>
      </w:r>
    </w:p>
    <w:p w:rsidR="00B24DA9" w:rsidRPr="00765C97" w:rsidRDefault="00B24DA9" w:rsidP="000C3C74">
      <w:pPr>
        <w:adjustRightInd w:val="0"/>
        <w:rPr>
          <w:rFonts w:ascii="Arial" w:hAnsi="Arial"/>
          <w:sz w:val="20"/>
          <w:lang w:val="pl-PL"/>
        </w:rPr>
      </w:pPr>
    </w:p>
    <w:p w:rsidR="00B24DA9" w:rsidRPr="00765C97" w:rsidRDefault="00B24DA9" w:rsidP="000C3C74">
      <w:pPr>
        <w:adjustRightInd w:val="0"/>
        <w:rPr>
          <w:rFonts w:ascii="Arial" w:hAnsi="Arial"/>
          <w:sz w:val="20"/>
          <w:lang w:val="pl-PL"/>
        </w:rPr>
      </w:pPr>
      <w:r w:rsidRPr="00765C97">
        <w:rPr>
          <w:rFonts w:ascii="Arial" w:hAnsi="Arial"/>
          <w:b/>
          <w:sz w:val="20"/>
          <w:lang w:val="pl-PL"/>
        </w:rPr>
        <w:t>Środki trwałe</w:t>
      </w: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 xml:space="preserve">Wycenione zostały według cen nabycia lub kosztów wytworzenia pomniejszone o dotychczasowe umorzenie i ewentualne odpisy z tytułu utraty wartości. Przyjęte stawki amortyzacyjne odpowiadają ekonomicznej użyteczności środków trwałych. </w:t>
      </w: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Szczegółowe zasady amortyzowania środków trwałych przyjętych przez Spółkę są następujące:</w:t>
      </w:r>
      <w:r w:rsidR="00DF05E5" w:rsidRPr="00765C97">
        <w:rPr>
          <w:rFonts w:ascii="Arial" w:hAnsi="Arial"/>
          <w:sz w:val="20"/>
          <w:lang w:val="pl-PL"/>
        </w:rPr>
        <w:t xml:space="preserve"> ś</w:t>
      </w:r>
      <w:r w:rsidRPr="00765C97">
        <w:rPr>
          <w:rFonts w:ascii="Arial" w:hAnsi="Arial"/>
          <w:sz w:val="20"/>
          <w:lang w:val="pl-PL"/>
        </w:rPr>
        <w:t xml:space="preserve">rodki amortyzowane są metodą liniową przy zastosowaniu stawek amortyzacyjnych odpowiadających oszacowanym okresom użytkowania. W szczególności stawki amortyzacyjne wynoszą: </w:t>
      </w:r>
      <w:r w:rsidR="004778A8" w:rsidRPr="00765C97">
        <w:rPr>
          <w:rFonts w:ascii="Arial" w:hAnsi="Arial"/>
          <w:sz w:val="20"/>
          <w:lang w:val="pl-PL"/>
        </w:rPr>
        <w:t>2,5% (budynki i budowle), 30% (maszyny i urządzenia) i 20% (meble, wyposażenie, pozostałe środki).</w:t>
      </w:r>
      <w:r w:rsidRPr="00765C97">
        <w:rPr>
          <w:rFonts w:ascii="Arial" w:hAnsi="Arial"/>
          <w:sz w:val="20"/>
          <w:lang w:val="pl-PL"/>
        </w:rPr>
        <w:t xml:space="preserve"> W przypadku środków trwałych nabytych w celu wykorzystania w konkretnym projekcie okres amortyzacji ustala się jako okres trwania projektu.</w:t>
      </w:r>
    </w:p>
    <w:p w:rsidR="00B24DA9" w:rsidRPr="00765C97" w:rsidRDefault="00B24DA9" w:rsidP="000C3C74">
      <w:pPr>
        <w:adjustRightInd w:val="0"/>
        <w:rPr>
          <w:rFonts w:ascii="Arial" w:hAnsi="Arial"/>
          <w:sz w:val="20"/>
          <w:lang w:val="pl-PL"/>
        </w:rPr>
      </w:pPr>
    </w:p>
    <w:p w:rsidR="00B24DA9" w:rsidRPr="00765C97" w:rsidRDefault="00B24DA9" w:rsidP="000C3C74">
      <w:pPr>
        <w:adjustRightInd w:val="0"/>
        <w:rPr>
          <w:rFonts w:ascii="Arial" w:hAnsi="Arial"/>
          <w:sz w:val="20"/>
          <w:lang w:val="pl-PL"/>
        </w:rPr>
      </w:pPr>
      <w:r w:rsidRPr="00765C97">
        <w:rPr>
          <w:rFonts w:ascii="Arial" w:hAnsi="Arial"/>
          <w:b/>
          <w:sz w:val="20"/>
          <w:lang w:val="pl-PL"/>
        </w:rPr>
        <w:t>Środki trwałe w budowie</w:t>
      </w:r>
      <w:r w:rsidRPr="00765C97">
        <w:rPr>
          <w:rFonts w:ascii="Arial" w:hAnsi="Arial"/>
          <w:sz w:val="20"/>
          <w:lang w:val="pl-PL"/>
        </w:rPr>
        <w:t xml:space="preserve"> </w:t>
      </w: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 xml:space="preserve">Środki trwałe w budowie wycenione są według ceny nabycia pomniejszone o ewentualne odpisy z tytułu utraty </w:t>
      </w:r>
      <w:r w:rsidR="004778A8" w:rsidRPr="00765C97">
        <w:rPr>
          <w:rFonts w:ascii="Arial" w:hAnsi="Arial"/>
          <w:sz w:val="20"/>
          <w:lang w:val="pl-PL"/>
        </w:rPr>
        <w:t>wartości.  Odsetki od kredytu inwestycyjnego w okresie realizacji inwestycji aktywowane są w pozycji środki trwałe w budowie. Odsetki od kredytu inwestycyjnego po przyjęciu środka trwałego sfinansowanego kredytem obciążają wynik roku w pozycji koszty finansowe.</w:t>
      </w:r>
    </w:p>
    <w:p w:rsidR="00B24DA9" w:rsidRPr="00765C97" w:rsidRDefault="00B24DA9" w:rsidP="000C3C74">
      <w:pPr>
        <w:adjustRightInd w:val="0"/>
        <w:rPr>
          <w:rFonts w:ascii="Arial" w:hAnsi="Arial"/>
          <w:sz w:val="20"/>
          <w:lang w:val="pl-PL"/>
        </w:rPr>
      </w:pPr>
    </w:p>
    <w:p w:rsidR="00675794" w:rsidRPr="00765C97" w:rsidRDefault="00675794" w:rsidP="000C3C74">
      <w:pPr>
        <w:adjustRightInd w:val="0"/>
        <w:rPr>
          <w:rFonts w:ascii="Arial" w:hAnsi="Arial"/>
          <w:b/>
          <w:sz w:val="20"/>
          <w:lang w:val="pl-PL"/>
        </w:rPr>
      </w:pPr>
      <w:r w:rsidRPr="00765C97">
        <w:rPr>
          <w:rFonts w:ascii="Arial" w:hAnsi="Arial"/>
          <w:b/>
          <w:sz w:val="20"/>
          <w:lang w:val="pl-PL"/>
        </w:rPr>
        <w:t>Ulepszenia w obcych środkach trwałych</w:t>
      </w: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 xml:space="preserve">Ulepszenia w obcych środkach trwałych wycenione są według ceny nabycia pomniejszone o dotychczasowe umorzenie i ewentualne odpisy z tytułu utraty wartości.  </w:t>
      </w:r>
    </w:p>
    <w:p w:rsidR="00B24DA9" w:rsidRPr="00765C97" w:rsidRDefault="00B24DA9" w:rsidP="000C3C74">
      <w:pPr>
        <w:tabs>
          <w:tab w:val="left" w:pos="0"/>
        </w:tabs>
        <w:rPr>
          <w:rFonts w:ascii="Arial" w:hAnsi="Arial"/>
          <w:spacing w:val="-1"/>
          <w:sz w:val="20"/>
          <w:lang w:val="pl-PL"/>
        </w:rPr>
      </w:pPr>
    </w:p>
    <w:p w:rsidR="00B24DA9" w:rsidRPr="00765C97" w:rsidRDefault="00B24DA9" w:rsidP="000C3C74">
      <w:pPr>
        <w:tabs>
          <w:tab w:val="left" w:pos="0"/>
        </w:tabs>
        <w:rPr>
          <w:rFonts w:ascii="Arial" w:hAnsi="Arial"/>
          <w:b/>
          <w:spacing w:val="-1"/>
          <w:sz w:val="20"/>
          <w:lang w:val="pl-PL"/>
        </w:rPr>
      </w:pPr>
      <w:r w:rsidRPr="00765C97">
        <w:rPr>
          <w:rFonts w:ascii="Arial" w:hAnsi="Arial"/>
          <w:b/>
          <w:spacing w:val="-1"/>
          <w:sz w:val="20"/>
          <w:lang w:val="pl-PL"/>
        </w:rPr>
        <w:t>d) Leasing</w:t>
      </w:r>
    </w:p>
    <w:p w:rsidR="00B24DA9" w:rsidRPr="00765C97" w:rsidRDefault="00B24DA9" w:rsidP="000C3C74">
      <w:pPr>
        <w:tabs>
          <w:tab w:val="left" w:pos="0"/>
        </w:tabs>
        <w:rPr>
          <w:rFonts w:ascii="Arial" w:hAnsi="Arial"/>
          <w:spacing w:val="-1"/>
          <w:sz w:val="20"/>
          <w:lang w:val="pl-PL"/>
        </w:rPr>
      </w:pPr>
    </w:p>
    <w:p w:rsidR="00675794" w:rsidRPr="00765C97" w:rsidRDefault="00B24DA9" w:rsidP="000C3C74">
      <w:pPr>
        <w:tabs>
          <w:tab w:val="left" w:pos="0"/>
        </w:tabs>
        <w:jc w:val="both"/>
        <w:rPr>
          <w:rFonts w:ascii="Arial" w:hAnsi="Arial"/>
          <w:spacing w:val="-1"/>
          <w:sz w:val="20"/>
          <w:lang w:val="pl-PL"/>
        </w:rPr>
      </w:pPr>
      <w:r w:rsidRPr="00765C97">
        <w:rPr>
          <w:rFonts w:ascii="Arial" w:hAnsi="Arial"/>
          <w:spacing w:val="-1"/>
          <w:sz w:val="20"/>
          <w:lang w:val="pl-PL"/>
        </w:rPr>
        <w:t xml:space="preserve">Grupa użytkuje na zasadach leasingu samochody oraz sprzęt komputerowy. Ponieważ na mocy zawartych umów nastąpiło zasadniczo przeniesienie całego ryzyka i pożytków wynikających z tytułu posiadania przedmiotu leasingu, ujęte są one w księgach na zasadach leasingu finansowego. Wprowadzone zostały do ksiąg jako aktywa i zobowiązania w kwotach równych wartości minimalnych opłat leasingowych ustalonych na dzień rozpoczęcia leasingu. Opłaty leasingowe rozdziela się pomiędzy koszty finansowe i zmniejszenia niespłaconego salda zobowiązań. Część odsetkowa kosztów finansowych obciąża rachunek wyników przez okres trwania leasingu w taki sposób, aby uzyskać stałą stopę procentową w stosunku do niespłaconego salda. Środki użytkowane na zasadach leasingu podlegają amortyzacji przez krótszy z okresów: okres umowy lub </w:t>
      </w:r>
      <w:r w:rsidR="00675794" w:rsidRPr="00765C97">
        <w:rPr>
          <w:rFonts w:ascii="Arial" w:hAnsi="Arial"/>
          <w:spacing w:val="-1"/>
          <w:sz w:val="20"/>
          <w:lang w:val="pl-PL"/>
        </w:rPr>
        <w:t>użytkowania.</w:t>
      </w:r>
    </w:p>
    <w:p w:rsidR="00B24DA9" w:rsidRPr="00765C97" w:rsidRDefault="00B24DA9" w:rsidP="000C3C74">
      <w:pPr>
        <w:tabs>
          <w:tab w:val="left" w:pos="0"/>
        </w:tabs>
        <w:rPr>
          <w:rFonts w:ascii="Arial" w:hAnsi="Arial"/>
          <w:spacing w:val="-1"/>
          <w:sz w:val="20"/>
          <w:lang w:val="pl-PL"/>
        </w:rPr>
      </w:pPr>
    </w:p>
    <w:p w:rsidR="00B24DA9" w:rsidRPr="00765C97" w:rsidRDefault="00B24DA9" w:rsidP="000C3C74">
      <w:pPr>
        <w:tabs>
          <w:tab w:val="left" w:pos="0"/>
        </w:tabs>
        <w:rPr>
          <w:rFonts w:ascii="Arial" w:hAnsi="Arial"/>
          <w:b/>
          <w:spacing w:val="-1"/>
          <w:sz w:val="20"/>
          <w:lang w:val="pl-PL"/>
        </w:rPr>
      </w:pPr>
      <w:r w:rsidRPr="00765C97">
        <w:rPr>
          <w:rFonts w:ascii="Arial" w:hAnsi="Arial"/>
          <w:b/>
          <w:spacing w:val="-1"/>
          <w:sz w:val="20"/>
          <w:lang w:val="pl-PL"/>
        </w:rPr>
        <w:t>e) Długoterminowe rozliczenia międzyokresowe</w:t>
      </w:r>
    </w:p>
    <w:p w:rsidR="00B24DA9" w:rsidRPr="00765C97" w:rsidRDefault="00B24DA9" w:rsidP="000C3C74">
      <w:pPr>
        <w:tabs>
          <w:tab w:val="left" w:pos="0"/>
        </w:tabs>
        <w:rPr>
          <w:rFonts w:ascii="Arial" w:hAnsi="Arial"/>
          <w:b/>
          <w:spacing w:val="-1"/>
          <w:sz w:val="20"/>
          <w:lang w:val="pl-PL"/>
        </w:rPr>
      </w:pPr>
    </w:p>
    <w:p w:rsidR="00675794" w:rsidRPr="00765C97" w:rsidRDefault="00CE4808" w:rsidP="000C3C74">
      <w:pPr>
        <w:tabs>
          <w:tab w:val="left" w:pos="0"/>
        </w:tabs>
        <w:jc w:val="both"/>
        <w:rPr>
          <w:rFonts w:ascii="Arial" w:hAnsi="Arial"/>
          <w:spacing w:val="-1"/>
          <w:sz w:val="20"/>
          <w:lang w:val="pl-PL"/>
        </w:rPr>
      </w:pPr>
      <w:r w:rsidRPr="00765C97">
        <w:rPr>
          <w:rFonts w:ascii="Arial" w:hAnsi="Arial"/>
          <w:spacing w:val="-1"/>
          <w:sz w:val="20"/>
          <w:lang w:val="pl-PL"/>
        </w:rPr>
        <w:t xml:space="preserve">Dotyczą długoterminowej części czynnych rozliczeń </w:t>
      </w:r>
      <w:r w:rsidR="00675794" w:rsidRPr="00765C97">
        <w:rPr>
          <w:rFonts w:ascii="Arial" w:hAnsi="Arial"/>
          <w:spacing w:val="-1"/>
          <w:sz w:val="20"/>
          <w:lang w:val="pl-PL"/>
        </w:rPr>
        <w:t>międzyokresowych kosztów.</w:t>
      </w:r>
    </w:p>
    <w:p w:rsidR="00B24DA9" w:rsidRPr="00765C97" w:rsidRDefault="00B24DA9" w:rsidP="000C3C74">
      <w:pPr>
        <w:adjustRightInd w:val="0"/>
        <w:rPr>
          <w:rFonts w:ascii="Arial" w:hAnsi="Arial"/>
          <w:b/>
          <w:spacing w:val="2"/>
          <w:sz w:val="20"/>
          <w:lang w:val="pl-PL"/>
        </w:rPr>
      </w:pPr>
    </w:p>
    <w:p w:rsidR="00B24DA9" w:rsidRPr="00765C97" w:rsidRDefault="00B24DA9" w:rsidP="000C3C74">
      <w:pPr>
        <w:adjustRightInd w:val="0"/>
        <w:rPr>
          <w:rFonts w:ascii="Arial" w:hAnsi="Arial"/>
          <w:b/>
          <w:spacing w:val="2"/>
          <w:sz w:val="20"/>
          <w:lang w:val="pl-PL"/>
        </w:rPr>
      </w:pPr>
      <w:r w:rsidRPr="00765C97">
        <w:rPr>
          <w:rFonts w:ascii="Arial" w:hAnsi="Arial"/>
          <w:b/>
          <w:spacing w:val="2"/>
          <w:sz w:val="20"/>
          <w:lang w:val="pl-PL"/>
        </w:rPr>
        <w:t>f) Utrata wartości aktywów</w:t>
      </w:r>
    </w:p>
    <w:p w:rsidR="00B24DA9" w:rsidRPr="00765C97" w:rsidRDefault="00B24DA9" w:rsidP="000C3C74">
      <w:pPr>
        <w:pStyle w:val="Style1"/>
        <w:tabs>
          <w:tab w:val="left" w:pos="0"/>
          <w:tab w:val="left" w:pos="1134"/>
        </w:tabs>
        <w:adjustRightInd/>
        <w:jc w:val="both"/>
        <w:rPr>
          <w:rFonts w:ascii="Arial" w:hAnsi="Arial"/>
          <w:lang w:val="pl-PL"/>
        </w:rPr>
      </w:pPr>
    </w:p>
    <w:p w:rsidR="00B24DA9" w:rsidRPr="00765C97" w:rsidRDefault="00B24DA9" w:rsidP="000C3C74">
      <w:pPr>
        <w:pStyle w:val="Style1"/>
        <w:tabs>
          <w:tab w:val="left" w:pos="0"/>
          <w:tab w:val="left" w:pos="1134"/>
        </w:tabs>
        <w:adjustRightInd/>
        <w:jc w:val="both"/>
        <w:rPr>
          <w:rFonts w:ascii="Arial" w:hAnsi="Arial"/>
          <w:lang w:val="pl-PL"/>
        </w:rPr>
      </w:pPr>
      <w:r w:rsidRPr="00765C97">
        <w:rPr>
          <w:rFonts w:ascii="Arial" w:hAnsi="Arial"/>
          <w:lang w:val="pl-PL"/>
        </w:rPr>
        <w:t xml:space="preserve">Aktywa o nieokreślonym okresie użytkowania nie podlegają amortyzacji, lecz corocznie są testowane pod </w:t>
      </w:r>
      <w:r w:rsidRPr="00765C97">
        <w:rPr>
          <w:rFonts w:ascii="Arial" w:hAnsi="Arial"/>
          <w:spacing w:val="-6"/>
          <w:lang w:val="pl-PL"/>
        </w:rPr>
        <w:t xml:space="preserve">kątem możliwej </w:t>
      </w:r>
      <w:r w:rsidRPr="00765C97">
        <w:rPr>
          <w:rFonts w:ascii="Arial" w:hAnsi="Arial"/>
          <w:spacing w:val="-1"/>
          <w:lang w:val="pl-PL"/>
        </w:rPr>
        <w:t>utraty wartości. Aktywa podlegające amortyzacji analizuje się pod kątem utraty wartości, ilekroć jakieś zdarzenia lub zmiany okoliczności wskazują na możliwość niezrealizowania ich wartości bilansowej.</w:t>
      </w:r>
      <w:r w:rsidRPr="00765C97">
        <w:rPr>
          <w:rFonts w:ascii="Arial" w:hAnsi="Arial"/>
          <w:lang w:val="pl-PL"/>
        </w:rPr>
        <w:t xml:space="preserve"> Stratę z tytułu utraty wartości ujmuje się w wysokości kwoty, o jaką wartość bilansowa danego składnika aktywów przewyższa jego wartość odzyskiwalną.</w:t>
      </w:r>
      <w:r w:rsidRPr="00765C97">
        <w:rPr>
          <w:rFonts w:ascii="Arial" w:hAnsi="Arial"/>
          <w:spacing w:val="-1"/>
          <w:lang w:val="pl-PL"/>
        </w:rPr>
        <w:t xml:space="preserve"> Wartość odzyskiwalna to wyższa z dwóch kwot: wartości godziwej pomniejszonej o koszty doprowadzenia do sprzedaży i wartości użytkowej.</w:t>
      </w:r>
      <w:r w:rsidRPr="00765C97">
        <w:rPr>
          <w:rFonts w:ascii="Arial" w:hAnsi="Arial"/>
          <w:spacing w:val="-2"/>
          <w:lang w:val="pl-PL"/>
        </w:rPr>
        <w:t xml:space="preserve"> Dla potrzeb analizy pod kątem utraty wartości, aktywa grupuje się na najniższym poziomie, w odniesieniu do którego występują dające się zidentyfikować odrębnie przepływy pieniężne (ośrodki wypracowujące środki pieniężne).</w:t>
      </w:r>
    </w:p>
    <w:p w:rsidR="00B24DA9" w:rsidRPr="00765C97" w:rsidRDefault="00B24DA9" w:rsidP="00135A9A">
      <w:pPr>
        <w:pStyle w:val="Nagwek4"/>
        <w:numPr>
          <w:ilvl w:val="2"/>
          <w:numId w:val="14"/>
        </w:numPr>
        <w:spacing w:before="240" w:after="60"/>
        <w:ind w:left="1276" w:hanging="851"/>
        <w:rPr>
          <w:rFonts w:ascii="Arial" w:hAnsi="Arial"/>
          <w:sz w:val="20"/>
          <w:lang w:val="pl-PL"/>
        </w:rPr>
      </w:pPr>
      <w:r w:rsidRPr="00765C97">
        <w:rPr>
          <w:rFonts w:ascii="Arial" w:hAnsi="Arial"/>
          <w:sz w:val="20"/>
          <w:lang w:val="pl-PL"/>
        </w:rPr>
        <w:t>Aktywa obrotowe</w:t>
      </w:r>
    </w:p>
    <w:p w:rsidR="00B24DA9" w:rsidRPr="00765C97" w:rsidRDefault="00B24DA9" w:rsidP="000C3C74">
      <w:pPr>
        <w:adjustRightInd w:val="0"/>
        <w:rPr>
          <w:rFonts w:ascii="Arial" w:hAnsi="Arial"/>
          <w:b/>
          <w:sz w:val="20"/>
          <w:lang w:val="pl-PL"/>
        </w:rPr>
      </w:pPr>
      <w:r w:rsidRPr="00765C97">
        <w:rPr>
          <w:rFonts w:ascii="Arial" w:hAnsi="Arial"/>
          <w:b/>
          <w:sz w:val="20"/>
          <w:lang w:val="pl-PL"/>
        </w:rPr>
        <w:t>a) Zapasy</w:t>
      </w:r>
      <w:r w:rsidR="00675794" w:rsidRPr="00765C97">
        <w:rPr>
          <w:rFonts w:ascii="Arial" w:hAnsi="Arial"/>
          <w:b/>
          <w:sz w:val="20"/>
          <w:lang w:val="pl-PL"/>
        </w:rPr>
        <w:t xml:space="preserve"> (</w:t>
      </w:r>
      <w:r w:rsidRPr="00765C97">
        <w:rPr>
          <w:rFonts w:ascii="Arial" w:hAnsi="Arial"/>
          <w:b/>
          <w:sz w:val="20"/>
          <w:lang w:val="pl-PL"/>
        </w:rPr>
        <w:t xml:space="preserve">produkty w toku oraz </w:t>
      </w:r>
      <w:r w:rsidR="00864542" w:rsidRPr="00765C97">
        <w:rPr>
          <w:rFonts w:ascii="Arial" w:hAnsi="Arial"/>
          <w:b/>
          <w:sz w:val="20"/>
          <w:lang w:val="pl-PL"/>
        </w:rPr>
        <w:t xml:space="preserve">materiały i </w:t>
      </w:r>
      <w:r w:rsidRPr="00765C97">
        <w:rPr>
          <w:rFonts w:ascii="Arial" w:hAnsi="Arial"/>
          <w:b/>
          <w:sz w:val="20"/>
          <w:lang w:val="pl-PL"/>
        </w:rPr>
        <w:t>towary</w:t>
      </w:r>
      <w:r w:rsidR="00675794" w:rsidRPr="00765C97">
        <w:rPr>
          <w:rFonts w:ascii="Arial" w:hAnsi="Arial"/>
          <w:b/>
          <w:sz w:val="20"/>
          <w:lang w:val="pl-PL"/>
        </w:rPr>
        <w:t>)</w:t>
      </w:r>
      <w:r w:rsidRPr="00765C97">
        <w:rPr>
          <w:rFonts w:ascii="Arial" w:hAnsi="Arial"/>
          <w:b/>
          <w:sz w:val="20"/>
          <w:lang w:val="pl-PL"/>
        </w:rPr>
        <w:t xml:space="preserve"> </w:t>
      </w:r>
    </w:p>
    <w:p w:rsidR="00B24DA9" w:rsidRPr="00765C97" w:rsidRDefault="00B24DA9"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Wykazywana w sprawozdaniu produkcja w toku dotyczy wytwarzanego przez Grupę i przeznaczonego do wielokrotnej sprzedaży oprogramowania. Produkcja w toku jest wyceniana według technicznych bezpośrednich kosztów wytworzenia.</w:t>
      </w: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Wytworzone przez Grupę i przeznaczone do wielokrotnej sprzedaży oprogramowanie użytkowe wyceniane jest w okresie przynoszenia przez nie korzyści ekonomicznych, nie dłuższym niż 36 miesięcy, jakie następują od rozpoczęcia sprzedaży, w wysokości nadwyżki kosztów ich wytworzenia nad przychodami netto uzyskanymi ze sprzedaży tych produktów w ciągu kolejnych 36 miesięcy. Nie odpisane po tym okresie koszty wytworzenia zwiększają pozostałe koszty operacyjne.</w:t>
      </w:r>
    </w:p>
    <w:p w:rsidR="00D13ADA" w:rsidRPr="00765C97" w:rsidRDefault="00D13ADA"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W zależności od charakteru wytworzonego oprogramowania i oceny możliwości jego sprzedaży stosuje się zasadę odpisywania w koszt własny poniesionych na jego wytworzenie nakładów w wysokości od 50% do 100% zafakturowanej w powyższym okresie sprzedaży. Jeżeli Spółka posiada wcześniej informacje o ograniczeniu możliwości dalszej sprzedaży, niezwłocznie dokonuje odpisu aktualizującego wartość produkcji w toku w wysokości nakładów, w stosunku, do których występuje prawdopodobieństwo nie odzyskania, bądź też dokonuje jednorazowo odpisania całości nierozliczonych nakładów (w zależności od stopnia oceny ryzyka) w ciężar kosztu własnego sprzedaży.</w:t>
      </w:r>
    </w:p>
    <w:p w:rsidR="00B24DA9" w:rsidRPr="00765C97" w:rsidRDefault="00B24DA9" w:rsidP="000C3C74">
      <w:pPr>
        <w:adjustRightInd w:val="0"/>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 xml:space="preserve">Ewidencja materiałów i towarów prowadzona jest według rzeczywistych cen </w:t>
      </w:r>
      <w:r w:rsidR="00675794" w:rsidRPr="00765C97">
        <w:rPr>
          <w:rFonts w:ascii="Arial" w:hAnsi="Arial"/>
          <w:sz w:val="20"/>
          <w:lang w:val="pl-PL"/>
        </w:rPr>
        <w:t>nabycia</w:t>
      </w:r>
      <w:r w:rsidRPr="00765C97">
        <w:rPr>
          <w:rFonts w:ascii="Arial" w:hAnsi="Arial"/>
          <w:sz w:val="20"/>
          <w:lang w:val="pl-PL"/>
        </w:rPr>
        <w:t xml:space="preserve">. Rozchody wyceniane są według zasady pierwsze przyszło, pierwsze wyszło (FIFO). Materiały i towary wycenione są według rzeczywistych cen </w:t>
      </w:r>
      <w:r w:rsidR="00675794" w:rsidRPr="00765C97">
        <w:rPr>
          <w:rFonts w:ascii="Arial" w:hAnsi="Arial"/>
          <w:sz w:val="20"/>
          <w:lang w:val="pl-PL"/>
        </w:rPr>
        <w:t>nabycia</w:t>
      </w:r>
      <w:r w:rsidRPr="00765C97">
        <w:rPr>
          <w:rFonts w:ascii="Arial" w:hAnsi="Arial"/>
          <w:sz w:val="20"/>
          <w:lang w:val="pl-PL"/>
        </w:rPr>
        <w:t xml:space="preserve"> nie wyższych od cen sprzedaży netto. </w:t>
      </w:r>
    </w:p>
    <w:p w:rsidR="00B24DA9" w:rsidRPr="00765C97" w:rsidRDefault="00B24DA9" w:rsidP="000C3C74">
      <w:pPr>
        <w:adjustRightInd w:val="0"/>
        <w:rPr>
          <w:rFonts w:ascii="Arial" w:hAnsi="Arial"/>
          <w:sz w:val="20"/>
          <w:lang w:val="pl-PL"/>
        </w:rPr>
      </w:pPr>
      <w:r w:rsidRPr="00765C97">
        <w:rPr>
          <w:rFonts w:ascii="Arial" w:hAnsi="Arial"/>
          <w:sz w:val="20"/>
          <w:lang w:val="pl-PL"/>
        </w:rPr>
        <w:t xml:space="preserve">  </w:t>
      </w:r>
    </w:p>
    <w:p w:rsidR="00B24DA9" w:rsidRPr="00765C97" w:rsidRDefault="00B24DA9" w:rsidP="000C3C74">
      <w:pPr>
        <w:adjustRightInd w:val="0"/>
        <w:rPr>
          <w:rFonts w:ascii="Arial" w:hAnsi="Arial"/>
          <w:b/>
          <w:sz w:val="20"/>
          <w:lang w:val="pl-PL"/>
        </w:rPr>
      </w:pPr>
      <w:r w:rsidRPr="00765C97">
        <w:rPr>
          <w:rFonts w:ascii="Arial" w:hAnsi="Arial"/>
          <w:b/>
          <w:sz w:val="20"/>
          <w:lang w:val="pl-PL"/>
        </w:rPr>
        <w:t xml:space="preserve">b) Należności </w:t>
      </w:r>
    </w:p>
    <w:p w:rsidR="00B24DA9" w:rsidRPr="00765C97" w:rsidRDefault="00B24DA9" w:rsidP="000C3C74">
      <w:pPr>
        <w:adjustRightInd w:val="0"/>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Na dzień powstania ujmuje się je w księgach według wartości godziwej, a w następnych okresach wg skorygowanej ceny nabycia (zamortyzowanego kosztu).</w:t>
      </w: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Należności w zależności od terminu wymagalności (do 12 miesięcy od dnia bilansowego lub powyżej 12 miesięcy od dnia bilansowego) wykazywane są jako krótkoterminowe lub długoterminowe.</w:t>
      </w:r>
    </w:p>
    <w:p w:rsidR="00D13ADA" w:rsidRPr="00765C97" w:rsidRDefault="00D13ADA"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W celu urealnienia wartości, należności zostały pomniejszone o odpisy aktualizujące wartość należności wątpliwych. Odpis z tytułu utraty wartości odpowiada różnicy pomiędzy wartością bilansową a wartością bieżącą rzeczywistych przepływów pieniężnych z danego składnika aktywów. Ze względu na specyfikę działalności (występowanie w ograniczonym zakresie należności od tzw. kontrahentów masowych), dokonywanie stosownych odpisów aktualizacyjnych odbywa się drogą szczegółowej identyfikacji należności i oceny zagrożenia wpływu środków pieniężnych wynikających z uwarunkowań umownych i biznesowych.</w:t>
      </w:r>
    </w:p>
    <w:p w:rsidR="00B24DA9" w:rsidRPr="00765C97" w:rsidRDefault="00B24DA9"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b/>
          <w:sz w:val="20"/>
          <w:lang w:val="pl-PL"/>
        </w:rPr>
      </w:pPr>
      <w:r w:rsidRPr="00765C97">
        <w:rPr>
          <w:rFonts w:ascii="Arial" w:hAnsi="Arial"/>
          <w:b/>
          <w:sz w:val="20"/>
          <w:lang w:val="pl-PL"/>
        </w:rPr>
        <w:t>c) Środki pieniężne i ich ekwiwalenty</w:t>
      </w:r>
    </w:p>
    <w:p w:rsidR="00B24DA9" w:rsidRPr="00765C97" w:rsidRDefault="00B24DA9" w:rsidP="000C3C74">
      <w:pPr>
        <w:adjustRightInd w:val="0"/>
        <w:jc w:val="both"/>
        <w:rPr>
          <w:rFonts w:ascii="Arial" w:hAnsi="Arial"/>
          <w:b/>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 xml:space="preserve">Kategoria ta obejmuje środki pieniężne w kasie i na rachunkach bankowych, depozyty bankowe płatne na żądanie, płynne krótkoterminowe papiery wartościowe oraz inne krótkoterminowe inwestycje o dużej płynności. </w:t>
      </w:r>
    </w:p>
    <w:p w:rsidR="00B24DA9" w:rsidRPr="00765C97" w:rsidRDefault="00B24DA9" w:rsidP="000C3C74">
      <w:pPr>
        <w:adjustRightInd w:val="0"/>
        <w:rPr>
          <w:rFonts w:ascii="Arial" w:hAnsi="Arial"/>
          <w:sz w:val="20"/>
          <w:lang w:val="pl-PL"/>
        </w:rPr>
      </w:pPr>
    </w:p>
    <w:p w:rsidR="00B24DA9" w:rsidRPr="00765C97" w:rsidRDefault="00B24DA9" w:rsidP="000C3C74">
      <w:pPr>
        <w:adjustRightInd w:val="0"/>
        <w:rPr>
          <w:rFonts w:ascii="Arial" w:hAnsi="Arial"/>
          <w:b/>
          <w:sz w:val="20"/>
          <w:lang w:val="pl-PL"/>
        </w:rPr>
      </w:pPr>
      <w:r w:rsidRPr="00765C97">
        <w:rPr>
          <w:rFonts w:ascii="Arial" w:hAnsi="Arial"/>
          <w:b/>
          <w:sz w:val="20"/>
          <w:lang w:val="pl-PL"/>
        </w:rPr>
        <w:t>d) Rozliczenie kontraktów długoterminowych</w:t>
      </w:r>
    </w:p>
    <w:p w:rsidR="00B24DA9" w:rsidRPr="00765C97" w:rsidRDefault="00B24DA9" w:rsidP="000C3C74">
      <w:pPr>
        <w:adjustRightInd w:val="0"/>
        <w:jc w:val="both"/>
        <w:rPr>
          <w:rFonts w:ascii="Arial" w:hAnsi="Arial"/>
          <w:sz w:val="20"/>
          <w:lang w:val="pl-PL"/>
        </w:rPr>
      </w:pPr>
    </w:p>
    <w:p w:rsidR="00B24DA9" w:rsidRPr="00765C97" w:rsidRDefault="00B24DA9" w:rsidP="000C3C74">
      <w:pPr>
        <w:widowControl/>
        <w:autoSpaceDE/>
        <w:autoSpaceDN/>
        <w:jc w:val="both"/>
        <w:rPr>
          <w:rFonts w:ascii="Arial" w:hAnsi="Arial"/>
          <w:sz w:val="20"/>
          <w:lang w:val="pl-PL" w:eastAsia="pl-PL"/>
        </w:rPr>
      </w:pPr>
      <w:r w:rsidRPr="00765C97">
        <w:rPr>
          <w:rFonts w:ascii="Arial" w:hAnsi="Arial"/>
          <w:sz w:val="20"/>
          <w:lang w:val="pl-PL" w:eastAsia="pl-PL"/>
        </w:rPr>
        <w:t xml:space="preserve">Koszty związane z kontraktami długoterminowymi ujmuje się w momencie poniesienia. Wynik na kontraktach ustala się według stopnia zaawansowania prac, o ile jest możliwe wiarygodne ustalenie </w:t>
      </w:r>
      <w:r w:rsidR="00675794" w:rsidRPr="00765C97">
        <w:rPr>
          <w:rFonts w:ascii="Arial" w:hAnsi="Arial"/>
          <w:sz w:val="20"/>
          <w:lang w:val="pl-PL" w:eastAsia="pl-PL"/>
        </w:rPr>
        <w:t>stopnia zaawansowania.</w:t>
      </w:r>
      <w:r w:rsidR="00415E7B" w:rsidRPr="00765C97">
        <w:rPr>
          <w:rFonts w:ascii="Arial" w:hAnsi="Arial"/>
          <w:sz w:val="20"/>
          <w:lang w:val="pl-PL" w:eastAsia="pl-PL"/>
        </w:rPr>
        <w:t xml:space="preserve"> J</w:t>
      </w:r>
      <w:r w:rsidR="00AB0D3B" w:rsidRPr="00765C97">
        <w:rPr>
          <w:rFonts w:ascii="Arial" w:hAnsi="Arial"/>
          <w:sz w:val="20"/>
          <w:lang w:val="pl-PL" w:eastAsia="pl-PL"/>
        </w:rPr>
        <w:t>eżeli nie można wiary</w:t>
      </w:r>
      <w:r w:rsidR="00415E7B" w:rsidRPr="00765C97">
        <w:rPr>
          <w:rFonts w:ascii="Arial" w:hAnsi="Arial"/>
          <w:sz w:val="20"/>
          <w:lang w:val="pl-PL" w:eastAsia="pl-PL"/>
        </w:rPr>
        <w:t>godnie oszacować wyniku umowy, to przychody ujmuje się wyłącznie do wysokości poniesionych kosztów umowy, dla których istnieje prawdopodobieństwo ich odzyskania</w:t>
      </w:r>
      <w:r w:rsidR="007E5844" w:rsidRPr="00765C97">
        <w:rPr>
          <w:rFonts w:ascii="Arial" w:hAnsi="Arial"/>
          <w:sz w:val="20"/>
          <w:lang w:val="pl-PL" w:eastAsia="pl-PL"/>
        </w:rPr>
        <w:t>.</w:t>
      </w:r>
      <w:r w:rsidR="00415E7B" w:rsidRPr="00765C97">
        <w:rPr>
          <w:rFonts w:ascii="Arial" w:hAnsi="Arial"/>
          <w:sz w:val="20"/>
          <w:lang w:val="pl-PL" w:eastAsia="pl-PL"/>
        </w:rPr>
        <w:t xml:space="preserve"> </w:t>
      </w:r>
      <w:r w:rsidRPr="00765C97">
        <w:rPr>
          <w:rFonts w:ascii="Arial" w:hAnsi="Arial"/>
          <w:sz w:val="20"/>
          <w:lang w:val="pl-PL" w:eastAsia="pl-PL"/>
        </w:rPr>
        <w:t>Stopień zawansowania mierzy się w oparciu o wyrażony procentowo stosunek kosztów poniesionych do dnia bilansowego, do łącznych szacowanych kosztów z tytułu kontraktu. Jeżeli prawdopodobne jest że łączne koszty z tytułu umowy przekroczą łączne przychody, to przewidywaną stratę ujmuje się natychmiast.</w:t>
      </w:r>
    </w:p>
    <w:p w:rsidR="00B24DA9" w:rsidRPr="00765C97" w:rsidRDefault="00B24DA9" w:rsidP="000C3C74">
      <w:pPr>
        <w:widowControl/>
        <w:autoSpaceDE/>
        <w:autoSpaceDN/>
        <w:jc w:val="both"/>
        <w:rPr>
          <w:rFonts w:ascii="Arial" w:hAnsi="Arial"/>
          <w:sz w:val="20"/>
          <w:lang w:val="pl-PL" w:eastAsia="pl-PL"/>
        </w:rPr>
      </w:pPr>
    </w:p>
    <w:p w:rsidR="00B24DA9" w:rsidRPr="00765C97" w:rsidRDefault="00B24DA9" w:rsidP="000C3C74">
      <w:pPr>
        <w:widowControl/>
        <w:autoSpaceDE/>
        <w:autoSpaceDN/>
        <w:jc w:val="both"/>
        <w:rPr>
          <w:rFonts w:ascii="Arial" w:hAnsi="Arial"/>
          <w:sz w:val="20"/>
          <w:lang w:val="pl-PL" w:eastAsia="pl-PL"/>
        </w:rPr>
      </w:pPr>
      <w:r w:rsidRPr="00765C97">
        <w:rPr>
          <w:rFonts w:ascii="Arial" w:hAnsi="Arial"/>
          <w:sz w:val="20"/>
          <w:lang w:val="pl-PL" w:eastAsia="pl-PL"/>
        </w:rPr>
        <w:t>Grupa prezentuje w aktywach pozycję „Należne przychody z tytułu kontraktów długoterminowych” w przypadku gdy występuje nadwyżka poniesionych kosztów i ujętych zysków z tytułu kontraktów długoterminowych, nad wartością zafakturowanej sprzedaży do kontrahentów. W przeciwnym przypadku, tj. gdy występuje nadwyżka zafakturowanej sprzedaży do kontrahentów nad wartością poniesionych kosztów i ujętych zysków z tytułu kontraktów długoterminowych, Grupa prezentuje w zobowiązaniach pozycję „Zobowiązania z tytułu kontraktów długoterminowych”. Ww. nadwyżki są ustalane dla każdego kontraktu osobno i prezentowane rozdzielnie bez saldowania poszczególnych pozycji.</w:t>
      </w:r>
    </w:p>
    <w:p w:rsidR="003B0DE4" w:rsidRPr="00765C97" w:rsidRDefault="003B0DE4" w:rsidP="00867B20">
      <w:pPr>
        <w:rPr>
          <w:rFonts w:ascii="Arial" w:hAnsi="Arial"/>
          <w:b/>
          <w:sz w:val="20"/>
          <w:lang w:val="pl-PL"/>
        </w:rPr>
      </w:pPr>
    </w:p>
    <w:p w:rsidR="00B24DA9" w:rsidRPr="00765C97" w:rsidRDefault="00B24DA9" w:rsidP="00867B20">
      <w:pPr>
        <w:rPr>
          <w:rFonts w:ascii="Arial" w:hAnsi="Arial"/>
          <w:b/>
          <w:i/>
          <w:sz w:val="20"/>
          <w:lang w:val="pl-PL"/>
        </w:rPr>
      </w:pPr>
      <w:r w:rsidRPr="00765C97">
        <w:rPr>
          <w:rFonts w:ascii="Arial" w:hAnsi="Arial"/>
          <w:b/>
          <w:sz w:val="20"/>
          <w:lang w:val="pl-PL"/>
        </w:rPr>
        <w:t>e) Aktywa przeznaczone do zbycia</w:t>
      </w:r>
    </w:p>
    <w:p w:rsidR="003B0DE4" w:rsidRPr="00765C97" w:rsidRDefault="003B0DE4" w:rsidP="000C3C74">
      <w:pPr>
        <w:pStyle w:val="Tekstpodstawowy"/>
        <w:keepNext w:val="0"/>
        <w:rPr>
          <w:b w:val="0"/>
          <w:sz w:val="20"/>
        </w:rPr>
      </w:pPr>
    </w:p>
    <w:p w:rsidR="00B24DA9" w:rsidRPr="00765C97" w:rsidRDefault="00B24DA9" w:rsidP="000C3C74">
      <w:pPr>
        <w:pStyle w:val="Tekstpodstawowy"/>
        <w:keepNext w:val="0"/>
        <w:rPr>
          <w:b w:val="0"/>
          <w:sz w:val="20"/>
        </w:rPr>
      </w:pPr>
      <w:r w:rsidRPr="00765C97">
        <w:rPr>
          <w:b w:val="0"/>
          <w:sz w:val="20"/>
        </w:rPr>
        <w:t xml:space="preserve">Aktywa i grupy do zbycia klasyfikuje się jako przeznaczone do sprzedaży, jeśli ich wartość bilansowa zostanie odzyskana raczej w wyniku transakcji sprzedaży niż w wyniku ich dalszego użytkowania. Warunek ten uznaje się za spełniony wyłącznie wówczas, gdy wystąpienie transakcji sprzedaży jest bardzo prawdopodobne, a składnik aktywów (lub grupa do zbycia) jest dostępny do natychmiastowej sprzedaży w swoim obecnym stanie. Klasyfikacja składnika aktywów jako przeznaczonego do zbycia zakłada zamiar kierownictwa </w:t>
      </w:r>
      <w:r w:rsidR="006724E3" w:rsidRPr="00765C97">
        <w:rPr>
          <w:b w:val="0"/>
          <w:sz w:val="20"/>
        </w:rPr>
        <w:t>S</w:t>
      </w:r>
      <w:r w:rsidRPr="00765C97">
        <w:rPr>
          <w:b w:val="0"/>
          <w:sz w:val="20"/>
        </w:rPr>
        <w:t xml:space="preserve">półki do dokonania transakcji sprzedaży w ciągu roku od momentu zmiany klasyfikacji. </w:t>
      </w:r>
    </w:p>
    <w:p w:rsidR="00B24DA9" w:rsidRPr="00765C97" w:rsidRDefault="00B24DA9" w:rsidP="000C3C74">
      <w:pPr>
        <w:pStyle w:val="Tekstpodstawowy"/>
        <w:rPr>
          <w:b w:val="0"/>
          <w:sz w:val="20"/>
        </w:rPr>
      </w:pPr>
      <w:r w:rsidRPr="00765C97">
        <w:rPr>
          <w:b w:val="0"/>
          <w:sz w:val="20"/>
        </w:rPr>
        <w:t xml:space="preserve">Aktywa (i grupy do zbycia) sklasyfikowane jako przeznaczone do sprzedaży wycenia się po niższej spośród dwóch wartości: pierwotnej wartości bilansowej lub wartości godziwej, pomniejszonej o koszty związane ze sprzedażą. </w:t>
      </w:r>
    </w:p>
    <w:p w:rsidR="00B24DA9" w:rsidRPr="00765C97" w:rsidRDefault="00B24DA9" w:rsidP="00135A9A">
      <w:pPr>
        <w:pStyle w:val="Nagwek4"/>
        <w:numPr>
          <w:ilvl w:val="2"/>
          <w:numId w:val="14"/>
        </w:numPr>
        <w:spacing w:before="240" w:after="60"/>
        <w:ind w:left="1276" w:hanging="851"/>
        <w:rPr>
          <w:rFonts w:ascii="Arial" w:hAnsi="Arial"/>
          <w:sz w:val="20"/>
          <w:lang w:val="pl-PL"/>
        </w:rPr>
      </w:pPr>
      <w:r w:rsidRPr="00765C97">
        <w:rPr>
          <w:rFonts w:ascii="Arial" w:hAnsi="Arial"/>
          <w:sz w:val="20"/>
          <w:lang w:val="pl-PL"/>
        </w:rPr>
        <w:t xml:space="preserve">Kapitał własny </w:t>
      </w:r>
    </w:p>
    <w:p w:rsidR="00B24DA9" w:rsidRPr="00765C97" w:rsidRDefault="00B24DA9" w:rsidP="000C3C74">
      <w:pPr>
        <w:rPr>
          <w:rFonts w:ascii="Arial" w:hAnsi="Arial"/>
          <w:sz w:val="20"/>
          <w:lang w:val="pl-PL"/>
        </w:rPr>
      </w:pPr>
      <w:r w:rsidRPr="00765C97">
        <w:rPr>
          <w:rFonts w:ascii="Arial" w:hAnsi="Arial"/>
          <w:sz w:val="20"/>
          <w:lang w:val="pl-PL"/>
        </w:rPr>
        <w:t>Kapitał własny obejmuje między innymi:</w:t>
      </w:r>
    </w:p>
    <w:p w:rsidR="00B24DA9" w:rsidRPr="00765C97" w:rsidRDefault="00B24DA9" w:rsidP="000C3C74">
      <w:pPr>
        <w:rPr>
          <w:rFonts w:ascii="Arial" w:hAnsi="Arial"/>
          <w:sz w:val="20"/>
          <w:lang w:val="pl-PL"/>
        </w:rPr>
      </w:pPr>
      <w:r w:rsidRPr="00765C97">
        <w:rPr>
          <w:rFonts w:ascii="Arial" w:hAnsi="Arial"/>
          <w:sz w:val="20"/>
          <w:lang w:val="pl-PL"/>
        </w:rPr>
        <w:t>a) kapitał zakładowy jednostki dominującej wykazany w wartości nominalnej,</w:t>
      </w:r>
    </w:p>
    <w:p w:rsidR="00B24DA9" w:rsidRPr="00765C97" w:rsidRDefault="00B24DA9" w:rsidP="000C3C74">
      <w:pPr>
        <w:rPr>
          <w:rFonts w:ascii="Arial" w:hAnsi="Arial"/>
          <w:sz w:val="20"/>
          <w:lang w:val="pl-PL"/>
        </w:rPr>
      </w:pPr>
      <w:r w:rsidRPr="00765C97">
        <w:rPr>
          <w:rFonts w:ascii="Arial" w:hAnsi="Arial"/>
          <w:sz w:val="20"/>
          <w:lang w:val="pl-PL"/>
        </w:rPr>
        <w:t>b) pozostałe kapitały utworzone:</w:t>
      </w:r>
    </w:p>
    <w:p w:rsidR="00B24DA9" w:rsidRPr="00765C97" w:rsidRDefault="00B24DA9" w:rsidP="00135A9A">
      <w:pPr>
        <w:numPr>
          <w:ilvl w:val="0"/>
          <w:numId w:val="5"/>
        </w:numPr>
        <w:tabs>
          <w:tab w:val="clear" w:pos="2389"/>
          <w:tab w:val="left" w:pos="450"/>
        </w:tabs>
        <w:adjustRightInd w:val="0"/>
        <w:ind w:left="0" w:firstLine="0"/>
        <w:jc w:val="both"/>
        <w:rPr>
          <w:rFonts w:ascii="Arial" w:hAnsi="Arial"/>
          <w:sz w:val="20"/>
          <w:lang w:val="pl-PL"/>
        </w:rPr>
      </w:pPr>
      <w:r w:rsidRPr="00765C97">
        <w:rPr>
          <w:rFonts w:ascii="Arial" w:hAnsi="Arial"/>
          <w:sz w:val="20"/>
          <w:lang w:val="pl-PL"/>
        </w:rPr>
        <w:t xml:space="preserve">z podziału zysku, </w:t>
      </w:r>
    </w:p>
    <w:p w:rsidR="00B24DA9" w:rsidRPr="00765C97" w:rsidRDefault="00B24DA9" w:rsidP="00135A9A">
      <w:pPr>
        <w:numPr>
          <w:ilvl w:val="0"/>
          <w:numId w:val="5"/>
        </w:numPr>
        <w:tabs>
          <w:tab w:val="clear" w:pos="2389"/>
          <w:tab w:val="left" w:pos="450"/>
        </w:tabs>
        <w:adjustRightInd w:val="0"/>
        <w:ind w:left="0" w:firstLine="0"/>
        <w:jc w:val="both"/>
        <w:rPr>
          <w:rFonts w:ascii="Arial" w:hAnsi="Arial"/>
          <w:sz w:val="20"/>
          <w:lang w:val="pl-PL"/>
        </w:rPr>
      </w:pPr>
      <w:r w:rsidRPr="00765C97">
        <w:rPr>
          <w:rFonts w:ascii="Arial" w:hAnsi="Arial"/>
          <w:sz w:val="20"/>
          <w:lang w:val="pl-PL"/>
        </w:rPr>
        <w:t>z nadwyżki sprzedaży akcji ponad wartość nominalną,</w:t>
      </w:r>
    </w:p>
    <w:p w:rsidR="00B24DA9" w:rsidRPr="00765C97" w:rsidRDefault="00B24DA9" w:rsidP="00135A9A">
      <w:pPr>
        <w:numPr>
          <w:ilvl w:val="0"/>
          <w:numId w:val="5"/>
        </w:numPr>
        <w:tabs>
          <w:tab w:val="clear" w:pos="2389"/>
          <w:tab w:val="left" w:pos="450"/>
        </w:tabs>
        <w:adjustRightInd w:val="0"/>
        <w:ind w:left="0" w:firstLine="0"/>
        <w:jc w:val="both"/>
        <w:rPr>
          <w:rFonts w:ascii="Arial" w:hAnsi="Arial"/>
          <w:sz w:val="20"/>
          <w:lang w:val="pl-PL"/>
        </w:rPr>
      </w:pPr>
      <w:r w:rsidRPr="00765C97">
        <w:rPr>
          <w:rFonts w:ascii="Arial" w:hAnsi="Arial"/>
          <w:sz w:val="20"/>
          <w:lang w:val="pl-PL"/>
        </w:rPr>
        <w:t>z wyceny opcji menedżerskiej</w:t>
      </w:r>
      <w:r w:rsidR="00F403DE" w:rsidRPr="00765C97">
        <w:rPr>
          <w:rFonts w:ascii="Arial" w:hAnsi="Arial"/>
          <w:sz w:val="20"/>
          <w:lang w:val="pl-PL"/>
        </w:rPr>
        <w:t>,</w:t>
      </w:r>
    </w:p>
    <w:p w:rsidR="00B24DA9" w:rsidRPr="00765C97" w:rsidRDefault="00B24DA9" w:rsidP="000C3C74">
      <w:pPr>
        <w:jc w:val="both"/>
        <w:rPr>
          <w:rFonts w:ascii="Arial" w:hAnsi="Arial"/>
          <w:sz w:val="20"/>
          <w:lang w:val="pl-PL"/>
        </w:rPr>
      </w:pPr>
      <w:r w:rsidRPr="00765C97">
        <w:rPr>
          <w:rFonts w:ascii="Arial" w:hAnsi="Arial"/>
          <w:sz w:val="20"/>
          <w:lang w:val="pl-PL"/>
        </w:rPr>
        <w:t>c) zysk niepodzielony wynikający z korekt z tytułu zmiany zasad rachunkowości oraz z wyników osiągniętych przez Grupę, a nie przeniesionych do pozostałych kapitałów</w:t>
      </w:r>
      <w:r w:rsidR="00675794" w:rsidRPr="00765C97">
        <w:rPr>
          <w:rFonts w:ascii="Arial" w:hAnsi="Arial"/>
          <w:sz w:val="20"/>
          <w:lang w:val="pl-PL"/>
        </w:rPr>
        <w:t>,</w:t>
      </w:r>
    </w:p>
    <w:p w:rsidR="00675794" w:rsidRPr="00765C97" w:rsidRDefault="00675794" w:rsidP="000C3C74">
      <w:pPr>
        <w:jc w:val="both"/>
        <w:rPr>
          <w:rFonts w:ascii="Arial" w:hAnsi="Arial"/>
          <w:sz w:val="20"/>
          <w:lang w:val="pl-PL"/>
        </w:rPr>
      </w:pPr>
      <w:r w:rsidRPr="00765C97">
        <w:rPr>
          <w:rFonts w:ascii="Arial" w:hAnsi="Arial"/>
          <w:sz w:val="20"/>
          <w:lang w:val="pl-PL"/>
        </w:rPr>
        <w:t>d) różnice kursowe.</w:t>
      </w:r>
    </w:p>
    <w:p w:rsidR="00B24DA9" w:rsidRPr="00765C97" w:rsidRDefault="00B24DA9" w:rsidP="00135A9A">
      <w:pPr>
        <w:pStyle w:val="Nagwek4"/>
        <w:numPr>
          <w:ilvl w:val="2"/>
          <w:numId w:val="14"/>
        </w:numPr>
        <w:spacing w:before="240" w:after="60"/>
        <w:ind w:left="1276" w:hanging="851"/>
        <w:rPr>
          <w:rFonts w:ascii="Arial" w:hAnsi="Arial"/>
          <w:sz w:val="20"/>
          <w:lang w:val="pl-PL"/>
        </w:rPr>
      </w:pPr>
      <w:r w:rsidRPr="00765C97">
        <w:rPr>
          <w:rFonts w:ascii="Arial" w:hAnsi="Arial"/>
          <w:sz w:val="20"/>
          <w:lang w:val="pl-PL"/>
        </w:rPr>
        <w:t>Świadczenia pracownicze</w:t>
      </w:r>
    </w:p>
    <w:p w:rsidR="00B24DA9" w:rsidRPr="00765C97" w:rsidRDefault="00B24DA9" w:rsidP="000C3C74">
      <w:pPr>
        <w:rPr>
          <w:rFonts w:ascii="Arial" w:hAnsi="Arial"/>
          <w:b/>
          <w:sz w:val="20"/>
          <w:lang w:val="pl-PL"/>
        </w:rPr>
      </w:pPr>
      <w:r w:rsidRPr="00765C97">
        <w:rPr>
          <w:rFonts w:ascii="Arial" w:hAnsi="Arial"/>
          <w:b/>
          <w:sz w:val="20"/>
          <w:lang w:val="pl-PL"/>
        </w:rPr>
        <w:t xml:space="preserve">a) Świadczenia oparte na akcjach </w:t>
      </w:r>
    </w:p>
    <w:p w:rsidR="00B24DA9" w:rsidRPr="00765C97" w:rsidRDefault="00B24DA9" w:rsidP="000C3C74">
      <w:pPr>
        <w:rPr>
          <w:rFonts w:ascii="Arial" w:hAnsi="Arial"/>
          <w:sz w:val="20"/>
          <w:lang w:val="pl-PL"/>
        </w:rPr>
      </w:pPr>
    </w:p>
    <w:p w:rsidR="00B24DA9" w:rsidRPr="00765C97" w:rsidRDefault="005A3574" w:rsidP="000C3C74">
      <w:pPr>
        <w:jc w:val="both"/>
        <w:rPr>
          <w:rFonts w:ascii="Arial" w:hAnsi="Arial"/>
          <w:sz w:val="20"/>
          <w:lang w:val="pl-PL"/>
        </w:rPr>
      </w:pPr>
      <w:r w:rsidRPr="00765C97">
        <w:rPr>
          <w:rFonts w:ascii="Arial" w:hAnsi="Arial"/>
          <w:sz w:val="20"/>
          <w:lang w:val="pl-PL"/>
        </w:rPr>
        <w:t>Jednostka dominująca</w:t>
      </w:r>
      <w:r w:rsidR="00B24DA9" w:rsidRPr="00765C97">
        <w:rPr>
          <w:rFonts w:ascii="Arial" w:hAnsi="Arial"/>
          <w:sz w:val="20"/>
          <w:lang w:val="pl-PL"/>
        </w:rPr>
        <w:t xml:space="preserve"> prowadzi program wynagrodzeń opartych na akcjach i regulowanych akcjami. Wartość godziwa świadczonej przez pracowników pracy, w zamian za przyznanie opcji powiększa koszty. Łączną kwotę, jaką należy rozliczyć w koszty przez okres nabywania uprawnień przez pracowników do realizacji opcji, ustala się w oparciu o wartość godziwą przyznanych opcji, z wyłączeniem wpływu ewentualnych niezwiązanych z rynkiem kapitałowym warunków nabywania uprawnień (np. celów do osiągnięcia w zakresie rentowności i wzrostu sprzedaży). Warunki nabywania uprawnień do realizacji uwzględnia się w założeniach co do przewidywanej liczby opcji, które mogą być zrealizowane. Na każdy dzień bilansowy jednostka dominująca weryfikuje swoje oszacowania. Wpływ ewentualnej weryfikacji pierwotnych oszacowań </w:t>
      </w:r>
      <w:r w:rsidRPr="00765C97">
        <w:rPr>
          <w:rFonts w:ascii="Arial" w:hAnsi="Arial"/>
          <w:sz w:val="20"/>
          <w:lang w:val="pl-PL"/>
        </w:rPr>
        <w:t>Jednostka dominująca</w:t>
      </w:r>
      <w:r w:rsidR="00B24DA9" w:rsidRPr="00765C97">
        <w:rPr>
          <w:rFonts w:ascii="Arial" w:hAnsi="Arial"/>
          <w:sz w:val="20"/>
          <w:lang w:val="pl-PL"/>
        </w:rPr>
        <w:t xml:space="preserve"> ujmuje w rachunku zysków i strat, w korespondencji z kapitałem własnym. Uzyskane wpływy z tytułu realizacji opcji, tj. wpływy z tytułu objęcia akcji (pomniejszone o koszty transakcyjne bezpośrednio związane z realizacją) odnosi się na kapitał zakładowy (wartość nominalna) oraz kapitał zapasowy ze sprzedaży akcji powyżej ich wartości nominalnej.</w:t>
      </w:r>
    </w:p>
    <w:p w:rsidR="00B24DA9" w:rsidRPr="00765C97" w:rsidRDefault="00B24DA9" w:rsidP="00135A9A">
      <w:pPr>
        <w:pStyle w:val="Nagwek4"/>
        <w:numPr>
          <w:ilvl w:val="2"/>
          <w:numId w:val="14"/>
        </w:numPr>
        <w:spacing w:before="240" w:after="60"/>
        <w:ind w:left="1276" w:hanging="851"/>
        <w:rPr>
          <w:rFonts w:ascii="Arial" w:hAnsi="Arial"/>
          <w:sz w:val="20"/>
          <w:lang w:val="pl-PL"/>
        </w:rPr>
      </w:pPr>
      <w:r w:rsidRPr="00765C97">
        <w:rPr>
          <w:rFonts w:ascii="Arial" w:hAnsi="Arial"/>
          <w:sz w:val="20"/>
          <w:lang w:val="pl-PL"/>
        </w:rPr>
        <w:t>Zobowiązania i rezerwy na zobowiązania</w:t>
      </w:r>
    </w:p>
    <w:p w:rsidR="00B24DA9" w:rsidRPr="00765C97" w:rsidRDefault="00B24DA9" w:rsidP="000C3C74">
      <w:pPr>
        <w:adjustRightInd w:val="0"/>
        <w:jc w:val="both"/>
        <w:rPr>
          <w:rFonts w:ascii="Arial" w:hAnsi="Arial"/>
          <w:b/>
          <w:sz w:val="20"/>
          <w:lang w:val="pl-PL"/>
        </w:rPr>
      </w:pPr>
      <w:r w:rsidRPr="00765C97">
        <w:rPr>
          <w:rFonts w:ascii="Arial" w:hAnsi="Arial"/>
          <w:b/>
          <w:sz w:val="20"/>
          <w:lang w:val="pl-PL"/>
        </w:rPr>
        <w:t>a) Zobowiązania handlowe i pozostałe zobowiązania</w:t>
      </w:r>
    </w:p>
    <w:p w:rsidR="00B24DA9" w:rsidRPr="00765C97" w:rsidRDefault="00B24DA9"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Na dzień powstania ujmuje się je w księgach według wartości godziwej, a na dzień bilansowy w kwocie skorygowanej ceny nabycia (zamortyzowanego kosztu). Zobowiązania w zależności od terminu wymagalności (do 12 miesięcy od dnia bilansowego lub powyżej 12 miesięcy od dnia bilansowego) wykazywane są jako krótkoterminowe lub długoterminowe.</w:t>
      </w:r>
    </w:p>
    <w:p w:rsidR="00B24DA9" w:rsidRPr="00765C97" w:rsidRDefault="00B24DA9" w:rsidP="000C3C74">
      <w:pPr>
        <w:adjustRightInd w:val="0"/>
        <w:jc w:val="both"/>
        <w:rPr>
          <w:rFonts w:ascii="Arial" w:hAnsi="Arial"/>
          <w:b/>
          <w:sz w:val="20"/>
          <w:lang w:val="pl-PL"/>
        </w:rPr>
      </w:pPr>
    </w:p>
    <w:p w:rsidR="00B24DA9" w:rsidRPr="00765C97" w:rsidRDefault="00B24DA9" w:rsidP="000C3C74">
      <w:pPr>
        <w:adjustRightInd w:val="0"/>
        <w:jc w:val="both"/>
        <w:rPr>
          <w:rFonts w:ascii="Arial" w:hAnsi="Arial"/>
          <w:b/>
          <w:sz w:val="20"/>
          <w:lang w:val="pl-PL"/>
        </w:rPr>
      </w:pPr>
      <w:r w:rsidRPr="00765C97">
        <w:rPr>
          <w:rFonts w:ascii="Arial" w:hAnsi="Arial"/>
          <w:b/>
          <w:sz w:val="20"/>
          <w:lang w:val="pl-PL"/>
        </w:rPr>
        <w:t>b) Zobowiązanie finansowe</w:t>
      </w:r>
    </w:p>
    <w:p w:rsidR="00B24DA9" w:rsidRPr="00765C97" w:rsidRDefault="00B24DA9" w:rsidP="000C3C74">
      <w:pPr>
        <w:adjustRightInd w:val="0"/>
        <w:jc w:val="both"/>
        <w:rPr>
          <w:rFonts w:ascii="Arial" w:hAnsi="Arial"/>
          <w:sz w:val="20"/>
          <w:lang w:val="pl-PL"/>
        </w:rPr>
      </w:pPr>
    </w:p>
    <w:p w:rsidR="00675794" w:rsidRPr="00765C97" w:rsidRDefault="00B24DA9" w:rsidP="000C3C74">
      <w:pPr>
        <w:adjustRightInd w:val="0"/>
        <w:jc w:val="both"/>
        <w:rPr>
          <w:rFonts w:ascii="Arial" w:hAnsi="Arial"/>
          <w:sz w:val="20"/>
          <w:lang w:val="pl-PL"/>
        </w:rPr>
      </w:pPr>
      <w:r w:rsidRPr="00765C97">
        <w:rPr>
          <w:rFonts w:ascii="Arial" w:hAnsi="Arial"/>
          <w:sz w:val="20"/>
          <w:lang w:val="pl-PL"/>
        </w:rPr>
        <w:t xml:space="preserve">W momencie początkowego ujęcia zobowiązania finansowe wycenia się w wartości godziwej, powiększonej, w przypadku składnika zobowiązań niekwalifikowanych jako wyceniane w wartości godziwej przez wynik finansowy, o koszty transakcyjne. Po początkowym ujęciu, jednostka wycenia zobowiązania finansowe według zamortyzowanego kosztu z zastosowaniem metody efektywnej stopy procentowej, z wyjątkiem instrumentów pochodnych, wycenianych wg wartości godziwej. Zobowiązania finansowe wyznaczone jako pozycje zabezpieczane podlegają wycenie zgodnie z zasadami </w:t>
      </w:r>
      <w:r w:rsidR="00675794" w:rsidRPr="00765C97">
        <w:rPr>
          <w:rFonts w:ascii="Arial" w:hAnsi="Arial"/>
          <w:sz w:val="20"/>
          <w:lang w:val="pl-PL"/>
        </w:rPr>
        <w:t>rachunkowości zabezpieczeń.</w:t>
      </w:r>
    </w:p>
    <w:p w:rsidR="00B24DA9" w:rsidRPr="00765C97" w:rsidRDefault="00B24DA9"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b/>
          <w:sz w:val="20"/>
          <w:lang w:val="pl-PL"/>
        </w:rPr>
      </w:pPr>
      <w:r w:rsidRPr="00765C97">
        <w:rPr>
          <w:rFonts w:ascii="Arial" w:hAnsi="Arial"/>
          <w:b/>
          <w:sz w:val="20"/>
          <w:lang w:val="pl-PL"/>
        </w:rPr>
        <w:t>c) Rezerwy na zobowiązania</w:t>
      </w:r>
    </w:p>
    <w:p w:rsidR="00B24DA9" w:rsidRPr="00765C97" w:rsidRDefault="00B24DA9">
      <w:pPr>
        <w:adjustRightInd w:val="0"/>
        <w:ind w:left="180"/>
        <w:jc w:val="both"/>
        <w:rPr>
          <w:rFonts w:ascii="Arial" w:hAnsi="Arial"/>
          <w:sz w:val="20"/>
          <w:lang w:val="pl-PL"/>
        </w:rPr>
      </w:pPr>
    </w:p>
    <w:p w:rsidR="00675794" w:rsidRPr="00765C97" w:rsidRDefault="00675794" w:rsidP="000C3C74">
      <w:pPr>
        <w:jc w:val="both"/>
        <w:rPr>
          <w:rFonts w:ascii="Arial" w:hAnsi="Arial"/>
          <w:sz w:val="20"/>
          <w:lang w:val="pl-PL"/>
        </w:rPr>
      </w:pPr>
      <w:r w:rsidRPr="00765C97">
        <w:rPr>
          <w:rFonts w:ascii="Arial" w:hAnsi="Arial"/>
          <w:sz w:val="20"/>
          <w:lang w:val="pl-PL"/>
        </w:rPr>
        <w:t>Rezerwy na koszty restrukturyzacji, naprawy gwarancyjne, roszczenia prawne oraz inne zdarzenia (głównie na urlopy oraz nagrody), w wyniku których na Grupie ciąży obecny obowiązek, wynikający ze zdarzeń przeszłych, tworzy, ujmuje się, jeżeli:</w:t>
      </w:r>
    </w:p>
    <w:p w:rsidR="00675794" w:rsidRPr="00765C97" w:rsidRDefault="00675794" w:rsidP="00135A9A">
      <w:pPr>
        <w:numPr>
          <w:ilvl w:val="0"/>
          <w:numId w:val="2"/>
        </w:numPr>
        <w:tabs>
          <w:tab w:val="clear" w:pos="900"/>
          <w:tab w:val="num" w:pos="600"/>
        </w:tabs>
        <w:ind w:left="600"/>
        <w:jc w:val="both"/>
        <w:rPr>
          <w:rFonts w:ascii="Arial" w:hAnsi="Arial"/>
          <w:sz w:val="20"/>
          <w:lang w:val="pl-PL"/>
        </w:rPr>
      </w:pPr>
      <w:r w:rsidRPr="00765C97">
        <w:rPr>
          <w:rFonts w:ascii="Arial" w:hAnsi="Arial"/>
          <w:sz w:val="20"/>
          <w:lang w:val="pl-PL"/>
        </w:rPr>
        <w:t>Grupa posiada bieżące prawne lub zwyczajowe zobowiązanie wynikające z przeszłych zdarzeń,</w:t>
      </w:r>
    </w:p>
    <w:p w:rsidR="00675794" w:rsidRPr="00765C97" w:rsidRDefault="00675794" w:rsidP="00135A9A">
      <w:pPr>
        <w:numPr>
          <w:ilvl w:val="0"/>
          <w:numId w:val="2"/>
        </w:numPr>
        <w:tabs>
          <w:tab w:val="clear" w:pos="900"/>
          <w:tab w:val="num" w:pos="600"/>
        </w:tabs>
        <w:ind w:left="600"/>
        <w:jc w:val="both"/>
        <w:rPr>
          <w:rFonts w:ascii="Arial" w:hAnsi="Arial"/>
          <w:sz w:val="20"/>
          <w:lang w:val="pl-PL"/>
        </w:rPr>
      </w:pPr>
      <w:r w:rsidRPr="00765C97">
        <w:rPr>
          <w:rFonts w:ascii="Arial" w:hAnsi="Arial"/>
          <w:sz w:val="20"/>
          <w:lang w:val="pl-PL"/>
        </w:rPr>
        <w:t>istnieje wysokie prawdopodobieństwo, że w celu rozliczenia tych zobowiązań konieczne będą wydatki środków Grupy oraz</w:t>
      </w:r>
    </w:p>
    <w:p w:rsidR="00675794" w:rsidRPr="00765C97" w:rsidRDefault="00675794" w:rsidP="00135A9A">
      <w:pPr>
        <w:numPr>
          <w:ilvl w:val="0"/>
          <w:numId w:val="2"/>
        </w:numPr>
        <w:tabs>
          <w:tab w:val="clear" w:pos="900"/>
          <w:tab w:val="num" w:pos="600"/>
        </w:tabs>
        <w:ind w:left="600"/>
        <w:jc w:val="both"/>
        <w:rPr>
          <w:rFonts w:ascii="Arial" w:hAnsi="Arial"/>
          <w:sz w:val="20"/>
          <w:lang w:val="pl-PL"/>
        </w:rPr>
      </w:pPr>
      <w:r w:rsidRPr="00765C97">
        <w:rPr>
          <w:rFonts w:ascii="Arial" w:hAnsi="Arial"/>
          <w:sz w:val="20"/>
          <w:lang w:val="pl-PL"/>
        </w:rPr>
        <w:t>wartość ta została oszacowana w sposób wiarygodny.</w:t>
      </w:r>
    </w:p>
    <w:p w:rsidR="00B24DA9" w:rsidRPr="00765C97" w:rsidRDefault="00B24DA9" w:rsidP="000C3C74">
      <w:pPr>
        <w:jc w:val="both"/>
        <w:rPr>
          <w:rFonts w:ascii="Arial" w:hAnsi="Arial"/>
          <w:sz w:val="20"/>
          <w:lang w:val="pl-PL"/>
        </w:rPr>
      </w:pPr>
      <w:r w:rsidRPr="00765C97">
        <w:rPr>
          <w:rFonts w:ascii="Arial" w:hAnsi="Arial"/>
          <w:sz w:val="20"/>
          <w:lang w:val="pl-PL"/>
        </w:rPr>
        <w:t xml:space="preserve">Rezerwy restrukturyzacyjne obejmują głownie odprawy pracownicze. Rezerw nie ujmuje się w odniesieniu do przyszłych strat operacyjnych. </w:t>
      </w:r>
    </w:p>
    <w:p w:rsidR="00B24DA9" w:rsidRPr="00765C97" w:rsidRDefault="00B24DA9" w:rsidP="000C3C74">
      <w:pPr>
        <w:jc w:val="both"/>
        <w:rPr>
          <w:rFonts w:ascii="Arial" w:hAnsi="Arial"/>
          <w:sz w:val="20"/>
          <w:lang w:val="pl-PL"/>
        </w:rPr>
      </w:pPr>
    </w:p>
    <w:p w:rsidR="00B24DA9" w:rsidRPr="00765C97" w:rsidRDefault="00B24DA9" w:rsidP="000C3C74">
      <w:pPr>
        <w:jc w:val="both"/>
        <w:rPr>
          <w:rFonts w:ascii="Arial" w:hAnsi="Arial"/>
          <w:sz w:val="20"/>
          <w:lang w:val="pl-PL"/>
        </w:rPr>
      </w:pPr>
      <w:r w:rsidRPr="00765C97">
        <w:rPr>
          <w:rFonts w:ascii="Arial" w:hAnsi="Arial"/>
          <w:sz w:val="20"/>
          <w:lang w:val="pl-PL"/>
        </w:rPr>
        <w:t>Jeżeli występuje szereg podobnych zobowiązań, prawdopodobieństwo konieczności wydatkowania środków w celu ich rozliczenia określa się dla całej grupy podobnych zobowiązań. Rezerwę ujmuje się nawet wówczas, gdy prawdopodobieństwo wydatkowania środków w związku z jedną pozycją zawierającą się w grupie zobowiązań jest niewielkie.</w:t>
      </w:r>
    </w:p>
    <w:p w:rsidR="00B24DA9" w:rsidRPr="00765C97" w:rsidRDefault="00B24DA9" w:rsidP="000C3C74">
      <w:pPr>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Rezerwy wycenia się według wartości bieżącej kosztów oszacowanych zgodnie z najlepszą wiedzą przez kierownictwo Spółki, których poniesienie jest niezbędne w celu rozliczenia bieżącego zobowiązania na dzień bilansowy. Stopa dyskonta zastosowana do ustalenia wartości bieżącej odzwierciedla aktualną ocenę rynkową wartości pieniądza w czasie oraz zwiększenia dotyczące danego zobowiązania.</w:t>
      </w:r>
    </w:p>
    <w:p w:rsidR="00B24DA9" w:rsidRPr="00765C97" w:rsidRDefault="00B24DA9" w:rsidP="00135A9A">
      <w:pPr>
        <w:pStyle w:val="Nagwek4"/>
        <w:numPr>
          <w:ilvl w:val="2"/>
          <w:numId w:val="14"/>
        </w:numPr>
        <w:spacing w:before="240" w:after="60"/>
        <w:ind w:left="1276" w:hanging="851"/>
        <w:rPr>
          <w:rFonts w:ascii="Arial" w:hAnsi="Arial"/>
          <w:sz w:val="20"/>
          <w:lang w:val="pl-PL"/>
        </w:rPr>
      </w:pPr>
      <w:r w:rsidRPr="00765C97">
        <w:rPr>
          <w:rFonts w:ascii="Arial" w:hAnsi="Arial"/>
          <w:sz w:val="20"/>
          <w:lang w:val="pl-PL"/>
        </w:rPr>
        <w:t>Odroczony podatek dochodowy</w:t>
      </w: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Jako generalną zasadę przyjmuje się zgodnie z MSR12, iż w związku z przejściowymi różnicami między wykazywaną w księgach rachunkowych wartością aktywów i pasywów, a ich wartością podatkową oraz stratą podatkową możliwą do odliczenia w przyszłości, tworzona jest rezerwa i ustalane aktyw</w:t>
      </w:r>
      <w:r w:rsidR="00675794" w:rsidRPr="00765C97">
        <w:rPr>
          <w:rFonts w:ascii="Arial" w:hAnsi="Arial"/>
          <w:sz w:val="20"/>
          <w:lang w:val="pl-PL"/>
        </w:rPr>
        <w:t>a</w:t>
      </w:r>
      <w:r w:rsidRPr="00765C97">
        <w:rPr>
          <w:rFonts w:ascii="Arial" w:hAnsi="Arial"/>
          <w:sz w:val="20"/>
          <w:lang w:val="pl-PL"/>
        </w:rPr>
        <w:t xml:space="preserve"> z tytułu odroczonego podatku dochodowego.</w:t>
      </w:r>
    </w:p>
    <w:p w:rsidR="00DF05E5" w:rsidRPr="00765C97" w:rsidRDefault="00DF05E5" w:rsidP="000C3C74">
      <w:pPr>
        <w:adjustRightInd w:val="0"/>
        <w:jc w:val="both"/>
        <w:rPr>
          <w:rFonts w:ascii="Arial" w:hAnsi="Arial"/>
          <w:sz w:val="20"/>
          <w:lang w:val="pl-PL"/>
        </w:rPr>
      </w:pPr>
    </w:p>
    <w:p w:rsidR="00675794" w:rsidRPr="00765C97" w:rsidRDefault="00B24DA9" w:rsidP="000C3C74">
      <w:pPr>
        <w:adjustRightInd w:val="0"/>
        <w:jc w:val="both"/>
        <w:rPr>
          <w:rFonts w:ascii="Arial" w:hAnsi="Arial"/>
          <w:sz w:val="20"/>
          <w:lang w:val="pl-PL"/>
        </w:rPr>
      </w:pPr>
      <w:r w:rsidRPr="00765C97">
        <w:rPr>
          <w:rFonts w:ascii="Arial" w:hAnsi="Arial"/>
          <w:sz w:val="20"/>
          <w:lang w:val="pl-PL"/>
        </w:rPr>
        <w:t>Aktyw</w:t>
      </w:r>
      <w:r w:rsidR="00675794" w:rsidRPr="00765C97">
        <w:rPr>
          <w:rFonts w:ascii="Arial" w:hAnsi="Arial"/>
          <w:sz w:val="20"/>
          <w:lang w:val="pl-PL"/>
        </w:rPr>
        <w:t>a</w:t>
      </w:r>
      <w:r w:rsidRPr="00765C97">
        <w:rPr>
          <w:rFonts w:ascii="Arial" w:hAnsi="Arial"/>
          <w:sz w:val="20"/>
          <w:lang w:val="pl-PL"/>
        </w:rPr>
        <w:t xml:space="preserve"> z tytułu odroczonego podatku dochodowego ustala się w wysokości kwoty przewidzianej w przyszłości do odliczenia od podatku dochodowego, w związku z ujemnymi różnicami przejściowymi oraz z tytułu ulgi w podatku dochodowym w związku z prowadzeniem działalności w SSE, które spowodują w przyszłości zmniejszenie podstawy obliczenia podatku dochodowego oraz straty podatkowej możliwej do odliczenia, ustalonej przy uwzględnieniu </w:t>
      </w:r>
      <w:r w:rsidR="00675794" w:rsidRPr="00765C97">
        <w:rPr>
          <w:rFonts w:ascii="Arial" w:hAnsi="Arial"/>
          <w:sz w:val="20"/>
          <w:lang w:val="pl-PL"/>
        </w:rPr>
        <w:t>zasady ostrożności. Ze względu na powyższą zasadę aktywa z tego tytułu ustala się jedynie w rocznym horyzoncie czasowym, przyjmując za bazę do jego ustalenia przeciętny dochód uzyskany z działalności strefowej z okresu 3 lat (łącznie z rokiem, za który jest sporządzane sprawozdanie).</w:t>
      </w:r>
    </w:p>
    <w:p w:rsidR="00B24DA9" w:rsidRPr="00765C97" w:rsidRDefault="00B24DA9"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Zobowiązanie z tytułu odroczonego podatku dochodowego tworzy się w wysokości kwoty podatku dochodowego, wymagającej w przyszłości zapłaty, w związku z występowaniem dodatnich różnic przejściowych, to jest różnic, które spowodują zwiększenie podstawy obliczenia podatku dochodowego w przyszłości.</w:t>
      </w:r>
    </w:p>
    <w:p w:rsidR="00DF05E5" w:rsidRPr="00765C97" w:rsidRDefault="00DF05E5"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Odroczony podatek dochodowy ustala się przy zastosowaniu stawek (i przepisów) podatkowych obowiązujących prawnie lub faktycznie na dzień bilansowy, które zgodnie z oczekiwaniami będą obowiązywać w momencie realizacji odnośnych aktywów z tytułu odroczonego podatku dochodowego lub uregulowania zobowiązania z tytułu odroczonego podatku dochodowego.</w:t>
      </w:r>
    </w:p>
    <w:p w:rsidR="00DF05E5" w:rsidRPr="00765C97" w:rsidRDefault="00DF05E5"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Różnica pomiędzy stanem zobowiązań i aktywów z tytułu podatku odroczonego na koniec i początek okresu sprawozdawczego wpływa na wynik finansowy, przy czym zobowiązania i aktywa z tytułu odroczonego podatku dochodowego dotyczące operacji rozliczanych z kapitałem własnym, odnoszone są również na kapitał własny.</w:t>
      </w:r>
    </w:p>
    <w:p w:rsidR="00B24DA9" w:rsidRPr="00765C97" w:rsidRDefault="00B24DA9" w:rsidP="00135A9A">
      <w:pPr>
        <w:pStyle w:val="Nagwek3"/>
        <w:numPr>
          <w:ilvl w:val="1"/>
          <w:numId w:val="14"/>
        </w:numPr>
        <w:spacing w:after="240"/>
        <w:ind w:left="709" w:hanging="539"/>
        <w:rPr>
          <w:sz w:val="20"/>
          <w:lang w:val="pl-PL"/>
        </w:rPr>
      </w:pPr>
      <w:bookmarkStart w:id="31" w:name="_Toc115093952"/>
      <w:bookmarkStart w:id="32" w:name="_Toc115094331"/>
      <w:bookmarkStart w:id="33" w:name="_Toc115094505"/>
      <w:bookmarkStart w:id="34" w:name="_Toc353973205"/>
      <w:r w:rsidRPr="00765C97">
        <w:rPr>
          <w:sz w:val="20"/>
          <w:lang w:val="pl-PL"/>
        </w:rPr>
        <w:t>Rozpoznawanie przychodów i kosztów</w:t>
      </w:r>
      <w:bookmarkEnd w:id="31"/>
      <w:bookmarkEnd w:id="32"/>
      <w:bookmarkEnd w:id="33"/>
      <w:bookmarkEnd w:id="34"/>
    </w:p>
    <w:p w:rsidR="00B24DA9" w:rsidRPr="00765C97" w:rsidRDefault="00B24DA9" w:rsidP="000C3C74">
      <w:pPr>
        <w:adjustRightInd w:val="0"/>
        <w:jc w:val="both"/>
        <w:rPr>
          <w:rFonts w:ascii="Arial" w:hAnsi="Arial"/>
          <w:sz w:val="20"/>
          <w:lang w:val="pl-PL"/>
        </w:rPr>
      </w:pPr>
      <w:r w:rsidRPr="00765C97">
        <w:rPr>
          <w:rFonts w:ascii="Arial" w:hAnsi="Arial"/>
          <w:sz w:val="20"/>
          <w:lang w:val="pl-PL"/>
        </w:rPr>
        <w:t>Prowadzona przez Grupę Comarch działalność w zdecydowanej większości polega na wytwarzaniu oprogramowania do wielokrotnej sprzedaży oraz na realizacji informatycznych kontraktów integracyjnych. W ramach kontraktów integracyjnych Grupa Comarch oferuje wykonanie systemów informatycznych “pod klucz” składających się z oprogramowania (własnego i obcego) i/lub sprzętu komputerowego i/lub świadczeniu usług takich jak:</w:t>
      </w:r>
    </w:p>
    <w:p w:rsidR="00B24DA9" w:rsidRPr="00765C97" w:rsidRDefault="00B24DA9" w:rsidP="00135A9A">
      <w:pPr>
        <w:numPr>
          <w:ilvl w:val="0"/>
          <w:numId w:val="6"/>
        </w:numPr>
        <w:tabs>
          <w:tab w:val="clear" w:pos="2389"/>
        </w:tabs>
        <w:adjustRightInd w:val="0"/>
        <w:ind w:left="426"/>
        <w:jc w:val="both"/>
        <w:rPr>
          <w:rFonts w:ascii="Arial" w:hAnsi="Arial"/>
          <w:sz w:val="20"/>
          <w:lang w:val="pl-PL"/>
        </w:rPr>
      </w:pPr>
      <w:r w:rsidRPr="00765C97">
        <w:rPr>
          <w:rFonts w:ascii="Arial" w:hAnsi="Arial"/>
          <w:sz w:val="20"/>
          <w:lang w:val="pl-PL"/>
        </w:rPr>
        <w:t>usługi wdrożeniowe,</w:t>
      </w:r>
    </w:p>
    <w:p w:rsidR="00B24DA9" w:rsidRPr="00765C97" w:rsidRDefault="00B24DA9" w:rsidP="00135A9A">
      <w:pPr>
        <w:numPr>
          <w:ilvl w:val="0"/>
          <w:numId w:val="6"/>
        </w:numPr>
        <w:tabs>
          <w:tab w:val="clear" w:pos="2389"/>
        </w:tabs>
        <w:adjustRightInd w:val="0"/>
        <w:ind w:left="426"/>
        <w:jc w:val="both"/>
        <w:rPr>
          <w:rFonts w:ascii="Arial" w:hAnsi="Arial"/>
          <w:sz w:val="20"/>
          <w:lang w:val="pl-PL"/>
        </w:rPr>
      </w:pPr>
      <w:r w:rsidRPr="00765C97">
        <w:rPr>
          <w:rFonts w:ascii="Arial" w:hAnsi="Arial"/>
          <w:sz w:val="20"/>
          <w:lang w:val="pl-PL"/>
        </w:rPr>
        <w:t>usługi instalacyjne,</w:t>
      </w:r>
    </w:p>
    <w:p w:rsidR="00B24DA9" w:rsidRPr="00765C97" w:rsidRDefault="00B24DA9" w:rsidP="00135A9A">
      <w:pPr>
        <w:numPr>
          <w:ilvl w:val="0"/>
          <w:numId w:val="6"/>
        </w:numPr>
        <w:tabs>
          <w:tab w:val="clear" w:pos="2389"/>
        </w:tabs>
        <w:adjustRightInd w:val="0"/>
        <w:ind w:left="426"/>
        <w:jc w:val="both"/>
        <w:rPr>
          <w:rFonts w:ascii="Arial" w:hAnsi="Arial"/>
          <w:sz w:val="20"/>
          <w:lang w:val="pl-PL"/>
        </w:rPr>
      </w:pPr>
      <w:r w:rsidRPr="00765C97">
        <w:rPr>
          <w:rFonts w:ascii="Arial" w:hAnsi="Arial"/>
          <w:sz w:val="20"/>
          <w:lang w:val="pl-PL"/>
        </w:rPr>
        <w:t>serwis gwarancyjny i pogwarancyjny,</w:t>
      </w:r>
    </w:p>
    <w:p w:rsidR="00B24DA9" w:rsidRPr="00765C97" w:rsidRDefault="00B24DA9" w:rsidP="00135A9A">
      <w:pPr>
        <w:numPr>
          <w:ilvl w:val="0"/>
          <w:numId w:val="6"/>
        </w:numPr>
        <w:tabs>
          <w:tab w:val="clear" w:pos="2389"/>
        </w:tabs>
        <w:adjustRightInd w:val="0"/>
        <w:ind w:left="426"/>
        <w:jc w:val="both"/>
        <w:rPr>
          <w:rFonts w:ascii="Arial" w:hAnsi="Arial"/>
          <w:sz w:val="20"/>
          <w:lang w:val="pl-PL"/>
        </w:rPr>
      </w:pPr>
      <w:r w:rsidRPr="00765C97">
        <w:rPr>
          <w:rFonts w:ascii="Arial" w:hAnsi="Arial"/>
          <w:sz w:val="20"/>
          <w:lang w:val="pl-PL"/>
        </w:rPr>
        <w:t>usługi asysty technicznej,</w:t>
      </w:r>
    </w:p>
    <w:p w:rsidR="00B24DA9" w:rsidRPr="00765C97" w:rsidRDefault="00B24DA9" w:rsidP="00135A9A">
      <w:pPr>
        <w:numPr>
          <w:ilvl w:val="0"/>
          <w:numId w:val="6"/>
        </w:numPr>
        <w:tabs>
          <w:tab w:val="clear" w:pos="2389"/>
        </w:tabs>
        <w:adjustRightInd w:val="0"/>
        <w:ind w:left="426"/>
        <w:jc w:val="both"/>
        <w:rPr>
          <w:rFonts w:ascii="Arial" w:hAnsi="Arial"/>
          <w:sz w:val="20"/>
          <w:lang w:val="pl-PL"/>
        </w:rPr>
      </w:pPr>
      <w:r w:rsidRPr="00765C97">
        <w:rPr>
          <w:rFonts w:ascii="Arial" w:hAnsi="Arial"/>
          <w:sz w:val="20"/>
          <w:lang w:val="pl-PL"/>
        </w:rPr>
        <w:t>usługi c</w:t>
      </w:r>
      <w:r w:rsidRPr="00765C97">
        <w:rPr>
          <w:rFonts w:ascii="Arial" w:hAnsi="Arial"/>
          <w:i/>
          <w:sz w:val="20"/>
          <w:lang w:val="pl-PL"/>
        </w:rPr>
        <w:t>ustomizacji</w:t>
      </w:r>
      <w:r w:rsidRPr="00765C97">
        <w:rPr>
          <w:rFonts w:ascii="Arial" w:hAnsi="Arial"/>
          <w:sz w:val="20"/>
          <w:lang w:val="pl-PL"/>
        </w:rPr>
        <w:t xml:space="preserve"> (dostosowania) oprogramowania,</w:t>
      </w:r>
    </w:p>
    <w:p w:rsidR="00B24DA9" w:rsidRPr="00765C97" w:rsidRDefault="00B24DA9" w:rsidP="00135A9A">
      <w:pPr>
        <w:numPr>
          <w:ilvl w:val="0"/>
          <w:numId w:val="6"/>
        </w:numPr>
        <w:tabs>
          <w:tab w:val="clear" w:pos="2389"/>
        </w:tabs>
        <w:adjustRightInd w:val="0"/>
        <w:ind w:left="426"/>
        <w:jc w:val="both"/>
        <w:rPr>
          <w:rFonts w:ascii="Arial" w:hAnsi="Arial"/>
          <w:sz w:val="20"/>
          <w:lang w:val="pl-PL"/>
        </w:rPr>
      </w:pPr>
      <w:r w:rsidRPr="00765C97">
        <w:rPr>
          <w:rFonts w:ascii="Arial" w:hAnsi="Arial"/>
          <w:sz w:val="20"/>
          <w:lang w:val="pl-PL"/>
        </w:rPr>
        <w:t>inne usługi informatyczne i nieinformatyczne niezbędne do realizacji systemu.</w:t>
      </w:r>
    </w:p>
    <w:p w:rsidR="00B24DA9" w:rsidRPr="00765C97" w:rsidRDefault="00B24DA9" w:rsidP="007751B8">
      <w:pPr>
        <w:adjustRightInd w:val="0"/>
        <w:ind w:left="426"/>
        <w:jc w:val="both"/>
        <w:rPr>
          <w:rFonts w:ascii="Arial" w:hAnsi="Arial"/>
          <w:sz w:val="20"/>
          <w:lang w:val="pl-PL"/>
        </w:rPr>
      </w:pPr>
    </w:p>
    <w:p w:rsidR="00B24DA9" w:rsidRPr="00765C97" w:rsidRDefault="00B24DA9" w:rsidP="007751B8">
      <w:pPr>
        <w:adjustRightInd w:val="0"/>
        <w:jc w:val="both"/>
        <w:rPr>
          <w:rFonts w:ascii="Arial" w:hAnsi="Arial"/>
          <w:sz w:val="20"/>
          <w:lang w:val="pl-PL"/>
        </w:rPr>
      </w:pPr>
      <w:r w:rsidRPr="00765C97">
        <w:rPr>
          <w:rFonts w:ascii="Arial" w:hAnsi="Arial"/>
          <w:sz w:val="20"/>
          <w:lang w:val="pl-PL"/>
        </w:rPr>
        <w:t>Przy ustalaniu całkowitych przychodów z kontraktu uwzględnia się:</w:t>
      </w:r>
    </w:p>
    <w:p w:rsidR="00B24DA9" w:rsidRPr="00765C97" w:rsidRDefault="00B24DA9" w:rsidP="00135A9A">
      <w:pPr>
        <w:numPr>
          <w:ilvl w:val="0"/>
          <w:numId w:val="7"/>
        </w:numPr>
        <w:tabs>
          <w:tab w:val="clear" w:pos="2389"/>
          <w:tab w:val="left" w:pos="600"/>
        </w:tabs>
        <w:adjustRightInd w:val="0"/>
        <w:ind w:left="426"/>
        <w:jc w:val="both"/>
        <w:rPr>
          <w:rFonts w:ascii="Arial" w:hAnsi="Arial"/>
          <w:sz w:val="20"/>
          <w:lang w:val="pl-PL"/>
        </w:rPr>
      </w:pPr>
      <w:r w:rsidRPr="00765C97">
        <w:rPr>
          <w:rFonts w:ascii="Arial" w:hAnsi="Arial"/>
          <w:sz w:val="20"/>
          <w:lang w:val="pl-PL"/>
        </w:rPr>
        <w:t>przychody z oprogramowania własnego (niezależnie od formy, w jakiej oprogramowanie to jest udostępniane, czyli: licencje, prawa majątkowe, itp.),</w:t>
      </w:r>
    </w:p>
    <w:p w:rsidR="00B24DA9" w:rsidRPr="00765C97" w:rsidRDefault="00B24DA9" w:rsidP="00135A9A">
      <w:pPr>
        <w:numPr>
          <w:ilvl w:val="0"/>
          <w:numId w:val="7"/>
        </w:numPr>
        <w:tabs>
          <w:tab w:val="clear" w:pos="2389"/>
          <w:tab w:val="left" w:pos="600"/>
        </w:tabs>
        <w:adjustRightInd w:val="0"/>
        <w:ind w:left="426"/>
        <w:jc w:val="both"/>
        <w:rPr>
          <w:rFonts w:ascii="Arial" w:hAnsi="Arial"/>
          <w:sz w:val="20"/>
          <w:lang w:val="pl-PL"/>
        </w:rPr>
      </w:pPr>
      <w:r w:rsidRPr="00765C97">
        <w:rPr>
          <w:rFonts w:ascii="Arial" w:hAnsi="Arial"/>
          <w:sz w:val="20"/>
          <w:lang w:val="pl-PL"/>
        </w:rPr>
        <w:t>przychody z usług, o których mowa w poprzednim akapicie.</w:t>
      </w:r>
    </w:p>
    <w:p w:rsidR="00B24DA9" w:rsidRPr="00765C97" w:rsidRDefault="00B24DA9"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 xml:space="preserve">Kierownicy jednostek mogą podjąć decyzję o zaliczeniu do całkowitych przychodów z kontraktu szacowanych przychodów, dla których istnieje duże prawdopodobieństwo, że zostaną zrealizowane (np. w trakcie realizacji kontraktu z przyczyn technicznych następuje modyfikacja projektu i istnieje uzasadnione prawdopodobieństwo, że zamawiający zaakceptuje modyfikację i wysokość przychodów wynikających z tej modyfikacji). </w:t>
      </w:r>
    </w:p>
    <w:p w:rsidR="00B24DA9" w:rsidRPr="00765C97" w:rsidRDefault="00B24DA9"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 xml:space="preserve">Dla kontraktów integracyjnych, w ramach których dostarczane jest oprogramowanie autorstwa Grupy Comarch przeznaczone do wielokrotnej sprzedaży, osobno ujmuje się w księgach przychody i koszty związane z tym oprogramowaniem oraz przychody i koszty związane z pozostałą częścią kontraktu integracyjnego. </w:t>
      </w:r>
    </w:p>
    <w:p w:rsidR="00B24DA9" w:rsidRPr="00765C97" w:rsidRDefault="00B24DA9"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Różne kontrakty integracyjne łączy się i ujmuje w księgach razem jako jeden kontrakt, jeżeli:</w:t>
      </w:r>
    </w:p>
    <w:p w:rsidR="00B24DA9" w:rsidRPr="00765C97" w:rsidRDefault="00B24DA9" w:rsidP="00135A9A">
      <w:pPr>
        <w:numPr>
          <w:ilvl w:val="1"/>
          <w:numId w:val="8"/>
        </w:numPr>
        <w:tabs>
          <w:tab w:val="clear" w:pos="1620"/>
        </w:tabs>
        <w:adjustRightInd w:val="0"/>
        <w:ind w:left="426"/>
        <w:jc w:val="both"/>
        <w:rPr>
          <w:rFonts w:ascii="Arial" w:hAnsi="Arial"/>
          <w:sz w:val="20"/>
          <w:lang w:val="pl-PL"/>
        </w:rPr>
      </w:pPr>
      <w:r w:rsidRPr="00765C97">
        <w:rPr>
          <w:rFonts w:ascii="Arial" w:hAnsi="Arial"/>
          <w:sz w:val="20"/>
          <w:lang w:val="pl-PL"/>
        </w:rPr>
        <w:t>umowy są realizowane jednocześnie lub w ciągłej sekwencji czasowej i precyzyjne rozdzielenie kosztów ich realizacji jest niemożliwe lub</w:t>
      </w:r>
    </w:p>
    <w:p w:rsidR="00B24DA9" w:rsidRPr="00765C97" w:rsidRDefault="00B24DA9" w:rsidP="00135A9A">
      <w:pPr>
        <w:numPr>
          <w:ilvl w:val="1"/>
          <w:numId w:val="8"/>
        </w:numPr>
        <w:tabs>
          <w:tab w:val="clear" w:pos="1620"/>
        </w:tabs>
        <w:adjustRightInd w:val="0"/>
        <w:ind w:left="426"/>
        <w:jc w:val="both"/>
        <w:rPr>
          <w:rFonts w:ascii="Arial" w:hAnsi="Arial"/>
          <w:sz w:val="20"/>
          <w:lang w:val="pl-PL"/>
        </w:rPr>
      </w:pPr>
      <w:r w:rsidRPr="00765C97">
        <w:rPr>
          <w:rFonts w:ascii="Arial" w:hAnsi="Arial"/>
          <w:sz w:val="20"/>
          <w:lang w:val="pl-PL"/>
        </w:rPr>
        <w:t>umowy są tak ściśle powiązane ze sobą, że w rzeczywistości są one częścią pojedynczego projektu ze wspólną dla całego projektu marżą zysku.</w:t>
      </w:r>
    </w:p>
    <w:p w:rsidR="00B24DA9" w:rsidRPr="00765C97" w:rsidRDefault="00B24DA9"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Przychody z tytułu pozostałych usług (np. usługi serwisowe, usługi asysty) rozpoznaje się równomiernie w okresie trwania umowy/świadczenia usług. Przychody ze sprzedaży sprzętu komputerowego oraz innych towarów rozpoznaje się zgodnie z ustalonymi warunkami dostawy.</w:t>
      </w:r>
    </w:p>
    <w:p w:rsidR="00B24DA9" w:rsidRPr="00765C97" w:rsidRDefault="00B24DA9"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Przychody ze sprzedaży pozostałych usług, produktów, towarów i innych składników majątkowych obejmują sumy wartości godziwych należnych zafakturowanych przychodów, z uwzględnieniem upustów i rabatów bez podatku od towarów i usług.</w:t>
      </w:r>
    </w:p>
    <w:p w:rsidR="00B24DA9" w:rsidRPr="00765C97" w:rsidRDefault="00B24DA9" w:rsidP="000C3C74">
      <w:pPr>
        <w:adjustRightInd w:val="0"/>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Koszty sprzedaży obejmują koszty marketingu oraz koszty pozyskania nowych zleceń przez centra (działy) sprzedaży Grupy Comarch.</w:t>
      </w:r>
    </w:p>
    <w:p w:rsidR="00B24DA9" w:rsidRPr="00765C97" w:rsidRDefault="00B24DA9" w:rsidP="000C3C74">
      <w:pPr>
        <w:adjustRightInd w:val="0"/>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Koszty ogólne obejmują koszty funkcjonowania Grupy Comarch jako całości i zalicza się do nich w szczególności koszty zarządu oraz koszty działów pracujących na potrzeby ogólne Grupy.</w:t>
      </w: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Różnice kursowe dotyczące należności ujmowane są w pozycji przychody ze sprzedaży a od zobowiązań w pozycji koszt sprzedanych produktów, usług i towarów.</w:t>
      </w:r>
    </w:p>
    <w:p w:rsidR="00B24DA9" w:rsidRPr="00765C97" w:rsidRDefault="00B24DA9" w:rsidP="000C3C74">
      <w:pPr>
        <w:adjustRightInd w:val="0"/>
        <w:jc w:val="both"/>
        <w:rPr>
          <w:rFonts w:ascii="Arial" w:hAnsi="Arial"/>
          <w:b/>
          <w:sz w:val="20"/>
          <w:lang w:val="pl-PL"/>
        </w:rPr>
      </w:pPr>
    </w:p>
    <w:p w:rsidR="00B24DA9" w:rsidRPr="00765C97" w:rsidRDefault="00B24DA9" w:rsidP="000C3C74">
      <w:pPr>
        <w:adjustRightInd w:val="0"/>
        <w:jc w:val="both"/>
        <w:rPr>
          <w:rFonts w:ascii="Arial" w:hAnsi="Arial"/>
          <w:b/>
          <w:sz w:val="20"/>
          <w:lang w:val="pl-PL"/>
        </w:rPr>
      </w:pPr>
      <w:r w:rsidRPr="00765C97">
        <w:rPr>
          <w:rFonts w:ascii="Arial" w:hAnsi="Arial"/>
          <w:b/>
          <w:sz w:val="20"/>
          <w:lang w:val="pl-PL"/>
        </w:rPr>
        <w:t>Dotacje</w:t>
      </w: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Grupa otrzymuje dotacje na finansowanie prac badawczo-rozwojowych w ramach programów pomocy unijnej. Dotacje te ujmuje się w sposób systematyczny jako przychód w poszczególnych okresach, tak aby zapewnić ich współmierność z ponoszonymi kosztami, które dotacje te mają kompensować, stosownie do celu ich rozliczenia. Dotacje te pomniejszają odpowiednie koszty bezpośrednie, które to koszty po skompensowaniu ich z dotacją prezentowane są w koszcie sprzedanych produktów, usług i materiałów.</w:t>
      </w:r>
    </w:p>
    <w:p w:rsidR="00B24DA9" w:rsidRPr="00765C97" w:rsidRDefault="00B24DA9" w:rsidP="000C3C74">
      <w:pPr>
        <w:adjustRightInd w:val="0"/>
        <w:jc w:val="both"/>
        <w:rPr>
          <w:rFonts w:ascii="Arial" w:hAnsi="Arial"/>
          <w:sz w:val="20"/>
          <w:lang w:val="pl-PL"/>
        </w:rPr>
      </w:pPr>
    </w:p>
    <w:p w:rsidR="00B24DA9" w:rsidRPr="00765C97" w:rsidRDefault="00B24DA9" w:rsidP="000C3C74">
      <w:pPr>
        <w:adjustRightInd w:val="0"/>
        <w:rPr>
          <w:rFonts w:ascii="Arial" w:hAnsi="Arial"/>
          <w:b/>
          <w:sz w:val="20"/>
          <w:lang w:val="pl-PL"/>
        </w:rPr>
      </w:pPr>
      <w:r w:rsidRPr="00765C97">
        <w:rPr>
          <w:rFonts w:ascii="Arial" w:hAnsi="Arial"/>
          <w:b/>
          <w:sz w:val="20"/>
          <w:lang w:val="pl-PL"/>
        </w:rPr>
        <w:t>a) Pozostałe przychody i koszty operacyjne</w:t>
      </w:r>
    </w:p>
    <w:p w:rsidR="00B24DA9" w:rsidRPr="00765C97" w:rsidRDefault="00B24DA9" w:rsidP="000C3C74">
      <w:pPr>
        <w:adjustRightInd w:val="0"/>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 xml:space="preserve">Obejmują przychody i koszty niezwiązane bezpośrednio ze zwykłą działalnością jednostek i obejmują głównie: wynik na sprzedaży rzeczowych aktywów trwałych oraz wartości niematerialnych, darowizny, utworzone rezerwy, skutki aktualizacji wartości aktywów. </w:t>
      </w:r>
    </w:p>
    <w:p w:rsidR="00B24DA9" w:rsidRPr="00765C97" w:rsidRDefault="00B24DA9"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b/>
          <w:sz w:val="20"/>
          <w:lang w:val="pl-PL"/>
        </w:rPr>
      </w:pPr>
      <w:r w:rsidRPr="00765C97">
        <w:rPr>
          <w:rFonts w:ascii="Arial" w:hAnsi="Arial"/>
          <w:b/>
          <w:sz w:val="20"/>
          <w:lang w:val="pl-PL"/>
        </w:rPr>
        <w:t>b) Przychody i koszty finansowe</w:t>
      </w:r>
    </w:p>
    <w:p w:rsidR="00B24DA9" w:rsidRPr="00765C97" w:rsidRDefault="00B24DA9" w:rsidP="000C3C74">
      <w:pPr>
        <w:adjustRightInd w:val="0"/>
        <w:jc w:val="both"/>
        <w:rPr>
          <w:rFonts w:ascii="Arial" w:hAnsi="Arial"/>
          <w:sz w:val="20"/>
          <w:lang w:val="pl-PL"/>
        </w:rPr>
      </w:pP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Obejmują głównie przychody i koszty z tytułu odsetek, wynik osiągnięty z tytułu różnic kursowych z działalności finansowej, ze zbycia aktywów finansowych, skutki aktualizacji wartości inwestycji.</w:t>
      </w: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Koszty odsetek płaconych od kredytu inwestycyjnego ujmowane są w kosztach finansowych od momentu przyjęcia do użytkowania środka sfinansowanego kredytem.</w:t>
      </w:r>
    </w:p>
    <w:p w:rsidR="00B24DA9" w:rsidRPr="00765C97" w:rsidRDefault="00B24DA9" w:rsidP="00135A9A">
      <w:pPr>
        <w:pStyle w:val="Nagwek3"/>
        <w:numPr>
          <w:ilvl w:val="1"/>
          <w:numId w:val="14"/>
        </w:numPr>
        <w:spacing w:after="240"/>
        <w:ind w:left="709" w:hanging="539"/>
        <w:rPr>
          <w:sz w:val="20"/>
          <w:lang w:val="pl-PL"/>
        </w:rPr>
      </w:pPr>
      <w:bookmarkStart w:id="35" w:name="_Toc115093953"/>
      <w:bookmarkStart w:id="36" w:name="_Toc115094332"/>
      <w:bookmarkStart w:id="37" w:name="_Toc115094506"/>
      <w:bookmarkStart w:id="38" w:name="_Toc353973206"/>
      <w:r w:rsidRPr="00765C97">
        <w:rPr>
          <w:sz w:val="20"/>
          <w:lang w:val="pl-PL"/>
        </w:rPr>
        <w:t>Zarządzanie ryzykiem finansowym</w:t>
      </w:r>
      <w:bookmarkEnd w:id="35"/>
      <w:bookmarkEnd w:id="36"/>
      <w:bookmarkEnd w:id="37"/>
      <w:bookmarkEnd w:id="38"/>
    </w:p>
    <w:p w:rsidR="00B24DA9" w:rsidRPr="00765C97" w:rsidRDefault="004E7E0A" w:rsidP="00135A9A">
      <w:pPr>
        <w:pStyle w:val="Nagwek4"/>
        <w:numPr>
          <w:ilvl w:val="2"/>
          <w:numId w:val="14"/>
        </w:numPr>
        <w:spacing w:before="240" w:after="60"/>
        <w:ind w:left="1276" w:hanging="851"/>
        <w:rPr>
          <w:sz w:val="20"/>
          <w:lang w:val="pl-PL"/>
        </w:rPr>
      </w:pPr>
      <w:r w:rsidRPr="00765C97">
        <w:rPr>
          <w:rFonts w:ascii="Arial" w:hAnsi="Arial"/>
          <w:sz w:val="20"/>
          <w:lang w:val="pl-PL"/>
        </w:rPr>
        <w:t>R</w:t>
      </w:r>
      <w:r w:rsidR="00B24DA9" w:rsidRPr="00765C97">
        <w:rPr>
          <w:rFonts w:ascii="Arial" w:hAnsi="Arial"/>
          <w:sz w:val="20"/>
          <w:lang w:val="pl-PL"/>
        </w:rPr>
        <w:t>yzyko kredytowe</w:t>
      </w:r>
    </w:p>
    <w:p w:rsidR="00B24DA9" w:rsidRPr="00765C97" w:rsidRDefault="00CC0764" w:rsidP="000C3C74">
      <w:pPr>
        <w:widowControl/>
        <w:autoSpaceDE/>
        <w:autoSpaceDN/>
        <w:jc w:val="both"/>
        <w:rPr>
          <w:rFonts w:ascii="Arial" w:hAnsi="Arial"/>
          <w:sz w:val="20"/>
          <w:lang w:val="pl-PL"/>
        </w:rPr>
      </w:pPr>
      <w:r w:rsidRPr="00765C97">
        <w:rPr>
          <w:rFonts w:ascii="Arial" w:hAnsi="Arial" w:cs="Arial"/>
          <w:bCs/>
          <w:sz w:val="20"/>
          <w:szCs w:val="20"/>
          <w:lang w:val="pl-PL"/>
        </w:rPr>
        <w:t>Grupa analizuje wiarygodność finansową potencjalnych klientów przed zawarciem umów na dostawę systemów informatycznych i w zależności od oceny standingu finansowego dostosowuje warunki każdej umowy do potencjalnego ryzyka. Koncentracja ryzyka kredytowego jest ograniczona ze względu na dywersyfikację sprzedaży Grupy do znacznej liczby kontrahentów z różnych branż gospodarki i z różnych regionów świata.</w:t>
      </w:r>
      <w:r w:rsidR="00B24DA9" w:rsidRPr="00765C97">
        <w:rPr>
          <w:rFonts w:ascii="Arial" w:hAnsi="Arial"/>
          <w:sz w:val="20"/>
          <w:lang w:val="pl-PL"/>
        </w:rPr>
        <w:t xml:space="preserve"> </w:t>
      </w:r>
    </w:p>
    <w:p w:rsidR="00B24DA9" w:rsidRPr="00765C97" w:rsidRDefault="004E7E0A" w:rsidP="00135A9A">
      <w:pPr>
        <w:pStyle w:val="Nagwek4"/>
        <w:numPr>
          <w:ilvl w:val="2"/>
          <w:numId w:val="14"/>
        </w:numPr>
        <w:spacing w:before="240" w:after="60"/>
        <w:ind w:left="1276" w:hanging="851"/>
        <w:rPr>
          <w:sz w:val="20"/>
          <w:lang w:val="pl-PL"/>
        </w:rPr>
      </w:pPr>
      <w:r w:rsidRPr="00765C97">
        <w:rPr>
          <w:rFonts w:ascii="Arial" w:hAnsi="Arial"/>
          <w:sz w:val="20"/>
          <w:lang w:val="pl-PL"/>
        </w:rPr>
        <w:t>Ry</w:t>
      </w:r>
      <w:r w:rsidR="00B24DA9" w:rsidRPr="00765C97">
        <w:rPr>
          <w:rFonts w:ascii="Arial" w:hAnsi="Arial"/>
          <w:sz w:val="20"/>
          <w:lang w:val="pl-PL"/>
        </w:rPr>
        <w:t>zyko zmiany stóp procentowych</w:t>
      </w:r>
    </w:p>
    <w:p w:rsidR="00B24DA9" w:rsidRPr="00765C97" w:rsidRDefault="00B24DA9" w:rsidP="000C3C74">
      <w:pPr>
        <w:widowControl/>
        <w:autoSpaceDE/>
        <w:autoSpaceDN/>
        <w:jc w:val="both"/>
        <w:rPr>
          <w:rFonts w:ascii="Arial" w:hAnsi="Arial"/>
          <w:sz w:val="20"/>
          <w:lang w:val="pl-PL"/>
        </w:rPr>
      </w:pPr>
      <w:r w:rsidRPr="00765C97">
        <w:rPr>
          <w:rFonts w:ascii="Arial" w:hAnsi="Arial"/>
          <w:sz w:val="20"/>
          <w:lang w:val="pl-PL"/>
        </w:rPr>
        <w:t xml:space="preserve">Jednostka dominująca </w:t>
      </w:r>
      <w:r w:rsidR="00CC0764" w:rsidRPr="00765C97">
        <w:rPr>
          <w:rFonts w:ascii="Arial" w:hAnsi="Arial" w:cs="Arial"/>
          <w:bCs/>
          <w:sz w:val="20"/>
          <w:szCs w:val="20"/>
          <w:lang w:val="pl-PL"/>
        </w:rPr>
        <w:t xml:space="preserve">jest narażona na ryzyko zmian stóp procentowych w związku z posiadanymi środkami pieniężnymi i ich ekwiwalentami oraz z zawartymi długoterminowymi kredytami inwestycyjnymi przeznaczonymi na finansowanie nowych budynków produkcyjnych w Specjalnej Strefie Ekonomicznej w Krakowie. Kredyty są oprocentowane wg zmiennej stopy procentowej opartej o stawkę WIBOR oraz LIBOR. </w:t>
      </w:r>
      <w:r w:rsidR="00CC0764" w:rsidRPr="00765C97">
        <w:rPr>
          <w:rFonts w:ascii="Arial" w:hAnsi="Arial"/>
          <w:sz w:val="20"/>
          <w:lang w:val="pl-PL"/>
        </w:rPr>
        <w:t>Jednostka dominująca</w:t>
      </w:r>
      <w:r w:rsidR="00CC0764" w:rsidRPr="00765C97">
        <w:rPr>
          <w:rFonts w:ascii="Arial" w:hAnsi="Arial" w:cs="Arial"/>
          <w:bCs/>
          <w:sz w:val="20"/>
          <w:szCs w:val="20"/>
          <w:lang w:val="pl-PL"/>
        </w:rPr>
        <w:t xml:space="preserve"> nie dokonywała zabezpieczenia ryzyka stopy procentowej w tym obszarze, jednakże prowadzi stały monitoring sytuacji rynkowej w tym zakresie. Wpływ zmiany stóp procentowych na wysokość płaconych odsetek od kredytów jest częściowo kompensowany przez zmianę odsetek otrzymywanych od posiadanych środków pieniężnych.</w:t>
      </w:r>
      <w:r w:rsidRPr="00765C97">
        <w:rPr>
          <w:rFonts w:ascii="Arial" w:hAnsi="Arial"/>
          <w:sz w:val="20"/>
          <w:lang w:val="pl-PL"/>
        </w:rPr>
        <w:t xml:space="preserve"> </w:t>
      </w:r>
    </w:p>
    <w:p w:rsidR="00D13ADA" w:rsidRPr="00765C97" w:rsidRDefault="00D13ADA" w:rsidP="000C3C74">
      <w:pPr>
        <w:widowControl/>
        <w:autoSpaceDE/>
        <w:autoSpaceDN/>
        <w:jc w:val="both"/>
        <w:rPr>
          <w:rFonts w:ascii="Arial" w:hAnsi="Arial" w:cs="Arial"/>
          <w:sz w:val="20"/>
          <w:szCs w:val="20"/>
          <w:lang w:val="pl-PL"/>
        </w:rPr>
      </w:pPr>
    </w:p>
    <w:p w:rsidR="00B24DA9" w:rsidRPr="00765C97" w:rsidRDefault="00425ABE" w:rsidP="000C3C74">
      <w:pPr>
        <w:widowControl/>
        <w:autoSpaceDE/>
        <w:autoSpaceDN/>
        <w:jc w:val="both"/>
        <w:rPr>
          <w:rFonts w:ascii="Arial" w:hAnsi="Arial"/>
          <w:sz w:val="20"/>
          <w:lang w:val="pl-PL" w:eastAsia="pl-PL"/>
        </w:rPr>
      </w:pPr>
      <w:r w:rsidRPr="00765C97">
        <w:rPr>
          <w:rFonts w:ascii="Arial" w:hAnsi="Arial" w:cs="Arial"/>
          <w:sz w:val="20"/>
          <w:szCs w:val="20"/>
          <w:lang w:val="pl-PL"/>
        </w:rPr>
        <w:t>Analiza wrażliwości wyniku finansowego Grupy na ryzyko stopy procentowej dokonana zgodnie z zasadami MSSF 7, wskazuje, że jeśli na dzień bilansowy stopy procentowe byłyby wyższe/niższe o 50 punktów bazowych, zysk netto za rok 201</w:t>
      </w:r>
      <w:r w:rsidR="00CF3AB4" w:rsidRPr="00765C97">
        <w:rPr>
          <w:rFonts w:ascii="Arial" w:hAnsi="Arial" w:cs="Arial"/>
          <w:sz w:val="20"/>
          <w:szCs w:val="20"/>
          <w:lang w:val="pl-PL"/>
        </w:rPr>
        <w:t>2</w:t>
      </w:r>
      <w:r w:rsidRPr="00765C97">
        <w:rPr>
          <w:rFonts w:ascii="Arial" w:hAnsi="Arial" w:cs="Arial"/>
          <w:sz w:val="20"/>
          <w:szCs w:val="20"/>
          <w:lang w:val="pl-PL"/>
        </w:rPr>
        <w:t xml:space="preserve"> r. byłby o</w:t>
      </w:r>
      <w:r w:rsidR="00CF3AB4" w:rsidRPr="00765C97">
        <w:rPr>
          <w:rFonts w:ascii="Arial" w:hAnsi="Arial" w:cs="Arial"/>
          <w:sz w:val="20"/>
          <w:szCs w:val="20"/>
          <w:lang w:val="pl-PL"/>
        </w:rPr>
        <w:t xml:space="preserve"> 56</w:t>
      </w:r>
      <w:r w:rsidRPr="00765C97">
        <w:rPr>
          <w:rFonts w:ascii="Arial" w:hAnsi="Arial" w:cs="Arial"/>
          <w:sz w:val="20"/>
          <w:szCs w:val="20"/>
          <w:lang w:val="pl-PL"/>
        </w:rPr>
        <w:t xml:space="preserve"> tys. PLN wyższy/niższy, przy pozostałych zmienny</w:t>
      </w:r>
      <w:r w:rsidR="00675794" w:rsidRPr="00765C97">
        <w:rPr>
          <w:rFonts w:ascii="Arial" w:hAnsi="Arial" w:cs="Arial"/>
          <w:sz w:val="20"/>
          <w:szCs w:val="20"/>
          <w:lang w:val="pl-PL"/>
        </w:rPr>
        <w:t>ch</w:t>
      </w:r>
      <w:r w:rsidRPr="00765C97">
        <w:rPr>
          <w:rFonts w:ascii="Arial" w:hAnsi="Arial" w:cs="Arial"/>
          <w:sz w:val="20"/>
          <w:szCs w:val="20"/>
          <w:lang w:val="pl-PL"/>
        </w:rPr>
        <w:t xml:space="preserve"> na stałym poziomie. Byłoby to głównie skutkiem znaczącego wzrostu</w:t>
      </w:r>
      <w:r w:rsidR="006A4753" w:rsidRPr="00765C97">
        <w:rPr>
          <w:rFonts w:ascii="Arial" w:hAnsi="Arial" w:cs="Arial"/>
          <w:sz w:val="20"/>
          <w:szCs w:val="20"/>
          <w:lang w:val="pl-PL"/>
        </w:rPr>
        <w:t>/spadku</w:t>
      </w:r>
      <w:r w:rsidRPr="00765C97">
        <w:rPr>
          <w:rFonts w:ascii="Arial" w:hAnsi="Arial" w:cs="Arial"/>
          <w:sz w:val="20"/>
          <w:szCs w:val="20"/>
          <w:lang w:val="pl-PL"/>
        </w:rPr>
        <w:t xml:space="preserve"> przychodów z tytułu odsetek od środków pieniężnych. Analogiczna analiza na dzień 31 grudnia 20</w:t>
      </w:r>
      <w:r w:rsidR="007F46E3" w:rsidRPr="00765C97">
        <w:rPr>
          <w:rFonts w:ascii="Arial" w:hAnsi="Arial" w:cs="Arial"/>
          <w:sz w:val="20"/>
          <w:szCs w:val="20"/>
          <w:lang w:val="pl-PL"/>
        </w:rPr>
        <w:t>1</w:t>
      </w:r>
      <w:r w:rsidR="00CF3AB4" w:rsidRPr="00765C97">
        <w:rPr>
          <w:rFonts w:ascii="Arial" w:hAnsi="Arial" w:cs="Arial"/>
          <w:sz w:val="20"/>
          <w:szCs w:val="20"/>
          <w:lang w:val="pl-PL"/>
        </w:rPr>
        <w:t>1</w:t>
      </w:r>
      <w:r w:rsidRPr="00765C97">
        <w:rPr>
          <w:rFonts w:ascii="Arial" w:hAnsi="Arial" w:cs="Arial"/>
          <w:sz w:val="20"/>
          <w:szCs w:val="20"/>
          <w:lang w:val="pl-PL"/>
        </w:rPr>
        <w:t xml:space="preserve"> wskazuje, że jeśli stopy procentowe byłyby wyższe/niższe o 50 punktów bazowych, zysk netto za rok 20</w:t>
      </w:r>
      <w:r w:rsidR="00CF3AB4" w:rsidRPr="00765C97">
        <w:rPr>
          <w:rFonts w:ascii="Arial" w:hAnsi="Arial" w:cs="Arial"/>
          <w:sz w:val="20"/>
          <w:szCs w:val="20"/>
          <w:lang w:val="pl-PL"/>
        </w:rPr>
        <w:t>11</w:t>
      </w:r>
      <w:r w:rsidRPr="00765C97">
        <w:rPr>
          <w:rFonts w:ascii="Arial" w:hAnsi="Arial" w:cs="Arial"/>
          <w:sz w:val="20"/>
          <w:szCs w:val="20"/>
          <w:lang w:val="pl-PL"/>
        </w:rPr>
        <w:t xml:space="preserve"> r. byłby o </w:t>
      </w:r>
      <w:r w:rsidR="00CF3AB4" w:rsidRPr="00765C97">
        <w:rPr>
          <w:rFonts w:ascii="Arial" w:hAnsi="Arial" w:cs="Arial"/>
          <w:sz w:val="20"/>
          <w:szCs w:val="20"/>
          <w:lang w:val="pl-PL"/>
        </w:rPr>
        <w:t>385</w:t>
      </w:r>
      <w:r w:rsidRPr="00765C97">
        <w:rPr>
          <w:rFonts w:ascii="Arial" w:hAnsi="Arial" w:cs="Arial"/>
          <w:sz w:val="20"/>
          <w:szCs w:val="20"/>
          <w:lang w:val="pl-PL"/>
        </w:rPr>
        <w:t xml:space="preserve"> tys. PLN wyższy/niższy, przy pozostałych zmienny</w:t>
      </w:r>
      <w:r w:rsidR="00F403DE" w:rsidRPr="00765C97">
        <w:rPr>
          <w:rFonts w:ascii="Arial" w:hAnsi="Arial" w:cs="Arial"/>
          <w:sz w:val="20"/>
          <w:szCs w:val="20"/>
          <w:lang w:val="pl-PL"/>
        </w:rPr>
        <w:t>ch</w:t>
      </w:r>
      <w:r w:rsidRPr="00765C97">
        <w:rPr>
          <w:rFonts w:ascii="Arial" w:hAnsi="Arial" w:cs="Arial"/>
          <w:sz w:val="20"/>
          <w:szCs w:val="20"/>
          <w:lang w:val="pl-PL"/>
        </w:rPr>
        <w:t xml:space="preserve"> na stałym poziomie.</w:t>
      </w:r>
      <w:r w:rsidR="00B24DA9" w:rsidRPr="00765C97">
        <w:rPr>
          <w:rFonts w:ascii="Arial" w:hAnsi="Arial"/>
          <w:sz w:val="20"/>
          <w:lang w:val="pl-PL"/>
        </w:rPr>
        <w:t xml:space="preserve"> Analiza wrażliwości wyniku finansowego Grupy na ryzyko stopy procentowej dokonana została metodą uproszczoną, zakładającą, </w:t>
      </w:r>
      <w:r w:rsidR="00B24DA9" w:rsidRPr="00765C97">
        <w:rPr>
          <w:rFonts w:ascii="Arial" w:hAnsi="Arial"/>
          <w:sz w:val="20"/>
          <w:lang w:val="pl-PL" w:eastAsia="pl-PL"/>
        </w:rPr>
        <w:t>że wzrost i spadek stóp procentowych zamknie się identyczną kwotą.</w:t>
      </w:r>
    </w:p>
    <w:p w:rsidR="00B24DA9" w:rsidRPr="00765C97" w:rsidRDefault="004E7E0A" w:rsidP="00135A9A">
      <w:pPr>
        <w:pStyle w:val="Nagwek4"/>
        <w:numPr>
          <w:ilvl w:val="2"/>
          <w:numId w:val="14"/>
        </w:numPr>
        <w:spacing w:before="240" w:after="60"/>
        <w:ind w:left="1276" w:hanging="851"/>
        <w:rPr>
          <w:rFonts w:ascii="Arial" w:hAnsi="Arial"/>
          <w:sz w:val="20"/>
          <w:lang w:val="pl-PL"/>
        </w:rPr>
      </w:pPr>
      <w:r w:rsidRPr="00765C97">
        <w:rPr>
          <w:rFonts w:ascii="Arial" w:hAnsi="Arial"/>
          <w:sz w:val="20"/>
          <w:lang w:val="pl-PL"/>
        </w:rPr>
        <w:t>R</w:t>
      </w:r>
      <w:r w:rsidR="00B24DA9" w:rsidRPr="00765C97">
        <w:rPr>
          <w:rFonts w:ascii="Arial" w:hAnsi="Arial"/>
          <w:sz w:val="20"/>
          <w:lang w:val="pl-PL"/>
        </w:rPr>
        <w:t>yzyko zmiany kursów walut</w:t>
      </w:r>
    </w:p>
    <w:p w:rsidR="00CC0764" w:rsidRPr="00765C97" w:rsidRDefault="00CC0764" w:rsidP="000C3C74">
      <w:pPr>
        <w:adjustRightInd w:val="0"/>
        <w:jc w:val="both"/>
        <w:rPr>
          <w:rFonts w:ascii="Arial" w:hAnsi="Arial" w:cs="Arial"/>
          <w:bCs/>
          <w:sz w:val="20"/>
          <w:szCs w:val="20"/>
          <w:lang w:val="pl-PL"/>
        </w:rPr>
      </w:pPr>
      <w:r w:rsidRPr="00765C97">
        <w:rPr>
          <w:rFonts w:ascii="Arial" w:hAnsi="Arial" w:cs="Arial"/>
          <w:bCs/>
          <w:sz w:val="20"/>
          <w:szCs w:val="20"/>
          <w:lang w:val="pl-PL"/>
        </w:rPr>
        <w:t xml:space="preserve">W związku ze sprzedażą eksportową lub denominowaną w walutach obcych </w:t>
      </w:r>
      <w:r w:rsidRPr="00765C97">
        <w:rPr>
          <w:rFonts w:ascii="Arial" w:hAnsi="Arial"/>
          <w:sz w:val="20"/>
          <w:lang w:val="pl-PL"/>
        </w:rPr>
        <w:t>Jednostka dominująca</w:t>
      </w:r>
      <w:r w:rsidRPr="00765C97">
        <w:rPr>
          <w:rFonts w:ascii="Arial" w:hAnsi="Arial" w:cs="Arial"/>
          <w:bCs/>
          <w:sz w:val="20"/>
          <w:szCs w:val="20"/>
          <w:lang w:val="pl-PL"/>
        </w:rPr>
        <w:t xml:space="preserve"> jest narażona na ryzyko kursowe, szczególnie w odniesieniu do zmian kursów par walut EUR/PLN i USD/PLN. Równocześnie część kosztów </w:t>
      </w:r>
      <w:r w:rsidR="00675794" w:rsidRPr="00765C97">
        <w:rPr>
          <w:rFonts w:ascii="Arial" w:hAnsi="Arial" w:cs="Arial"/>
          <w:bCs/>
          <w:sz w:val="20"/>
          <w:szCs w:val="20"/>
          <w:lang w:val="pl-PL"/>
        </w:rPr>
        <w:t>Jednostki dominującej</w:t>
      </w:r>
      <w:r w:rsidRPr="00765C97">
        <w:rPr>
          <w:rFonts w:ascii="Arial" w:hAnsi="Arial" w:cs="Arial"/>
          <w:bCs/>
          <w:sz w:val="20"/>
          <w:szCs w:val="20"/>
          <w:lang w:val="pl-PL"/>
        </w:rPr>
        <w:t xml:space="preserve"> jest również wyrażona lub powiązana z kursem walut obcych. W indywidualnych przypadkach </w:t>
      </w:r>
      <w:r w:rsidR="007171EC" w:rsidRPr="00765C97">
        <w:rPr>
          <w:rFonts w:ascii="Arial" w:hAnsi="Arial" w:cs="Arial"/>
          <w:bCs/>
          <w:sz w:val="20"/>
          <w:szCs w:val="20"/>
          <w:lang w:val="pl-PL"/>
        </w:rPr>
        <w:t>Comarch</w:t>
      </w:r>
      <w:r w:rsidRPr="00765C97">
        <w:rPr>
          <w:rFonts w:ascii="Arial" w:hAnsi="Arial" w:cs="Arial"/>
          <w:bCs/>
          <w:sz w:val="20"/>
          <w:szCs w:val="20"/>
          <w:lang w:val="pl-PL"/>
        </w:rPr>
        <w:t xml:space="preserve"> S.A. dokonuje zabezpieczenia przyszłych płatności za pomocą kontraktów forward, jak również stara się wykorzystywać hedging naturalny poprzez dopasowanie struktury aktywów i pasywów denominowanych w walutach obcych (np. poprzez zmianę waluty kredytów inwestycyjnych).</w:t>
      </w:r>
    </w:p>
    <w:p w:rsidR="00B24DA9" w:rsidRPr="00765C97" w:rsidRDefault="00CC0764" w:rsidP="000C3C74">
      <w:pPr>
        <w:widowControl/>
        <w:autoSpaceDE/>
        <w:autoSpaceDN/>
        <w:jc w:val="both"/>
        <w:rPr>
          <w:rFonts w:ascii="Arial" w:hAnsi="Arial" w:cs="Arial"/>
          <w:bCs/>
          <w:sz w:val="20"/>
          <w:szCs w:val="20"/>
          <w:lang w:val="pl-PL"/>
        </w:rPr>
      </w:pPr>
      <w:r w:rsidRPr="00765C97">
        <w:rPr>
          <w:rFonts w:ascii="Arial" w:hAnsi="Arial" w:cs="Arial"/>
          <w:bCs/>
          <w:sz w:val="20"/>
          <w:szCs w:val="20"/>
          <w:lang w:val="pl-PL"/>
        </w:rPr>
        <w:t xml:space="preserve">Wartość bilansowa aktywów oraz zobowiązań finansowych Grupy denominowanych w walutach obcych na dzień bilansowy dotyczy należności i zobowiązań z tytułu dostaw i usług, zobowiązań z tytułu kredytu inwestycyjnego oraz środków pieniężnych. </w:t>
      </w:r>
      <w:r w:rsidR="00B24DA9" w:rsidRPr="00765C97">
        <w:rPr>
          <w:rFonts w:ascii="Arial" w:hAnsi="Arial" w:cs="Arial"/>
          <w:bCs/>
          <w:sz w:val="20"/>
          <w:szCs w:val="20"/>
          <w:lang w:val="pl-PL"/>
        </w:rPr>
        <w:t>Wartości te przedstawione zostały w nocie 3.9.</w:t>
      </w:r>
    </w:p>
    <w:p w:rsidR="00B24DA9" w:rsidRPr="00765C97" w:rsidRDefault="00B24DA9" w:rsidP="000C3C74">
      <w:pPr>
        <w:pStyle w:val="Bodycopyheader1"/>
        <w:spacing w:before="0" w:line="240" w:lineRule="auto"/>
        <w:jc w:val="both"/>
        <w:rPr>
          <w:rFonts w:eastAsia="Times New Roman"/>
          <w:b w:val="0"/>
          <w:bCs/>
          <w:color w:val="auto"/>
          <w:sz w:val="20"/>
          <w:szCs w:val="20"/>
          <w:lang w:val="pl-PL"/>
        </w:rPr>
      </w:pPr>
    </w:p>
    <w:p w:rsidR="00DF05E5" w:rsidRPr="00765C97" w:rsidRDefault="00425ABE" w:rsidP="000C3C74">
      <w:pPr>
        <w:pStyle w:val="Bodycopyheader1"/>
        <w:spacing w:before="0" w:line="240" w:lineRule="auto"/>
        <w:jc w:val="both"/>
        <w:rPr>
          <w:rFonts w:eastAsia="Times New Roman"/>
          <w:b w:val="0"/>
          <w:color w:val="auto"/>
          <w:sz w:val="20"/>
          <w:szCs w:val="20"/>
          <w:lang w:val="pl-PL" w:eastAsia="pl-PL"/>
        </w:rPr>
      </w:pPr>
      <w:r w:rsidRPr="00765C97">
        <w:rPr>
          <w:b w:val="0"/>
          <w:sz w:val="20"/>
          <w:szCs w:val="20"/>
          <w:lang w:val="pl-PL"/>
        </w:rPr>
        <w:t>Analiza wrażliwości wyniku finansowego Grupy na ryzyko zmiany kursów walut dokonana zgodnie z zasadami MSSF 7, wskazuje, że jeśli kurs w stosunku do kursu z wyceny bilansowej dla walut EURO i USD wzrósłby/spadłby o 5% przy utrzymaniu wszystkich innych zmiennych na stałym poziomie, wynik netto Grupy za okres 12 miesięcy kończący się 31 grudnia 201</w:t>
      </w:r>
      <w:r w:rsidR="00A936F4" w:rsidRPr="00765C97">
        <w:rPr>
          <w:b w:val="0"/>
          <w:sz w:val="20"/>
          <w:szCs w:val="20"/>
          <w:lang w:val="pl-PL"/>
        </w:rPr>
        <w:t>2</w:t>
      </w:r>
      <w:r w:rsidRPr="00765C97">
        <w:rPr>
          <w:b w:val="0"/>
          <w:sz w:val="20"/>
          <w:szCs w:val="20"/>
          <w:lang w:val="pl-PL"/>
        </w:rPr>
        <w:t xml:space="preserve"> roku byłby niższy</w:t>
      </w:r>
      <w:r w:rsidR="00165F00" w:rsidRPr="00765C97">
        <w:rPr>
          <w:b w:val="0"/>
          <w:sz w:val="20"/>
          <w:szCs w:val="20"/>
          <w:lang w:val="pl-PL"/>
        </w:rPr>
        <w:t>/wyższy</w:t>
      </w:r>
      <w:r w:rsidRPr="00765C97">
        <w:rPr>
          <w:b w:val="0"/>
          <w:sz w:val="20"/>
          <w:szCs w:val="20"/>
          <w:lang w:val="pl-PL"/>
        </w:rPr>
        <w:t xml:space="preserve"> o </w:t>
      </w:r>
      <w:r w:rsidR="0032059B" w:rsidRPr="00765C97">
        <w:rPr>
          <w:b w:val="0"/>
          <w:sz w:val="20"/>
          <w:szCs w:val="20"/>
          <w:lang w:val="pl-PL"/>
        </w:rPr>
        <w:t xml:space="preserve">1 </w:t>
      </w:r>
      <w:r w:rsidR="00A936F4" w:rsidRPr="00765C97">
        <w:rPr>
          <w:b w:val="0"/>
          <w:sz w:val="20"/>
          <w:szCs w:val="20"/>
          <w:lang w:val="pl-PL"/>
        </w:rPr>
        <w:t>280</w:t>
      </w:r>
      <w:r w:rsidRPr="00765C97">
        <w:rPr>
          <w:b w:val="0"/>
          <w:sz w:val="20"/>
          <w:szCs w:val="20"/>
          <w:lang w:val="pl-PL"/>
        </w:rPr>
        <w:t xml:space="preserve"> tys. PLN, w tym </w:t>
      </w:r>
      <w:r w:rsidR="00165F00" w:rsidRPr="00765C97">
        <w:rPr>
          <w:b w:val="0"/>
          <w:sz w:val="20"/>
          <w:szCs w:val="20"/>
          <w:lang w:val="pl-PL"/>
        </w:rPr>
        <w:t xml:space="preserve">niższy/wyższy </w:t>
      </w:r>
      <w:r w:rsidRPr="00765C97">
        <w:rPr>
          <w:b w:val="0"/>
          <w:sz w:val="20"/>
          <w:szCs w:val="20"/>
          <w:lang w:val="pl-PL"/>
        </w:rPr>
        <w:t xml:space="preserve">o </w:t>
      </w:r>
      <w:r w:rsidR="0032059B" w:rsidRPr="00765C97">
        <w:rPr>
          <w:b w:val="0"/>
          <w:sz w:val="20"/>
          <w:szCs w:val="20"/>
          <w:lang w:val="pl-PL"/>
        </w:rPr>
        <w:t xml:space="preserve">1 </w:t>
      </w:r>
      <w:r w:rsidR="00A936F4" w:rsidRPr="00765C97">
        <w:rPr>
          <w:b w:val="0"/>
          <w:sz w:val="20"/>
          <w:szCs w:val="20"/>
          <w:lang w:val="pl-PL"/>
        </w:rPr>
        <w:t>537</w:t>
      </w:r>
      <w:r w:rsidRPr="00765C97">
        <w:rPr>
          <w:b w:val="0"/>
          <w:sz w:val="20"/>
          <w:szCs w:val="20"/>
          <w:lang w:val="pl-PL"/>
        </w:rPr>
        <w:t xml:space="preserve"> tys. PLN z tytułu aktywów i zobowiązań finansowych wyrażonych w EURO i </w:t>
      </w:r>
      <w:r w:rsidR="00165F00" w:rsidRPr="00765C97">
        <w:rPr>
          <w:b w:val="0"/>
          <w:sz w:val="20"/>
          <w:szCs w:val="20"/>
          <w:lang w:val="pl-PL"/>
        </w:rPr>
        <w:t xml:space="preserve">wyższy/niższy o </w:t>
      </w:r>
      <w:r w:rsidR="000007D1" w:rsidRPr="00765C97">
        <w:rPr>
          <w:b w:val="0"/>
          <w:sz w:val="20"/>
          <w:szCs w:val="20"/>
          <w:lang w:val="pl-PL"/>
        </w:rPr>
        <w:t>257</w:t>
      </w:r>
      <w:r w:rsidR="00F403DE" w:rsidRPr="00765C97">
        <w:rPr>
          <w:b w:val="0"/>
          <w:sz w:val="20"/>
          <w:szCs w:val="20"/>
          <w:lang w:val="pl-PL"/>
        </w:rPr>
        <w:t xml:space="preserve"> </w:t>
      </w:r>
      <w:r w:rsidRPr="00765C97">
        <w:rPr>
          <w:b w:val="0"/>
          <w:sz w:val="20"/>
          <w:szCs w:val="20"/>
          <w:lang w:val="pl-PL"/>
        </w:rPr>
        <w:t>tys. PLN z tytułu aktywów i zobowiązań finansowych wyrażonych w USD.</w:t>
      </w:r>
      <w:r w:rsidR="00B24DA9" w:rsidRPr="00765C97">
        <w:rPr>
          <w:rFonts w:eastAsia="Times New Roman"/>
          <w:b w:val="0"/>
          <w:color w:val="auto"/>
          <w:sz w:val="20"/>
          <w:szCs w:val="20"/>
          <w:lang w:val="pl-PL" w:eastAsia="pl-PL"/>
        </w:rPr>
        <w:t xml:space="preserve"> Aktywa i zobowiązania finansowe wyrażone w innych walutach obcych mają niewielki udział w strukturze walutowej aktywów i zobowiązań. </w:t>
      </w:r>
    </w:p>
    <w:p w:rsidR="00DF05E5" w:rsidRPr="00765C97" w:rsidRDefault="00DF05E5" w:rsidP="000C3C74">
      <w:pPr>
        <w:pStyle w:val="Bodycopyheader1"/>
        <w:spacing w:before="0" w:line="240" w:lineRule="auto"/>
        <w:jc w:val="both"/>
        <w:rPr>
          <w:rFonts w:eastAsia="Times New Roman"/>
          <w:b w:val="0"/>
          <w:color w:val="auto"/>
          <w:sz w:val="20"/>
          <w:szCs w:val="20"/>
          <w:lang w:val="pl-PL" w:eastAsia="pl-PL"/>
        </w:rPr>
      </w:pPr>
    </w:p>
    <w:p w:rsidR="00B24DA9" w:rsidRPr="00765C97" w:rsidRDefault="006B25C8" w:rsidP="000C3C74">
      <w:pPr>
        <w:pStyle w:val="Bodycopyheader1"/>
        <w:spacing w:before="0" w:line="240" w:lineRule="auto"/>
        <w:jc w:val="both"/>
        <w:rPr>
          <w:rFonts w:eastAsia="Times New Roman"/>
          <w:b w:val="0"/>
          <w:color w:val="auto"/>
          <w:sz w:val="20"/>
          <w:szCs w:val="20"/>
          <w:lang w:val="pl-PL" w:eastAsia="pl-PL"/>
        </w:rPr>
      </w:pPr>
      <w:r w:rsidRPr="00765C97">
        <w:rPr>
          <w:b w:val="0"/>
          <w:bCs/>
          <w:sz w:val="20"/>
          <w:szCs w:val="20"/>
          <w:lang w:val="pl-PL"/>
        </w:rPr>
        <w:t>Jeśli kurs w stosunku do kursu z wyceny bilansowej dla walut EURO i USD wzrósłby/spadłby o 10% przy utrzymaniu wszystkich innych zmiennych na stałym poziomie, wynik netto Grupy z tytułu przeliczenia kontraktów długoterminowych za okres 12 miesięcy kończący się 31 grudnia 2012 roku byłby wyższy o 3 379 tys. PLN / niższy o 3 455 tys. PLN. Powyższy szacunek wpływu ryzyka walutowego na wynik finansowy obliczony został w oparciu o metodę symetryczną zakładającą, że wzrost i spadek kursów zamknie się identyczną kwotą.</w:t>
      </w:r>
      <w:r w:rsidR="00B24DA9" w:rsidRPr="00765C97">
        <w:rPr>
          <w:rFonts w:eastAsia="Times New Roman"/>
          <w:b w:val="0"/>
          <w:color w:val="auto"/>
          <w:sz w:val="20"/>
          <w:szCs w:val="20"/>
          <w:lang w:val="pl-PL" w:eastAsia="pl-PL"/>
        </w:rPr>
        <w:t xml:space="preserve"> </w:t>
      </w:r>
    </w:p>
    <w:p w:rsidR="00B24DA9" w:rsidRPr="00765C97" w:rsidRDefault="004E7E0A" w:rsidP="00135A9A">
      <w:pPr>
        <w:pStyle w:val="Nagwek4"/>
        <w:numPr>
          <w:ilvl w:val="2"/>
          <w:numId w:val="14"/>
        </w:numPr>
        <w:spacing w:before="240" w:after="60"/>
        <w:ind w:left="1276" w:hanging="851"/>
        <w:rPr>
          <w:rFonts w:ascii="Arial" w:hAnsi="Arial"/>
          <w:sz w:val="20"/>
          <w:lang w:val="pl-PL"/>
        </w:rPr>
      </w:pPr>
      <w:r w:rsidRPr="00765C97">
        <w:rPr>
          <w:rFonts w:ascii="Arial" w:hAnsi="Arial"/>
          <w:sz w:val="20"/>
          <w:lang w:val="pl-PL"/>
        </w:rPr>
        <w:t>R</w:t>
      </w:r>
      <w:r w:rsidR="00B24DA9" w:rsidRPr="00765C97">
        <w:rPr>
          <w:rFonts w:ascii="Arial" w:hAnsi="Arial"/>
          <w:sz w:val="20"/>
          <w:lang w:val="pl-PL"/>
        </w:rPr>
        <w:t>yzyko płynności finansowej</w:t>
      </w:r>
    </w:p>
    <w:p w:rsidR="00B24DA9" w:rsidRPr="00765C97" w:rsidRDefault="00CC0764" w:rsidP="000C3C74">
      <w:pPr>
        <w:pStyle w:val="Tekstpodstawowy"/>
        <w:keepNext w:val="0"/>
        <w:rPr>
          <w:b w:val="0"/>
          <w:sz w:val="20"/>
        </w:rPr>
      </w:pPr>
      <w:r w:rsidRPr="00765C97">
        <w:rPr>
          <w:rFonts w:cs="Arial"/>
          <w:b w:val="0"/>
          <w:bCs/>
          <w:sz w:val="20"/>
        </w:rPr>
        <w:t>Grupa posiada system zarządzania ryzykiem płynności dla potrzeb zarządzania funduszami krótko-, średnio- i długoterminowymi Grupy. Podstawowe ryzyko płynności finansowej wynika z faktu, iż większość kosztów ponoszonych przez Grupę ma charakter kosztów stałych, natomiast przychody ze sprzedaży podlegają zmienności charakterystycznej dla firm usługowych. Grupa zarządza ryzykiem płynności utrzymując odpowiednią wielkość kapitału obrotowego, utrzymując rezerwowe linie kredytowe w rachunku bieżącym, monitorując stale prognozowane i rzeczywiste przepływy pieniężne oraz analizując profile zapadalności aktywów i zobowiązań finansowych.</w:t>
      </w:r>
    </w:p>
    <w:p w:rsidR="00B24DA9" w:rsidRPr="00765C97" w:rsidRDefault="00B24DA9" w:rsidP="000C3C74">
      <w:pPr>
        <w:pStyle w:val="Tekstpodstawowy"/>
        <w:rPr>
          <w:b w:val="0"/>
          <w:sz w:val="20"/>
        </w:rPr>
      </w:pPr>
      <w:r w:rsidRPr="00765C97">
        <w:rPr>
          <w:b w:val="0"/>
          <w:sz w:val="20"/>
        </w:rPr>
        <w:t xml:space="preserve">Informacje o terminach umownej zapadalności zobowiązań finansowych przedstawiono w nocie 3.9. </w:t>
      </w:r>
    </w:p>
    <w:p w:rsidR="00B24DA9" w:rsidRPr="00765C97" w:rsidRDefault="00B24DA9" w:rsidP="00135A9A">
      <w:pPr>
        <w:pStyle w:val="Nagwek3"/>
        <w:numPr>
          <w:ilvl w:val="1"/>
          <w:numId w:val="14"/>
        </w:numPr>
        <w:spacing w:after="240"/>
        <w:ind w:left="709" w:hanging="539"/>
        <w:rPr>
          <w:sz w:val="20"/>
          <w:lang w:val="pl-PL"/>
        </w:rPr>
      </w:pPr>
      <w:r w:rsidRPr="00765C97">
        <w:rPr>
          <w:sz w:val="20"/>
          <w:lang w:val="pl-PL"/>
        </w:rPr>
        <w:t>Rachunkowość pochodnych instrumentów finansowych oraz działalności zabezpieczającej</w:t>
      </w:r>
    </w:p>
    <w:p w:rsidR="00B24DA9" w:rsidRPr="00765C97" w:rsidRDefault="00B24DA9" w:rsidP="000C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Arial" w:hAnsi="Arial"/>
          <w:sz w:val="20"/>
          <w:lang w:val="pl-PL"/>
        </w:rPr>
      </w:pPr>
      <w:r w:rsidRPr="00765C97">
        <w:rPr>
          <w:rFonts w:ascii="Arial" w:hAnsi="Arial"/>
          <w:sz w:val="20"/>
          <w:lang w:val="pl-PL"/>
        </w:rPr>
        <w:t>Instrumenty pochodne stanowiące instrument zabezpieczający w rozumieniu MSR 39, będące zabezpieczeniem wartości godziwej wycenia się w wartości godziwej, a zmianę w wycenie odnosi na wynik z operacji finansowych.</w:t>
      </w:r>
    </w:p>
    <w:p w:rsidR="00DF05E5" w:rsidRPr="00765C97" w:rsidRDefault="00DF05E5" w:rsidP="000C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Arial" w:hAnsi="Arial"/>
          <w:sz w:val="20"/>
          <w:lang w:val="pl-PL"/>
        </w:rPr>
      </w:pPr>
    </w:p>
    <w:p w:rsidR="00B24DA9" w:rsidRPr="00765C97" w:rsidRDefault="00B24DA9" w:rsidP="000C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Arial" w:hAnsi="Arial"/>
          <w:sz w:val="20"/>
          <w:lang w:val="pl-PL"/>
        </w:rPr>
      </w:pPr>
      <w:r w:rsidRPr="00765C97">
        <w:rPr>
          <w:rFonts w:ascii="Arial" w:hAnsi="Arial"/>
          <w:sz w:val="20"/>
          <w:lang w:val="pl-PL"/>
        </w:rPr>
        <w:t xml:space="preserve">Instrumenty pochodne stanowiące instrument zabezpieczający w rozumieniu MSR 39, będące zabezpieczeniem przepływów pieniężnych wycenia się w wartości godziwej, a zmianę w wycenie odnosi: </w:t>
      </w:r>
    </w:p>
    <w:p w:rsidR="00675794" w:rsidRPr="00765C97" w:rsidRDefault="00B24DA9" w:rsidP="000C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Arial" w:hAnsi="Arial"/>
          <w:sz w:val="20"/>
          <w:lang w:val="pl-PL"/>
        </w:rPr>
      </w:pPr>
      <w:r w:rsidRPr="00765C97">
        <w:rPr>
          <w:rFonts w:ascii="Arial" w:hAnsi="Arial"/>
          <w:sz w:val="20"/>
          <w:lang w:val="pl-PL"/>
        </w:rPr>
        <w:t xml:space="preserve">a) na kapitał z aktualizacji wyceny (w części stanowiącej </w:t>
      </w:r>
      <w:r w:rsidR="00675794" w:rsidRPr="00765C97">
        <w:rPr>
          <w:rFonts w:ascii="Arial" w:hAnsi="Arial"/>
          <w:sz w:val="20"/>
          <w:lang w:val="pl-PL"/>
        </w:rPr>
        <w:t>efektywne zabezpieczenie),</w:t>
      </w:r>
    </w:p>
    <w:p w:rsidR="00B24DA9" w:rsidRPr="00765C97" w:rsidRDefault="00B24DA9" w:rsidP="000C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Arial" w:hAnsi="Arial"/>
          <w:sz w:val="20"/>
          <w:lang w:val="pl-PL"/>
        </w:rPr>
      </w:pPr>
      <w:r w:rsidRPr="00765C97">
        <w:rPr>
          <w:rFonts w:ascii="Arial" w:hAnsi="Arial"/>
          <w:sz w:val="20"/>
          <w:lang w:val="pl-PL"/>
        </w:rPr>
        <w:t>b) na wynik z operacji finansowych (w części nie stanowiącej efektywnego zabezpieczenia).</w:t>
      </w:r>
    </w:p>
    <w:p w:rsidR="00DF05E5" w:rsidRPr="00765C97" w:rsidRDefault="00DF05E5" w:rsidP="000C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Arial" w:hAnsi="Arial"/>
          <w:sz w:val="20"/>
          <w:lang w:val="pl-PL"/>
        </w:rPr>
      </w:pPr>
    </w:p>
    <w:p w:rsidR="00B24DA9" w:rsidRPr="00765C97" w:rsidRDefault="00B24DA9" w:rsidP="000C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Arial" w:hAnsi="Arial"/>
          <w:sz w:val="20"/>
          <w:lang w:val="pl-PL"/>
        </w:rPr>
      </w:pPr>
      <w:r w:rsidRPr="00765C97">
        <w:rPr>
          <w:rFonts w:ascii="Arial" w:hAnsi="Arial"/>
          <w:sz w:val="20"/>
          <w:lang w:val="pl-PL"/>
        </w:rPr>
        <w:t>Instrumenty pochodne nie stanowiące instrumentu zabezpieczającego w rozumieniu MSR 39, wycenia się w wartości godziwej, a zmianę w wycenie odnosi na wynik z operacji finansowych.</w:t>
      </w:r>
    </w:p>
    <w:p w:rsidR="00B24DA9" w:rsidRPr="00765C97" w:rsidRDefault="00B24DA9" w:rsidP="00135A9A">
      <w:pPr>
        <w:pStyle w:val="Nagwek3"/>
        <w:numPr>
          <w:ilvl w:val="1"/>
          <w:numId w:val="14"/>
        </w:numPr>
        <w:spacing w:after="240"/>
        <w:ind w:left="709" w:hanging="539"/>
        <w:rPr>
          <w:sz w:val="20"/>
          <w:lang w:val="pl-PL"/>
        </w:rPr>
      </w:pPr>
      <w:r w:rsidRPr="00765C97">
        <w:rPr>
          <w:sz w:val="20"/>
          <w:lang w:val="pl-PL"/>
        </w:rPr>
        <w:t>Ważne oszacowania i założenia</w:t>
      </w:r>
    </w:p>
    <w:p w:rsidR="00B24DA9" w:rsidRPr="00765C97" w:rsidRDefault="00B24DA9" w:rsidP="000C3C74">
      <w:pPr>
        <w:pStyle w:val="Style1"/>
        <w:tabs>
          <w:tab w:val="left" w:pos="0"/>
        </w:tabs>
        <w:adjustRightInd/>
        <w:jc w:val="both"/>
        <w:rPr>
          <w:rFonts w:ascii="Arial" w:hAnsi="Arial"/>
          <w:spacing w:val="-1"/>
          <w:lang w:val="pl-PL"/>
        </w:rPr>
      </w:pPr>
      <w:r w:rsidRPr="00765C97">
        <w:rPr>
          <w:rFonts w:ascii="Arial" w:hAnsi="Arial"/>
          <w:spacing w:val="-1"/>
          <w:lang w:val="pl-PL"/>
        </w:rPr>
        <w:t>Oszacowania i osądy poddaje się nieustannej weryfikacji. Wynikają one z dotychczasowych doświadczeń oraz innych czynników, w tym przewidywań co do przyszłych zdarzeń, które w danej sytuacji wydają się zasadne.</w:t>
      </w:r>
    </w:p>
    <w:p w:rsidR="00B24DA9" w:rsidRPr="00765C97" w:rsidRDefault="00B24DA9" w:rsidP="000C3C74">
      <w:pPr>
        <w:tabs>
          <w:tab w:val="left" w:pos="0"/>
        </w:tabs>
        <w:jc w:val="both"/>
        <w:rPr>
          <w:rFonts w:ascii="Arial" w:hAnsi="Arial"/>
          <w:sz w:val="20"/>
          <w:lang w:val="pl-PL"/>
        </w:rPr>
      </w:pPr>
    </w:p>
    <w:p w:rsidR="00B24DA9" w:rsidRPr="00765C97" w:rsidRDefault="00B24DA9" w:rsidP="000C3C74">
      <w:pPr>
        <w:pStyle w:val="Style1"/>
        <w:tabs>
          <w:tab w:val="left" w:pos="0"/>
          <w:tab w:val="left" w:pos="8460"/>
        </w:tabs>
        <w:adjustRightInd/>
        <w:jc w:val="both"/>
        <w:rPr>
          <w:rFonts w:ascii="Arial" w:hAnsi="Arial"/>
          <w:lang w:val="pl-PL"/>
        </w:rPr>
      </w:pPr>
      <w:r w:rsidRPr="00765C97">
        <w:rPr>
          <w:rFonts w:ascii="Arial" w:hAnsi="Arial"/>
          <w:lang w:val="pl-PL"/>
        </w:rPr>
        <w:t>Grupa dokonuje oszacowań i przyjmuje założenia dotyczące przyszłości. Uzyskane w ten sposób oszacowania księgowe z definicji rzadko pokrywać się będą z faktycznymi rezultatami. Oszacowania i założenia, które niosą ze sobą znaczące ryzyko konieczności wprowadzenia istotnej korekty wartości bilansowej aktywów i zobowiązań w trakcie kolejnego roku obrotowego są zaprezentowane niżej.</w:t>
      </w:r>
    </w:p>
    <w:p w:rsidR="00B24DA9" w:rsidRPr="00765C97" w:rsidRDefault="004E7E0A" w:rsidP="00135A9A">
      <w:pPr>
        <w:pStyle w:val="Nagwek4"/>
        <w:numPr>
          <w:ilvl w:val="2"/>
          <w:numId w:val="14"/>
        </w:numPr>
        <w:spacing w:before="240" w:after="60"/>
        <w:ind w:left="1276" w:hanging="851"/>
        <w:rPr>
          <w:rFonts w:ascii="Arial" w:hAnsi="Arial"/>
          <w:sz w:val="20"/>
          <w:szCs w:val="20"/>
          <w:lang w:val="pl-PL"/>
        </w:rPr>
      </w:pPr>
      <w:r w:rsidRPr="00765C97">
        <w:rPr>
          <w:rFonts w:ascii="Arial" w:hAnsi="Arial"/>
          <w:sz w:val="20"/>
          <w:szCs w:val="20"/>
          <w:lang w:val="pl-PL"/>
        </w:rPr>
        <w:t>O</w:t>
      </w:r>
      <w:r w:rsidR="00B24DA9" w:rsidRPr="00765C97">
        <w:rPr>
          <w:rFonts w:ascii="Arial" w:hAnsi="Arial"/>
          <w:sz w:val="20"/>
          <w:szCs w:val="20"/>
          <w:lang w:val="pl-PL"/>
        </w:rPr>
        <w:t>szacowania całkowitych kosztów realizacji projektów związane z wyceną kontraktów dł</w:t>
      </w:r>
      <w:r w:rsidR="00444117" w:rsidRPr="00765C97">
        <w:rPr>
          <w:rFonts w:ascii="Arial" w:hAnsi="Arial"/>
          <w:sz w:val="20"/>
          <w:szCs w:val="20"/>
          <w:lang w:val="pl-PL"/>
        </w:rPr>
        <w:t>ugoterminowych zgodnie z MSR 11</w:t>
      </w:r>
    </w:p>
    <w:p w:rsidR="00B24DA9" w:rsidRPr="00765C97" w:rsidRDefault="00B24DA9" w:rsidP="000C3C74">
      <w:pPr>
        <w:adjustRightInd w:val="0"/>
        <w:jc w:val="both"/>
        <w:rPr>
          <w:rFonts w:ascii="Arial" w:hAnsi="Arial"/>
          <w:sz w:val="20"/>
          <w:lang w:val="pl-PL"/>
        </w:rPr>
      </w:pPr>
      <w:r w:rsidRPr="00765C97">
        <w:rPr>
          <w:rFonts w:ascii="Arial" w:hAnsi="Arial"/>
          <w:sz w:val="20"/>
          <w:lang w:val="pl-PL"/>
        </w:rPr>
        <w:t xml:space="preserve">Zgodnie z przyjętymi przez Grupę zasadami rachunkowości dokonuje się ustalenia stopnia zaawansowania kontraktów długoterminowych przez ustalenie proporcji dotychczas poniesionych kosztów danego projektu do całkowitych szacowanych kosztów projektów. Z uwagi na długoterminowy charakter prowadzonych projektów oraz ich złożoność, a także możliwość pojawienia się nie przewidywanych wcześniej trudności związanych z realizacją projektu, może się okazać, iż rzeczywiste całkowite koszty realizacji projektu będą różniły się </w:t>
      </w:r>
      <w:r w:rsidR="00675794" w:rsidRPr="00765C97">
        <w:rPr>
          <w:rFonts w:ascii="Arial" w:hAnsi="Arial"/>
          <w:sz w:val="20"/>
          <w:lang w:val="pl-PL"/>
        </w:rPr>
        <w:t xml:space="preserve">od </w:t>
      </w:r>
      <w:r w:rsidRPr="00765C97">
        <w:rPr>
          <w:rFonts w:ascii="Arial" w:hAnsi="Arial"/>
          <w:sz w:val="20"/>
          <w:lang w:val="pl-PL"/>
        </w:rPr>
        <w:t xml:space="preserve">szacunków dokonywanych na kolejne dni bilansowe. Zmiana szacunków całkowitych kosztów realizacji projektów mogłaby spowodować, iż ustalony na dzień bilansowy stopień zaawansowania projektu, a tym samym rozpoznany przychód, powinien być ustalony w innej wartości. </w:t>
      </w:r>
    </w:p>
    <w:p w:rsidR="00B24DA9" w:rsidRPr="00765C97" w:rsidRDefault="004E7E0A" w:rsidP="00135A9A">
      <w:pPr>
        <w:pStyle w:val="Nagwek4"/>
        <w:numPr>
          <w:ilvl w:val="2"/>
          <w:numId w:val="14"/>
        </w:numPr>
        <w:spacing w:before="240" w:after="60"/>
        <w:ind w:left="1276" w:hanging="851"/>
        <w:rPr>
          <w:rFonts w:ascii="Arial" w:hAnsi="Arial"/>
          <w:sz w:val="20"/>
          <w:szCs w:val="20"/>
          <w:lang w:val="pl-PL"/>
        </w:rPr>
      </w:pPr>
      <w:r w:rsidRPr="00765C97">
        <w:rPr>
          <w:rFonts w:ascii="Arial" w:hAnsi="Arial"/>
          <w:sz w:val="20"/>
          <w:szCs w:val="20"/>
          <w:lang w:val="pl-PL"/>
        </w:rPr>
        <w:t>O</w:t>
      </w:r>
      <w:r w:rsidR="00B24DA9" w:rsidRPr="00765C97">
        <w:rPr>
          <w:rFonts w:ascii="Arial" w:hAnsi="Arial"/>
          <w:sz w:val="20"/>
          <w:szCs w:val="20"/>
          <w:lang w:val="pl-PL"/>
        </w:rPr>
        <w:t>szacowania związane z ustaleniem i rozpoznaniem aktywów z tytułu odroczonego podat</w:t>
      </w:r>
      <w:r w:rsidR="00444117" w:rsidRPr="00765C97">
        <w:rPr>
          <w:rFonts w:ascii="Arial" w:hAnsi="Arial"/>
          <w:sz w:val="20"/>
          <w:szCs w:val="20"/>
          <w:lang w:val="pl-PL"/>
        </w:rPr>
        <w:t>ku dochodowego zgodnie z MSR 12</w:t>
      </w:r>
    </w:p>
    <w:p w:rsidR="00864542" w:rsidRPr="00765C97" w:rsidRDefault="00B24DA9" w:rsidP="000C3C74">
      <w:pPr>
        <w:adjustRightInd w:val="0"/>
        <w:jc w:val="both"/>
        <w:rPr>
          <w:rFonts w:ascii="Arial" w:hAnsi="Arial"/>
          <w:sz w:val="20"/>
          <w:lang w:val="pl-PL"/>
        </w:rPr>
      </w:pPr>
      <w:r w:rsidRPr="00765C97">
        <w:rPr>
          <w:rFonts w:ascii="Arial" w:hAnsi="Arial"/>
          <w:sz w:val="20"/>
          <w:lang w:val="pl-PL"/>
        </w:rPr>
        <w:t xml:space="preserve">W związku z prowadzeniem działalności w Specjalnej Strefie Ekonomicznej i korzystaniem przez jednostkę dominującą z ulg podatkowych dokonuje się ustalenia wartości aktywów z tytułu odroczonego podatku dochodowego, na bazie przewidywań dotyczących kształtowania się wysokości dochodu zwolnionego oraz okresu, w którym taki dochód może występować. Z uwagi na dużą zmienność koniunktury w branży IT, w której działa Grupa, może nastąpić sytuacja, w której rzeczywiste wyniki i dochód zwolniony mogą się różnić od tych prognozowanych przez </w:t>
      </w:r>
      <w:r w:rsidR="007171EC" w:rsidRPr="00765C97">
        <w:rPr>
          <w:rFonts w:ascii="Arial" w:hAnsi="Arial"/>
          <w:sz w:val="20"/>
          <w:lang w:val="pl-PL"/>
        </w:rPr>
        <w:t>Comarch</w:t>
      </w:r>
      <w:r w:rsidRPr="00765C97">
        <w:rPr>
          <w:rFonts w:ascii="Arial" w:hAnsi="Arial"/>
          <w:sz w:val="20"/>
          <w:lang w:val="pl-PL"/>
        </w:rPr>
        <w:t xml:space="preserve"> S</w:t>
      </w:r>
      <w:r w:rsidR="00C73F2A" w:rsidRPr="00765C97">
        <w:rPr>
          <w:rFonts w:ascii="Arial" w:hAnsi="Arial"/>
          <w:sz w:val="20"/>
          <w:lang w:val="pl-PL"/>
        </w:rPr>
        <w:t>.</w:t>
      </w:r>
      <w:r w:rsidRPr="00765C97">
        <w:rPr>
          <w:rFonts w:ascii="Arial" w:hAnsi="Arial"/>
          <w:sz w:val="20"/>
          <w:lang w:val="pl-PL"/>
        </w:rPr>
        <w:t>A.</w:t>
      </w:r>
      <w:r w:rsidR="00675794" w:rsidRPr="00765C97">
        <w:rPr>
          <w:rFonts w:ascii="Arial" w:hAnsi="Arial"/>
          <w:sz w:val="20"/>
          <w:lang w:val="pl-PL"/>
        </w:rPr>
        <w:t xml:space="preserve"> </w:t>
      </w:r>
      <w:r w:rsidR="00864542" w:rsidRPr="00765C97">
        <w:rPr>
          <w:rFonts w:ascii="Arial" w:hAnsi="Arial"/>
          <w:sz w:val="20"/>
          <w:lang w:val="pl-PL"/>
        </w:rPr>
        <w:t>Dlatego ze względu na zasadę ostrożności aktywa z tego tytułu ustala się jedynie w rocznym horyzoncie czasowym, przyjmując za bazę do jego ustalenia przeciętny dochód uzyskany z działalności strefowej z okresu 3 lat (łącznie z rokiem, za który jest sporządzane sprawozdanie).</w:t>
      </w:r>
    </w:p>
    <w:p w:rsidR="00B24DA9" w:rsidRPr="00765C97" w:rsidRDefault="004E7E0A" w:rsidP="00135A9A">
      <w:pPr>
        <w:pStyle w:val="Nagwek4"/>
        <w:numPr>
          <w:ilvl w:val="2"/>
          <w:numId w:val="14"/>
        </w:numPr>
        <w:spacing w:before="240" w:after="60"/>
        <w:ind w:left="1276" w:hanging="851"/>
        <w:rPr>
          <w:rFonts w:ascii="Arial" w:hAnsi="Arial"/>
          <w:sz w:val="20"/>
          <w:szCs w:val="20"/>
          <w:lang w:val="pl-PL"/>
        </w:rPr>
      </w:pPr>
      <w:r w:rsidRPr="00765C97">
        <w:rPr>
          <w:rFonts w:ascii="Arial" w:hAnsi="Arial"/>
          <w:sz w:val="20"/>
          <w:szCs w:val="20"/>
          <w:lang w:val="pl-PL"/>
        </w:rPr>
        <w:t>O</w:t>
      </w:r>
      <w:r w:rsidR="00B24DA9" w:rsidRPr="00765C97">
        <w:rPr>
          <w:rFonts w:ascii="Arial" w:hAnsi="Arial"/>
          <w:sz w:val="20"/>
          <w:szCs w:val="20"/>
          <w:lang w:val="pl-PL"/>
        </w:rPr>
        <w:t>szacowanie potencjalnych kosztów związanych z toczącymi się przeciwko Grupie postępowa</w:t>
      </w:r>
      <w:r w:rsidR="00444117" w:rsidRPr="00765C97">
        <w:rPr>
          <w:rFonts w:ascii="Arial" w:hAnsi="Arial"/>
          <w:sz w:val="20"/>
          <w:szCs w:val="20"/>
          <w:lang w:val="pl-PL"/>
        </w:rPr>
        <w:t>niami sądowymi zgodnie z MSR 37</w:t>
      </w:r>
    </w:p>
    <w:p w:rsidR="00B24DA9" w:rsidRPr="00765C97" w:rsidRDefault="00B24DA9" w:rsidP="000C3C74">
      <w:pPr>
        <w:keepLines/>
        <w:widowControl/>
        <w:adjustRightInd w:val="0"/>
        <w:jc w:val="both"/>
        <w:rPr>
          <w:rFonts w:ascii="Arial" w:hAnsi="Arial"/>
          <w:sz w:val="20"/>
          <w:lang w:val="pl-PL"/>
        </w:rPr>
      </w:pPr>
      <w:r w:rsidRPr="00765C97">
        <w:rPr>
          <w:rFonts w:ascii="Arial" w:hAnsi="Arial"/>
          <w:sz w:val="20"/>
          <w:lang w:val="pl-PL"/>
        </w:rPr>
        <w:t>Na dzień bilansowy Grupa jest powodem i pozwanym w postępowaniach sądowych. Sporządzając sprawozdanie finansowe, Grupa każdorazowo bada szanse i ryzyka związane z prowadzonymi postępowaniami sądowymi i stosownie do rezultatów takich analiz tworzy rezerwy na potencjalne straty. Zawsze istnieje jednak ryzyko, iż sąd wyda wyrok odmienny od przewidywań  i utworzone rezerwy okażą się niewystarczające lub nadmierne w stosunku do rzeczywistych wyników postępowań.</w:t>
      </w:r>
    </w:p>
    <w:p w:rsidR="00B24DA9" w:rsidRPr="00765C97" w:rsidRDefault="004E7E0A" w:rsidP="00135A9A">
      <w:pPr>
        <w:pStyle w:val="Nagwek4"/>
        <w:numPr>
          <w:ilvl w:val="2"/>
          <w:numId w:val="14"/>
        </w:numPr>
        <w:spacing w:before="240" w:after="60"/>
        <w:ind w:left="1276" w:hanging="851"/>
        <w:rPr>
          <w:rFonts w:ascii="Arial" w:hAnsi="Arial"/>
          <w:sz w:val="20"/>
          <w:szCs w:val="20"/>
          <w:lang w:val="pl-PL"/>
        </w:rPr>
      </w:pPr>
      <w:r w:rsidRPr="00765C97">
        <w:rPr>
          <w:rFonts w:ascii="Arial" w:hAnsi="Arial"/>
          <w:sz w:val="20"/>
          <w:szCs w:val="20"/>
          <w:lang w:val="pl-PL"/>
        </w:rPr>
        <w:t>O</w:t>
      </w:r>
      <w:r w:rsidR="00B24DA9" w:rsidRPr="00765C97">
        <w:rPr>
          <w:rFonts w:ascii="Arial" w:hAnsi="Arial"/>
          <w:sz w:val="20"/>
          <w:szCs w:val="20"/>
          <w:lang w:val="pl-PL"/>
        </w:rPr>
        <w:t>szacowanie związane z przeprowadzeniem dorocznego testu na utratę wartości firmy zgodnie z MSSF 3 i MSR 36</w:t>
      </w:r>
    </w:p>
    <w:p w:rsidR="00B24DA9" w:rsidRPr="00765C97" w:rsidRDefault="00B24DA9" w:rsidP="00B42FDB">
      <w:pPr>
        <w:keepLines/>
        <w:widowControl/>
        <w:adjustRightInd w:val="0"/>
        <w:jc w:val="both"/>
        <w:rPr>
          <w:rFonts w:ascii="Arial" w:hAnsi="Arial"/>
          <w:sz w:val="20"/>
          <w:lang w:val="pl-PL"/>
        </w:rPr>
      </w:pPr>
      <w:r w:rsidRPr="00765C97">
        <w:rPr>
          <w:rFonts w:ascii="Arial" w:hAnsi="Arial"/>
          <w:sz w:val="20"/>
          <w:lang w:val="pl-PL"/>
        </w:rPr>
        <w:t xml:space="preserve">Grupa przeprowadza na koniec każdego roku obrotowego test na utratę wartości firmy, zgodnie z polityką rachunkowości zawartą w nocie 3.4. W celu przeprowadzenia testu pod kątem możliwej utraty wartości, wartość firmy alokowana jest do ośrodków wypracowujących środki pieniężne. Wartość </w:t>
      </w:r>
      <w:r w:rsidR="00AA7AD7" w:rsidRPr="00765C97">
        <w:rPr>
          <w:rFonts w:ascii="Arial" w:hAnsi="Arial"/>
          <w:sz w:val="20"/>
          <w:lang w:val="pl-PL"/>
        </w:rPr>
        <w:t>odzyskiwalną</w:t>
      </w:r>
      <w:r w:rsidRPr="00765C97">
        <w:rPr>
          <w:rFonts w:ascii="Arial" w:hAnsi="Arial"/>
          <w:sz w:val="20"/>
          <w:lang w:val="pl-PL"/>
        </w:rPr>
        <w:t xml:space="preserve"> ustala się na podstawie </w:t>
      </w:r>
      <w:r w:rsidR="00AA7AD7" w:rsidRPr="00765C97">
        <w:rPr>
          <w:rFonts w:ascii="Arial" w:hAnsi="Arial"/>
          <w:sz w:val="20"/>
          <w:lang w:val="pl-PL"/>
        </w:rPr>
        <w:t xml:space="preserve">niższej z dwóch </w:t>
      </w:r>
      <w:r w:rsidRPr="00765C97">
        <w:rPr>
          <w:rFonts w:ascii="Arial" w:hAnsi="Arial"/>
          <w:sz w:val="20"/>
          <w:lang w:val="pl-PL"/>
        </w:rPr>
        <w:t>wartości</w:t>
      </w:r>
      <w:r w:rsidR="00AA7AD7" w:rsidRPr="00765C97">
        <w:rPr>
          <w:rFonts w:ascii="Arial" w:hAnsi="Arial"/>
          <w:sz w:val="20"/>
          <w:lang w:val="pl-PL"/>
        </w:rPr>
        <w:t xml:space="preserve">: wartości użytkowej lub wartości </w:t>
      </w:r>
      <w:r w:rsidR="000E1A52" w:rsidRPr="00765C97">
        <w:rPr>
          <w:rFonts w:ascii="Arial" w:hAnsi="Arial"/>
          <w:sz w:val="20"/>
          <w:lang w:val="pl-PL"/>
        </w:rPr>
        <w:t>godziwej</w:t>
      </w:r>
      <w:r w:rsidRPr="00765C97">
        <w:rPr>
          <w:rFonts w:ascii="Arial" w:hAnsi="Arial"/>
          <w:sz w:val="20"/>
          <w:lang w:val="pl-PL"/>
        </w:rPr>
        <w:t xml:space="preserve">. Wyliczenia te wymagają wykorzystania szacunków odnośnie projekcji przepływów pieniężnych w segmencie IT w kolejnym roku obrotowym oraz </w:t>
      </w:r>
      <w:r w:rsidR="00675794" w:rsidRPr="00765C97">
        <w:rPr>
          <w:rFonts w:ascii="Arial" w:hAnsi="Arial"/>
          <w:sz w:val="20"/>
          <w:lang w:val="pl-PL"/>
        </w:rPr>
        <w:t>przewidywanego rozwoju rynku IT w Polsce i regionach, w których Grupa prowadzi działalność, w latach późniejszych. Z uwagi na duża zmienność koniunktury w branży IT, w której działa Grupa, może nastąpić sytuacja, w której rzeczywiste przepływy mogą się różnić od tych prognozowanych przez Grupę.</w:t>
      </w:r>
    </w:p>
    <w:p w:rsidR="00B24DA9" w:rsidRPr="00765C97" w:rsidRDefault="004E7E0A" w:rsidP="00135A9A">
      <w:pPr>
        <w:pStyle w:val="Nagwek4"/>
        <w:numPr>
          <w:ilvl w:val="2"/>
          <w:numId w:val="14"/>
        </w:numPr>
        <w:spacing w:before="240" w:after="60"/>
        <w:ind w:left="1276" w:hanging="851"/>
        <w:rPr>
          <w:rFonts w:ascii="Arial" w:hAnsi="Arial"/>
          <w:sz w:val="20"/>
          <w:szCs w:val="20"/>
          <w:lang w:val="pl-PL"/>
        </w:rPr>
      </w:pPr>
      <w:r w:rsidRPr="00765C97">
        <w:rPr>
          <w:rFonts w:ascii="Arial" w:hAnsi="Arial"/>
          <w:sz w:val="20"/>
          <w:szCs w:val="20"/>
          <w:lang w:val="pl-PL"/>
        </w:rPr>
        <w:t>O</w:t>
      </w:r>
      <w:r w:rsidR="00B24DA9" w:rsidRPr="00765C97">
        <w:rPr>
          <w:rFonts w:ascii="Arial" w:hAnsi="Arial"/>
          <w:sz w:val="20"/>
          <w:szCs w:val="20"/>
          <w:lang w:val="pl-PL"/>
        </w:rPr>
        <w:t xml:space="preserve">szacowanie wartości godziwej wartości niematerialnych i prawnych nabytych w wyniku przejęcia </w:t>
      </w:r>
      <w:r w:rsidR="007171EC" w:rsidRPr="00765C97">
        <w:rPr>
          <w:rFonts w:ascii="Arial" w:hAnsi="Arial"/>
          <w:sz w:val="20"/>
          <w:szCs w:val="20"/>
          <w:lang w:val="pl-PL"/>
        </w:rPr>
        <w:t>Comarch SuB</w:t>
      </w:r>
    </w:p>
    <w:p w:rsidR="00DF05E5" w:rsidRPr="00765C97" w:rsidRDefault="00B24DA9" w:rsidP="00B42FDB">
      <w:pPr>
        <w:jc w:val="both"/>
        <w:rPr>
          <w:rFonts w:ascii="Arial" w:eastAsia="PMingLiU" w:hAnsi="Arial"/>
          <w:color w:val="000000"/>
          <w:sz w:val="20"/>
          <w:lang w:val="pl-PL"/>
        </w:rPr>
      </w:pPr>
      <w:r w:rsidRPr="00765C97">
        <w:rPr>
          <w:rFonts w:ascii="Arial" w:eastAsia="PMingLiU" w:hAnsi="Arial"/>
          <w:color w:val="000000"/>
          <w:sz w:val="20"/>
          <w:lang w:val="pl-PL"/>
        </w:rPr>
        <w:t xml:space="preserve">Na dzień przejęcia Grupy </w:t>
      </w:r>
      <w:r w:rsidR="007171EC" w:rsidRPr="00765C97">
        <w:rPr>
          <w:rFonts w:ascii="Arial" w:eastAsia="PMingLiU" w:hAnsi="Arial"/>
          <w:color w:val="000000"/>
          <w:sz w:val="20"/>
          <w:lang w:val="pl-PL"/>
        </w:rPr>
        <w:t>Comarch SuB</w:t>
      </w:r>
      <w:r w:rsidRPr="00765C97">
        <w:rPr>
          <w:rFonts w:ascii="Arial" w:eastAsia="PMingLiU" w:hAnsi="Arial"/>
          <w:color w:val="000000"/>
          <w:sz w:val="20"/>
          <w:lang w:val="pl-PL"/>
        </w:rPr>
        <w:t xml:space="preserve"> dokonano oszacowania wartości godziwej aktywów posiadanych przez Grupę </w:t>
      </w:r>
      <w:r w:rsidR="007171EC" w:rsidRPr="00765C97">
        <w:rPr>
          <w:rFonts w:ascii="Arial" w:eastAsia="PMingLiU" w:hAnsi="Arial"/>
          <w:color w:val="000000"/>
          <w:sz w:val="20"/>
          <w:lang w:val="pl-PL"/>
        </w:rPr>
        <w:t>Comarch SuB</w:t>
      </w:r>
      <w:r w:rsidRPr="00765C97">
        <w:rPr>
          <w:rFonts w:ascii="Arial" w:eastAsia="PMingLiU" w:hAnsi="Arial"/>
          <w:color w:val="000000"/>
          <w:sz w:val="20"/>
          <w:lang w:val="pl-PL"/>
        </w:rPr>
        <w:t xml:space="preserve">, w oparciu o model wyceny wartości użytkowej metodą zdyskontowanych przepływów pieniężnych DCF. </w:t>
      </w:r>
      <w:r w:rsidR="00714E53" w:rsidRPr="00765C97">
        <w:rPr>
          <w:rFonts w:ascii="Arial" w:hAnsi="Arial" w:cs="Arial"/>
          <w:sz w:val="20"/>
          <w:szCs w:val="20"/>
          <w:lang w:val="pl-PL"/>
        </w:rPr>
        <w:t>Prognozowane przepływy pieniężne związane z działalnością Comarch SuB baz</w:t>
      </w:r>
      <w:r w:rsidR="00540217" w:rsidRPr="00765C97">
        <w:rPr>
          <w:rFonts w:ascii="Arial" w:hAnsi="Arial" w:cs="Arial"/>
          <w:sz w:val="20"/>
          <w:szCs w:val="20"/>
          <w:lang w:val="pl-PL"/>
        </w:rPr>
        <w:t>owały</w:t>
      </w:r>
      <w:r w:rsidR="00714E53" w:rsidRPr="00765C97">
        <w:rPr>
          <w:rFonts w:ascii="Arial" w:hAnsi="Arial" w:cs="Arial"/>
          <w:sz w:val="20"/>
          <w:szCs w:val="20"/>
          <w:lang w:val="pl-PL"/>
        </w:rPr>
        <w:t xml:space="preserve"> na wynikach sprzedaży osiągniętych w roku 20</w:t>
      </w:r>
      <w:r w:rsidR="005A3574" w:rsidRPr="00765C97">
        <w:rPr>
          <w:rFonts w:ascii="Arial" w:hAnsi="Arial" w:cs="Arial"/>
          <w:sz w:val="20"/>
          <w:szCs w:val="20"/>
          <w:lang w:val="pl-PL"/>
        </w:rPr>
        <w:t>08</w:t>
      </w:r>
      <w:r w:rsidR="00714E53" w:rsidRPr="00765C97">
        <w:rPr>
          <w:rFonts w:ascii="Arial" w:hAnsi="Arial" w:cs="Arial"/>
          <w:sz w:val="20"/>
          <w:szCs w:val="20"/>
          <w:lang w:val="pl-PL"/>
        </w:rPr>
        <w:t>, budżecie Grupy Comarch SuB na rok 20</w:t>
      </w:r>
      <w:r w:rsidR="005A3574" w:rsidRPr="00765C97">
        <w:rPr>
          <w:rFonts w:ascii="Arial" w:hAnsi="Arial" w:cs="Arial"/>
          <w:sz w:val="20"/>
          <w:szCs w:val="20"/>
          <w:lang w:val="pl-PL"/>
        </w:rPr>
        <w:t>09</w:t>
      </w:r>
      <w:r w:rsidR="00714E53" w:rsidRPr="00765C97">
        <w:rPr>
          <w:rFonts w:ascii="Arial" w:hAnsi="Arial" w:cs="Arial"/>
          <w:sz w:val="20"/>
          <w:szCs w:val="20"/>
          <w:lang w:val="pl-PL"/>
        </w:rPr>
        <w:t xml:space="preserve"> oraz prognozach na lata 201</w:t>
      </w:r>
      <w:r w:rsidR="005A3574" w:rsidRPr="00765C97">
        <w:rPr>
          <w:rFonts w:ascii="Arial" w:hAnsi="Arial" w:cs="Arial"/>
          <w:sz w:val="20"/>
          <w:szCs w:val="20"/>
          <w:lang w:val="pl-PL"/>
        </w:rPr>
        <w:t>1</w:t>
      </w:r>
      <w:r w:rsidR="00714E53" w:rsidRPr="00765C97">
        <w:rPr>
          <w:rFonts w:ascii="Arial" w:hAnsi="Arial" w:cs="Arial"/>
          <w:sz w:val="20"/>
          <w:szCs w:val="20"/>
          <w:lang w:val="pl-PL"/>
        </w:rPr>
        <w:t>-201</w:t>
      </w:r>
      <w:r w:rsidR="005A3574" w:rsidRPr="00765C97">
        <w:rPr>
          <w:rFonts w:ascii="Arial" w:hAnsi="Arial" w:cs="Arial"/>
          <w:sz w:val="20"/>
          <w:szCs w:val="20"/>
          <w:lang w:val="pl-PL"/>
        </w:rPr>
        <w:t>3</w:t>
      </w:r>
      <w:r w:rsidR="00714E53" w:rsidRPr="00765C97">
        <w:rPr>
          <w:rFonts w:ascii="Arial" w:hAnsi="Arial" w:cs="Arial"/>
          <w:sz w:val="20"/>
          <w:szCs w:val="20"/>
          <w:lang w:val="pl-PL"/>
        </w:rPr>
        <w:t xml:space="preserve"> oraz na szacunkach dotyczących rozwoju rynku niemieckiego w kolejnych latach. Stopa dyskontowa zastosowana do oszacowania wartości bieżącej prognozowanych przepływów pieniężnych bazuje na średnim ważonym koszcie kapitału WACC. Poszczególne składniki WACC zostały oszacowane na podstawie danych rynkowych o stopie wolnej od ryzyka (rentowność bonów skarbowych), wartości współczynnika beta, danych o strukturze dług/kapitał oraz wartości oczekiwanej premii za ryzyko. Zastosowany w modelu wyceny średnioważony kosztu kapitału WACC wynosił </w:t>
      </w:r>
      <w:r w:rsidR="005A3574" w:rsidRPr="00765C97">
        <w:rPr>
          <w:rFonts w:ascii="Arial" w:hAnsi="Arial" w:cs="Arial"/>
          <w:sz w:val="20"/>
          <w:szCs w:val="20"/>
          <w:lang w:val="pl-PL"/>
        </w:rPr>
        <w:t>11,9</w:t>
      </w:r>
      <w:r w:rsidR="00714E53" w:rsidRPr="00765C97">
        <w:rPr>
          <w:rFonts w:ascii="Arial" w:hAnsi="Arial" w:cs="Arial"/>
          <w:sz w:val="20"/>
          <w:szCs w:val="20"/>
          <w:lang w:val="pl-PL"/>
        </w:rPr>
        <w:t>%.</w:t>
      </w:r>
    </w:p>
    <w:p w:rsidR="00B24DA9" w:rsidRPr="00765C97" w:rsidRDefault="00B24DA9" w:rsidP="00135A9A">
      <w:pPr>
        <w:pStyle w:val="Nagwek3"/>
        <w:numPr>
          <w:ilvl w:val="1"/>
          <w:numId w:val="14"/>
        </w:numPr>
        <w:spacing w:after="240"/>
        <w:ind w:left="709" w:hanging="539"/>
        <w:rPr>
          <w:sz w:val="20"/>
          <w:lang w:val="pl-PL"/>
        </w:rPr>
      </w:pPr>
      <w:bookmarkStart w:id="39" w:name="_Toc353973207"/>
      <w:r w:rsidRPr="00765C97">
        <w:rPr>
          <w:sz w:val="20"/>
          <w:lang w:val="pl-PL"/>
        </w:rPr>
        <w:t>Nowe standardy rachunkowości i interpretacje KIMSF</w:t>
      </w:r>
      <w:bookmarkEnd w:id="39"/>
    </w:p>
    <w:p w:rsidR="003D34C1" w:rsidRPr="00765C97" w:rsidRDefault="003D34C1" w:rsidP="00B42FDB">
      <w:pPr>
        <w:adjustRightInd w:val="0"/>
        <w:jc w:val="both"/>
        <w:rPr>
          <w:rFonts w:ascii="Arial" w:hAnsi="Arial" w:cs="Arial"/>
          <w:sz w:val="20"/>
          <w:szCs w:val="20"/>
          <w:lang w:val="pl-PL"/>
        </w:rPr>
      </w:pPr>
      <w:r w:rsidRPr="00765C97">
        <w:rPr>
          <w:rFonts w:ascii="Arial" w:hAnsi="Arial" w:cs="Arial"/>
          <w:sz w:val="20"/>
          <w:szCs w:val="20"/>
          <w:lang w:val="pl-PL"/>
        </w:rPr>
        <w:t>Skonsolidowane sprawozdanie finansowe zostało sporządzone według Międzynarodowych Standardów Sprawozdawczości Finansowej (MSSF), w kształcie zatwierdzonym przez Unię Europejską (UE).</w:t>
      </w:r>
    </w:p>
    <w:p w:rsidR="003D34C1" w:rsidRPr="00765C97" w:rsidRDefault="003D34C1" w:rsidP="00B42FDB">
      <w:pPr>
        <w:adjustRightInd w:val="0"/>
        <w:jc w:val="both"/>
        <w:rPr>
          <w:rFonts w:ascii="Arial" w:hAnsi="Arial" w:cs="Arial"/>
          <w:sz w:val="20"/>
          <w:szCs w:val="20"/>
          <w:lang w:val="pl-PL"/>
        </w:rPr>
      </w:pPr>
    </w:p>
    <w:p w:rsidR="00C81AC8" w:rsidRPr="00765C97" w:rsidRDefault="00C81AC8" w:rsidP="00B42FDB">
      <w:pPr>
        <w:adjustRightInd w:val="0"/>
        <w:jc w:val="both"/>
        <w:rPr>
          <w:rFonts w:ascii="Arial" w:hAnsi="Arial" w:cs="Arial"/>
          <w:sz w:val="20"/>
          <w:szCs w:val="20"/>
          <w:lang w:val="pl-PL"/>
        </w:rPr>
      </w:pPr>
      <w:r w:rsidRPr="00765C97">
        <w:rPr>
          <w:rFonts w:ascii="Arial" w:hAnsi="Arial" w:cs="Arial"/>
          <w:sz w:val="20"/>
          <w:szCs w:val="20"/>
          <w:lang w:val="pl-PL"/>
        </w:rPr>
        <w:t>Zasady (polityka) rachunkowości zastosowane do sporządzenia niniejszego skonsolidowanego sprawozdania finansowego za rok obrotowy zakończony 31 grudnia 201</w:t>
      </w:r>
      <w:r w:rsidR="0038036F" w:rsidRPr="00765C97">
        <w:rPr>
          <w:rFonts w:ascii="Arial" w:hAnsi="Arial" w:cs="Arial"/>
          <w:sz w:val="20"/>
          <w:szCs w:val="20"/>
          <w:lang w:val="pl-PL"/>
        </w:rPr>
        <w:t>2</w:t>
      </w:r>
      <w:r w:rsidRPr="00765C97">
        <w:rPr>
          <w:rFonts w:ascii="Arial" w:hAnsi="Arial" w:cs="Arial"/>
          <w:sz w:val="20"/>
          <w:szCs w:val="20"/>
          <w:lang w:val="pl-PL"/>
        </w:rPr>
        <w:t xml:space="preserve"> roku są spójne z tymi, które zastosowano przy sporządzeniu skonsolidowanego sprawozdania finansowego za rok obrotowy zakończony 31 grudnia 20</w:t>
      </w:r>
      <w:r w:rsidR="002432A1" w:rsidRPr="00765C97">
        <w:rPr>
          <w:rFonts w:ascii="Arial" w:hAnsi="Arial" w:cs="Arial"/>
          <w:sz w:val="20"/>
          <w:szCs w:val="20"/>
          <w:lang w:val="pl-PL"/>
        </w:rPr>
        <w:t>1</w:t>
      </w:r>
      <w:r w:rsidR="0038036F" w:rsidRPr="00765C97">
        <w:rPr>
          <w:rFonts w:ascii="Arial" w:hAnsi="Arial" w:cs="Arial"/>
          <w:sz w:val="20"/>
          <w:szCs w:val="20"/>
          <w:lang w:val="pl-PL"/>
        </w:rPr>
        <w:t>1</w:t>
      </w:r>
      <w:r w:rsidRPr="00765C97">
        <w:rPr>
          <w:rFonts w:ascii="Arial" w:hAnsi="Arial" w:cs="Arial"/>
          <w:sz w:val="20"/>
          <w:szCs w:val="20"/>
          <w:lang w:val="pl-PL"/>
        </w:rPr>
        <w:t xml:space="preserve"> roku, z </w:t>
      </w:r>
      <w:r w:rsidR="003C51C3" w:rsidRPr="00765C97">
        <w:rPr>
          <w:rFonts w:ascii="Arial" w:hAnsi="Arial" w:cs="Arial"/>
          <w:sz w:val="20"/>
          <w:szCs w:val="20"/>
          <w:lang w:val="pl-PL"/>
        </w:rPr>
        <w:t>uwzględnienie</w:t>
      </w:r>
      <w:r w:rsidRPr="00765C97">
        <w:rPr>
          <w:rFonts w:ascii="Arial" w:hAnsi="Arial" w:cs="Arial"/>
          <w:sz w:val="20"/>
          <w:szCs w:val="20"/>
          <w:lang w:val="pl-PL"/>
        </w:rPr>
        <w:t>m zmian opisanych poniżej. Zastosowano takie same zasady dla okresu bieżącego i porównywalnego, chyba że standard lub interpretacja zakładały wyłącznie prospektywne zastosowanie.</w:t>
      </w:r>
    </w:p>
    <w:p w:rsidR="00F00719" w:rsidRPr="00765C97" w:rsidRDefault="00F00719">
      <w:pPr>
        <w:widowControl/>
        <w:autoSpaceDE/>
        <w:autoSpaceDN/>
        <w:rPr>
          <w:rFonts w:ascii="Arial" w:hAnsi="Arial" w:cs="Arial"/>
          <w:b/>
          <w:i/>
          <w:sz w:val="20"/>
          <w:szCs w:val="20"/>
          <w:lang w:val="pl-PL"/>
        </w:rPr>
      </w:pPr>
    </w:p>
    <w:p w:rsidR="002432A1" w:rsidRPr="00765C97" w:rsidRDefault="002432A1" w:rsidP="00B42FDB">
      <w:pPr>
        <w:pStyle w:val="Tekstpodstawowy2"/>
        <w:spacing w:after="0" w:line="240" w:lineRule="auto"/>
        <w:jc w:val="both"/>
        <w:rPr>
          <w:rFonts w:ascii="Arial" w:hAnsi="Arial" w:cs="Arial"/>
          <w:b/>
          <w:i/>
          <w:sz w:val="20"/>
          <w:szCs w:val="20"/>
          <w:lang w:val="pl-PL"/>
        </w:rPr>
      </w:pPr>
      <w:r w:rsidRPr="00765C97">
        <w:rPr>
          <w:rFonts w:ascii="Arial" w:hAnsi="Arial" w:cs="Arial"/>
          <w:b/>
          <w:i/>
          <w:sz w:val="20"/>
          <w:szCs w:val="20"/>
          <w:lang w:val="pl-PL"/>
        </w:rPr>
        <w:t>Standardy i interpretacje zastosowane po raz pierwszy w roku 201</w:t>
      </w:r>
      <w:r w:rsidR="0038036F" w:rsidRPr="00765C97">
        <w:rPr>
          <w:rFonts w:ascii="Arial" w:hAnsi="Arial" w:cs="Arial"/>
          <w:b/>
          <w:i/>
          <w:sz w:val="20"/>
          <w:szCs w:val="20"/>
          <w:lang w:val="pl-PL"/>
        </w:rPr>
        <w:t>2</w:t>
      </w:r>
    </w:p>
    <w:p w:rsidR="002432A1" w:rsidRPr="00765C97" w:rsidRDefault="002432A1" w:rsidP="002432A1">
      <w:pPr>
        <w:pStyle w:val="Tekstpodstawowy2"/>
        <w:spacing w:after="0" w:line="240" w:lineRule="auto"/>
        <w:ind w:left="181"/>
        <w:jc w:val="both"/>
        <w:rPr>
          <w:b/>
          <w:i/>
          <w:sz w:val="20"/>
          <w:szCs w:val="20"/>
          <w:lang w:val="pl-PL"/>
        </w:rPr>
      </w:pPr>
    </w:p>
    <w:p w:rsidR="0038036F" w:rsidRPr="00765C97" w:rsidRDefault="0038036F" w:rsidP="0038036F">
      <w:pPr>
        <w:widowControl/>
        <w:adjustRightInd w:val="0"/>
        <w:jc w:val="both"/>
        <w:rPr>
          <w:rFonts w:ascii="Arial" w:hAnsi="Arial" w:cs="Arial"/>
          <w:sz w:val="20"/>
          <w:szCs w:val="20"/>
          <w:lang w:val="pl-PL"/>
        </w:rPr>
      </w:pPr>
      <w:r w:rsidRPr="00765C97">
        <w:rPr>
          <w:rFonts w:ascii="Arial" w:hAnsi="Arial" w:cs="Arial"/>
          <w:sz w:val="20"/>
          <w:szCs w:val="20"/>
          <w:lang w:val="pl-PL"/>
        </w:rPr>
        <w:t>Następujące zmiany do istniejących standardów opublikowanych przez Radę Międzynarodowych Standardów Rachunkowości oraz zatwierdzone przez UE weszły w życie w roku 2012:</w:t>
      </w:r>
    </w:p>
    <w:p w:rsidR="0038036F" w:rsidRPr="00765C97" w:rsidRDefault="0038036F" w:rsidP="0038036F">
      <w:pPr>
        <w:widowControl/>
        <w:adjustRightInd w:val="0"/>
        <w:jc w:val="both"/>
        <w:rPr>
          <w:rFonts w:ascii="Arial" w:hAnsi="Arial" w:cs="Arial"/>
          <w:sz w:val="20"/>
          <w:szCs w:val="20"/>
          <w:lang w:val="pl-PL"/>
        </w:rPr>
      </w:pPr>
    </w:p>
    <w:p w:rsidR="0038036F" w:rsidRPr="00765C97" w:rsidRDefault="0038036F" w:rsidP="0038036F">
      <w:pPr>
        <w:widowControl/>
        <w:adjustRightInd w:val="0"/>
        <w:jc w:val="both"/>
        <w:rPr>
          <w:rFonts w:ascii="Arial" w:hAnsi="Arial" w:cs="Arial"/>
          <w:sz w:val="20"/>
          <w:szCs w:val="20"/>
          <w:lang w:val="pl-PL"/>
        </w:rPr>
      </w:pPr>
      <w:r w:rsidRPr="00765C97">
        <w:rPr>
          <w:rFonts w:ascii="Arial" w:hAnsi="Arial" w:cs="Arial"/>
          <w:b/>
          <w:sz w:val="20"/>
          <w:szCs w:val="20"/>
          <w:lang w:val="pl-PL"/>
        </w:rPr>
        <w:t>Zmiany do MSSF 7 „Instrumenty finansowe: ujawnianie informacji”</w:t>
      </w:r>
      <w:r w:rsidRPr="00765C97">
        <w:rPr>
          <w:rFonts w:ascii="Arial" w:hAnsi="Arial" w:cs="Arial"/>
          <w:sz w:val="20"/>
          <w:szCs w:val="20"/>
          <w:lang w:val="pl-PL"/>
        </w:rPr>
        <w:t>–przeniesienia aktywów finansowych, zatwierdzone w UE w dniu 22 listopada 2011 roku (obowiązujące w odniesieniu do okresów rocznych rozpoczynających się 1 lipca 2011 roku lub po tej dacie).</w:t>
      </w:r>
    </w:p>
    <w:p w:rsidR="0038036F" w:rsidRPr="00765C97" w:rsidRDefault="0038036F" w:rsidP="0038036F">
      <w:pPr>
        <w:widowControl/>
        <w:adjustRightInd w:val="0"/>
        <w:jc w:val="both"/>
        <w:rPr>
          <w:rFonts w:ascii="Arial" w:hAnsi="Arial" w:cs="Arial"/>
          <w:sz w:val="20"/>
          <w:szCs w:val="20"/>
          <w:lang w:val="pl-PL"/>
        </w:rPr>
      </w:pPr>
    </w:p>
    <w:p w:rsidR="0038036F" w:rsidRPr="00765C97" w:rsidRDefault="0038036F" w:rsidP="0038036F">
      <w:pPr>
        <w:widowControl/>
        <w:adjustRightInd w:val="0"/>
        <w:jc w:val="both"/>
        <w:rPr>
          <w:rFonts w:ascii="Arial" w:hAnsi="Arial" w:cs="Arial"/>
          <w:sz w:val="20"/>
          <w:szCs w:val="20"/>
          <w:lang w:val="pl-PL"/>
        </w:rPr>
      </w:pPr>
      <w:r w:rsidRPr="00765C97">
        <w:rPr>
          <w:rFonts w:ascii="Arial" w:hAnsi="Arial" w:cs="Arial"/>
          <w:sz w:val="20"/>
          <w:szCs w:val="20"/>
          <w:lang w:val="pl-PL"/>
        </w:rPr>
        <w:t>Ww</w:t>
      </w:r>
      <w:r w:rsidR="007751B8" w:rsidRPr="00765C97">
        <w:rPr>
          <w:rFonts w:ascii="Arial" w:hAnsi="Arial" w:cs="Arial"/>
          <w:sz w:val="20"/>
          <w:szCs w:val="20"/>
          <w:lang w:val="pl-PL"/>
        </w:rPr>
        <w:t>.</w:t>
      </w:r>
      <w:r w:rsidRPr="00765C97">
        <w:rPr>
          <w:rFonts w:ascii="Arial" w:hAnsi="Arial" w:cs="Arial"/>
          <w:sz w:val="20"/>
          <w:szCs w:val="20"/>
          <w:lang w:val="pl-PL"/>
        </w:rPr>
        <w:t xml:space="preserve"> zmiany do standardów nie miały istotnego wpływu na dotychczas stosowaną politykę rachunkowości jednostki.</w:t>
      </w:r>
    </w:p>
    <w:p w:rsidR="007751B8" w:rsidRPr="00765C97" w:rsidRDefault="007751B8" w:rsidP="0038036F">
      <w:pPr>
        <w:pStyle w:val="Tekstpodstawowy3"/>
        <w:rPr>
          <w:rFonts w:ascii="Arial" w:hAnsi="Arial" w:cs="Arial"/>
          <w:b/>
          <w:i/>
          <w:sz w:val="20"/>
          <w:szCs w:val="20"/>
          <w:lang w:val="pl-PL"/>
        </w:rPr>
      </w:pPr>
    </w:p>
    <w:p w:rsidR="0038036F" w:rsidRPr="00765C97" w:rsidRDefault="0038036F" w:rsidP="0038036F">
      <w:pPr>
        <w:pStyle w:val="Tekstpodstawowy3"/>
        <w:rPr>
          <w:rFonts w:ascii="Arial" w:hAnsi="Arial" w:cs="Arial"/>
          <w:i/>
          <w:sz w:val="20"/>
          <w:szCs w:val="20"/>
          <w:lang w:val="pl-PL"/>
        </w:rPr>
      </w:pPr>
      <w:r w:rsidRPr="00765C97">
        <w:rPr>
          <w:rFonts w:ascii="Arial" w:hAnsi="Arial" w:cs="Arial"/>
          <w:b/>
          <w:i/>
          <w:sz w:val="20"/>
          <w:szCs w:val="20"/>
          <w:lang w:val="pl-PL"/>
        </w:rPr>
        <w:t>Standardy i interpretacje, jakie zostały już opublikowane i zatwierdzone przez UE, ale jeszcze nie weszły w życie</w:t>
      </w:r>
    </w:p>
    <w:p w:rsidR="0038036F" w:rsidRPr="00765C97" w:rsidRDefault="0038036F" w:rsidP="00ED694B">
      <w:pPr>
        <w:pStyle w:val="Tekstpodstawowy3"/>
        <w:spacing w:after="0"/>
        <w:jc w:val="both"/>
        <w:rPr>
          <w:rFonts w:ascii="Arial" w:hAnsi="Arial" w:cs="Arial"/>
          <w:sz w:val="20"/>
          <w:szCs w:val="20"/>
          <w:lang w:val="pl-PL"/>
        </w:rPr>
      </w:pPr>
      <w:r w:rsidRPr="00765C97">
        <w:rPr>
          <w:rFonts w:ascii="Arial" w:hAnsi="Arial" w:cs="Arial"/>
          <w:sz w:val="20"/>
          <w:szCs w:val="20"/>
          <w:lang w:val="pl-PL"/>
        </w:rPr>
        <w:t>Zatwierdzając niniejsze sprawozdanie finansowe Grupa Comarch nie zastosowała następujących standardów, zmian standardów i interpretacji, które zostały opublikowane i zatwierdzone do stosowania w UE, ale które nie weszły jeszcze w życie:</w:t>
      </w:r>
    </w:p>
    <w:p w:rsidR="00ED694B" w:rsidRPr="00765C97" w:rsidRDefault="00ED694B" w:rsidP="00ED694B">
      <w:pPr>
        <w:pStyle w:val="Tekstpodstawowy3"/>
        <w:spacing w:after="0"/>
        <w:jc w:val="both"/>
        <w:rPr>
          <w:rFonts w:ascii="Arial" w:hAnsi="Arial" w:cs="Arial"/>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z w:val="20"/>
          <w:szCs w:val="20"/>
          <w:lang w:val="pl-PL"/>
        </w:rPr>
        <w:t>MSSF 10 „Skonsolidowane sprawozdania finansowe”</w:t>
      </w:r>
      <w:r w:rsidRPr="00765C97">
        <w:rPr>
          <w:rFonts w:ascii="Arial" w:hAnsi="Arial" w:cs="Arial"/>
          <w:color w:val="000000"/>
          <w:sz w:val="20"/>
          <w:szCs w:val="20"/>
          <w:lang w:val="pl-PL"/>
        </w:rPr>
        <w:t>, zatwierdzone w UE w dniu 11 grudnia 2012 roku (obowiązujący w odniesieniu do okresów rocznych rozpoczynających się 1 stycznia 2014 roku lub po tej dacie),</w:t>
      </w:r>
    </w:p>
    <w:p w:rsidR="00ED694B" w:rsidRPr="00765C97" w:rsidRDefault="00ED694B" w:rsidP="00ED694B">
      <w:pPr>
        <w:pStyle w:val="Akapitzlist"/>
        <w:ind w:left="360"/>
        <w:jc w:val="both"/>
        <w:rPr>
          <w:rFonts w:ascii="Arial" w:hAnsi="Arial" w:cs="Arial"/>
          <w:color w:val="00000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z w:val="20"/>
          <w:szCs w:val="20"/>
          <w:lang w:val="pl-PL"/>
        </w:rPr>
        <w:t>MSSF 11 „Wspólne ustalenia umowne”</w:t>
      </w:r>
      <w:r w:rsidRPr="00765C97">
        <w:rPr>
          <w:rFonts w:ascii="Arial" w:hAnsi="Arial" w:cs="Arial"/>
          <w:color w:val="000000"/>
          <w:sz w:val="20"/>
          <w:szCs w:val="20"/>
          <w:lang w:val="pl-PL"/>
        </w:rPr>
        <w:t>, zatwierdzone w UE w dniu 11 grudnia 2012 roku (obowiązujący w odniesieniu do okresów rocznych rozpoczynających się 1 stycznia 2014 roku lub po tej dacie),</w:t>
      </w:r>
    </w:p>
    <w:p w:rsidR="00ED694B" w:rsidRPr="00765C97" w:rsidRDefault="00ED694B" w:rsidP="00ED694B">
      <w:pPr>
        <w:pStyle w:val="Akapitzlist"/>
        <w:ind w:left="360"/>
        <w:jc w:val="both"/>
        <w:rPr>
          <w:rFonts w:ascii="Arial" w:hAnsi="Arial" w:cs="Arial"/>
          <w:color w:val="00000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z w:val="20"/>
          <w:szCs w:val="20"/>
          <w:lang w:val="pl-PL"/>
        </w:rPr>
        <w:t>MSSF 12 „Ujawnienie informacji na temat udziałów w innych jednostkach”</w:t>
      </w:r>
      <w:r w:rsidRPr="00765C97">
        <w:rPr>
          <w:rFonts w:ascii="Arial" w:hAnsi="Arial" w:cs="Arial"/>
          <w:color w:val="000000"/>
          <w:sz w:val="20"/>
          <w:szCs w:val="20"/>
          <w:lang w:val="pl-PL"/>
        </w:rPr>
        <w:t>, zatwierdzone w UE w dniu 11 grudnia 2012 roku (obowiązujący w odniesieniu do okresów rocznych rozpoczynających się 1 stycznia 2014 roku lub po tej dacie),</w:t>
      </w:r>
    </w:p>
    <w:p w:rsidR="00ED694B" w:rsidRPr="00765C97" w:rsidRDefault="00ED694B" w:rsidP="00ED694B">
      <w:pPr>
        <w:pStyle w:val="Akapitzlist"/>
        <w:ind w:left="360"/>
        <w:jc w:val="both"/>
        <w:rPr>
          <w:rFonts w:ascii="Arial" w:hAnsi="Arial" w:cs="Arial"/>
          <w:color w:val="00000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z w:val="20"/>
          <w:szCs w:val="20"/>
          <w:lang w:val="pl-PL"/>
        </w:rPr>
        <w:t>MSSF 13 „Ustalenie wartości godziwej”</w:t>
      </w:r>
      <w:r w:rsidRPr="00765C97">
        <w:rPr>
          <w:rFonts w:ascii="Arial" w:hAnsi="Arial" w:cs="Arial"/>
          <w:color w:val="000000"/>
          <w:sz w:val="20"/>
          <w:szCs w:val="20"/>
          <w:lang w:val="pl-PL"/>
        </w:rPr>
        <w:t>, zatwierdzone w UE w dniu 11 grudnia 2012 roku (obowiązujący w odniesieniu do okresów rocznych rozpoczynających się 1 stycznia 2013 roku lub po tej dacie),</w:t>
      </w:r>
    </w:p>
    <w:p w:rsidR="00ED694B" w:rsidRPr="00765C97" w:rsidRDefault="00ED694B" w:rsidP="00ED694B">
      <w:pPr>
        <w:pStyle w:val="Akapitzlist"/>
        <w:ind w:left="360"/>
        <w:jc w:val="both"/>
        <w:rPr>
          <w:rFonts w:ascii="Arial" w:hAnsi="Arial" w:cs="Arial"/>
          <w:color w:val="00000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z w:val="20"/>
          <w:szCs w:val="20"/>
          <w:lang w:val="pl-PL"/>
        </w:rPr>
        <w:t>MSR 27 (znowelizowany w roku 2011) „Jednostkowe sprawozdania finansowe”</w:t>
      </w:r>
      <w:r w:rsidRPr="00765C97">
        <w:rPr>
          <w:rFonts w:ascii="Arial" w:hAnsi="Arial" w:cs="Arial"/>
          <w:color w:val="000000"/>
          <w:sz w:val="20"/>
          <w:szCs w:val="20"/>
          <w:lang w:val="pl-PL"/>
        </w:rPr>
        <w:t>, zatwierdzone w UE w dniu 11 grudnia 2012 roku (obowiązujący w odniesieniu do okresów rocznych rozpoczynających się 1 stycznia 2014 roku lub po tej dacie),</w:t>
      </w:r>
    </w:p>
    <w:p w:rsidR="00ED694B" w:rsidRPr="00765C97" w:rsidRDefault="00ED694B" w:rsidP="00ED694B">
      <w:pPr>
        <w:pStyle w:val="Akapitzlist"/>
        <w:ind w:left="360"/>
        <w:jc w:val="both"/>
        <w:rPr>
          <w:rFonts w:ascii="Arial" w:hAnsi="Arial" w:cs="Arial"/>
          <w:color w:val="00000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z w:val="20"/>
          <w:szCs w:val="20"/>
          <w:lang w:val="pl-PL"/>
        </w:rPr>
        <w:t>MSR 28 (znowelizowany w roku 2011) „Inwestycje w jednostkach stowarzyszonych i wspólnych przedsięwzięciach”</w:t>
      </w:r>
      <w:r w:rsidRPr="00765C97">
        <w:rPr>
          <w:rFonts w:ascii="Arial" w:hAnsi="Arial" w:cs="Arial"/>
          <w:color w:val="000000"/>
          <w:sz w:val="20"/>
          <w:szCs w:val="20"/>
          <w:lang w:val="pl-PL"/>
        </w:rPr>
        <w:t>, zatwierdzone w UE w dniu 11 grudnia 2012 roku (obowiązujący w odniesieniu do okresów rocznych rozpoczynających się 1 stycznia 2014 roku lub po tej dacie),</w:t>
      </w:r>
    </w:p>
    <w:p w:rsidR="00ED694B" w:rsidRPr="00765C97" w:rsidRDefault="00ED694B" w:rsidP="00ED694B">
      <w:pPr>
        <w:pStyle w:val="Akapitzlist"/>
        <w:ind w:left="360"/>
        <w:jc w:val="both"/>
        <w:rPr>
          <w:rFonts w:ascii="Arial" w:hAnsi="Arial" w:cs="Arial"/>
          <w:color w:val="00000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z w:val="20"/>
          <w:szCs w:val="20"/>
          <w:lang w:val="pl-PL"/>
        </w:rPr>
        <w:t>Zmiany do MSSF 1 „Zastosowanie MSSF po raz pierwszy”</w:t>
      </w:r>
      <w:r w:rsidRPr="00765C97">
        <w:rPr>
          <w:rFonts w:ascii="Arial" w:hAnsi="Arial" w:cs="Arial"/>
          <w:color w:val="000000"/>
          <w:sz w:val="20"/>
          <w:szCs w:val="20"/>
          <w:lang w:val="pl-PL"/>
        </w:rPr>
        <w:t xml:space="preserve"> – Silna hiperinflacja i usunięcie sztywnych terminów dla stosujących MSSF po raz pierwszy, zatwierdzone w UE w dniu 11 grudnia 2012 roku (obowiązujący w odniesieniu do okresów rocznych rozpoczynających się 1 stycznia 2013 roku lub po tej dacie),</w:t>
      </w:r>
    </w:p>
    <w:p w:rsidR="00ED694B" w:rsidRPr="00765C97" w:rsidRDefault="00ED694B" w:rsidP="00ED694B">
      <w:pPr>
        <w:pStyle w:val="Akapitzlist"/>
        <w:ind w:left="360"/>
        <w:jc w:val="both"/>
        <w:rPr>
          <w:rFonts w:ascii="Arial" w:hAnsi="Arial" w:cs="Arial"/>
          <w:color w:val="00000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z w:val="20"/>
          <w:szCs w:val="20"/>
          <w:lang w:val="pl-PL"/>
        </w:rPr>
        <w:t>Zmiany do MSSF 1 „Zastosowanie MSSF po raz pierwszy”</w:t>
      </w:r>
      <w:r w:rsidRPr="00765C97">
        <w:rPr>
          <w:rFonts w:ascii="Arial" w:hAnsi="Arial" w:cs="Arial"/>
          <w:color w:val="000000"/>
          <w:sz w:val="20"/>
          <w:szCs w:val="20"/>
          <w:lang w:val="pl-PL"/>
        </w:rPr>
        <w:t xml:space="preserve"> – Pożyczki rządowe, zatwierdzone w UE w dniu 4 marca 2013 roku (obowiązujący w odniesieniu do okresów rocznych rozpoczynających się 1 stycznia 2013 roku lub po tej dacie),</w:t>
      </w:r>
    </w:p>
    <w:p w:rsidR="00ED694B" w:rsidRPr="00765C97" w:rsidRDefault="00ED694B" w:rsidP="00ED694B">
      <w:pPr>
        <w:pStyle w:val="Akapitzlist"/>
        <w:ind w:left="360"/>
        <w:jc w:val="both"/>
        <w:rPr>
          <w:rFonts w:ascii="Arial" w:hAnsi="Arial" w:cs="Arial"/>
          <w:color w:val="00000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z w:val="20"/>
          <w:szCs w:val="20"/>
          <w:lang w:val="pl-PL"/>
        </w:rPr>
        <w:t>Zmiany do MSSF 7 „Instrumenty finansowe: ujawnianie informacji”</w:t>
      </w:r>
      <w:r w:rsidRPr="00765C97">
        <w:rPr>
          <w:rFonts w:ascii="Arial" w:hAnsi="Arial" w:cs="Arial"/>
          <w:color w:val="000000"/>
          <w:sz w:val="20"/>
          <w:szCs w:val="20"/>
          <w:lang w:val="pl-PL"/>
        </w:rPr>
        <w:t xml:space="preserve"> – kompensowanie aktywów finansowych i zobowiązań finansowych, zatwierdzone w UE w dniu 13 grudnia 2012 roku (obowiązujący w odniesieniu do okresów rocznych rozpoczynających się 1 stycznia 2013 roku lub po tej dacie),</w:t>
      </w:r>
    </w:p>
    <w:p w:rsidR="00ED694B" w:rsidRPr="00765C97" w:rsidRDefault="00ED694B" w:rsidP="00ED694B">
      <w:pPr>
        <w:pStyle w:val="Akapitzlist"/>
        <w:ind w:left="360"/>
        <w:jc w:val="both"/>
        <w:rPr>
          <w:rFonts w:ascii="Arial" w:hAnsi="Arial" w:cs="Arial"/>
          <w:color w:val="00000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z w:val="20"/>
          <w:szCs w:val="20"/>
          <w:lang w:val="pl-PL"/>
        </w:rPr>
        <w:t>Zmiany do MSSF 10 „Skonsolidowane sprawozdania finansowe”, MSSF 11 „Wspólne ustalenia umowne” oraz MSSF 12 „Ujawnienie informacji na temat udziałów w innych jednostkach”</w:t>
      </w:r>
      <w:r w:rsidRPr="00765C97">
        <w:rPr>
          <w:rFonts w:ascii="Arial" w:hAnsi="Arial" w:cs="Arial"/>
          <w:color w:val="000000"/>
          <w:sz w:val="20"/>
          <w:szCs w:val="20"/>
          <w:lang w:val="pl-PL"/>
        </w:rPr>
        <w:t xml:space="preserve"> – objaśnienia na temat przepisów przejściowych, zatwierdzone w UE w dniu 4 kwietnia 2013 roku (obowiązujący w odniesieniu do okresów rocznych rozpoczynających się 1 stycznia 2014 roku lub po tej dacie),</w:t>
      </w:r>
    </w:p>
    <w:p w:rsidR="00ED694B" w:rsidRPr="00765C97" w:rsidRDefault="00ED694B" w:rsidP="00ED694B">
      <w:pPr>
        <w:pStyle w:val="Akapitzlist"/>
        <w:ind w:left="360"/>
        <w:jc w:val="both"/>
        <w:rPr>
          <w:rFonts w:ascii="Arial" w:hAnsi="Arial" w:cs="Arial"/>
          <w:color w:val="00000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z w:val="20"/>
          <w:szCs w:val="20"/>
          <w:lang w:val="pl-PL"/>
        </w:rPr>
        <w:t xml:space="preserve">Zmiany do MSR 1 „Prezentacja sprawozdań finansowych” - </w:t>
      </w:r>
      <w:r w:rsidRPr="00765C97">
        <w:rPr>
          <w:rFonts w:ascii="Arial" w:hAnsi="Arial" w:cs="Arial"/>
          <w:color w:val="000000"/>
          <w:sz w:val="20"/>
          <w:szCs w:val="20"/>
          <w:lang w:val="pl-PL"/>
        </w:rPr>
        <w:t>prezentacja składników innych całkowitych dochodów, zatwierdzone w UE w dniu 5 czerwca 2012 roku (obowiązujący w odniesieniu do okresów rocznych rozpoczynających się 1 lipca 2012 roku lub po tej dacie),</w:t>
      </w:r>
    </w:p>
    <w:p w:rsidR="00ED694B" w:rsidRPr="00765C97" w:rsidRDefault="00ED694B" w:rsidP="00ED694B">
      <w:pPr>
        <w:pStyle w:val="Akapitzlist"/>
        <w:ind w:left="360"/>
        <w:jc w:val="both"/>
        <w:rPr>
          <w:rFonts w:ascii="Arial" w:hAnsi="Arial" w:cs="Arial"/>
          <w:color w:val="00000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z w:val="20"/>
          <w:szCs w:val="20"/>
          <w:lang w:val="pl-PL"/>
        </w:rPr>
        <w:t>Zmiany do MSR 12 „Podatek dochodowy”</w:t>
      </w:r>
      <w:r w:rsidRPr="00765C97">
        <w:rPr>
          <w:rFonts w:ascii="Arial" w:hAnsi="Arial" w:cs="Arial"/>
          <w:color w:val="000000"/>
          <w:sz w:val="20"/>
          <w:szCs w:val="20"/>
          <w:lang w:val="pl-PL"/>
        </w:rPr>
        <w:t xml:space="preserve"> - Podatek odroczony: realizacja wartości aktywów, zatwierdzone w UE w dniu 11 grudnia 2012 roku (obowiązujący w odniesieniu do okresów rocznych rozpoczynających się 1 stycznia 2013 roku lub po tej dacie),</w:t>
      </w:r>
    </w:p>
    <w:p w:rsidR="00ED694B" w:rsidRPr="00765C97" w:rsidRDefault="00ED694B" w:rsidP="00ED694B">
      <w:pPr>
        <w:pStyle w:val="Akapitzlist"/>
        <w:ind w:left="360"/>
        <w:jc w:val="both"/>
        <w:rPr>
          <w:rFonts w:ascii="Arial" w:hAnsi="Arial" w:cs="Arial"/>
          <w:color w:val="00000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z w:val="20"/>
          <w:szCs w:val="20"/>
          <w:lang w:val="pl-PL"/>
        </w:rPr>
        <w:t xml:space="preserve">Zmiany do MSR 19 „Świadczenia pracownicze” </w:t>
      </w:r>
      <w:r w:rsidRPr="00765C97">
        <w:rPr>
          <w:rFonts w:ascii="Arial" w:hAnsi="Arial" w:cs="Arial"/>
          <w:color w:val="000000"/>
          <w:sz w:val="20"/>
          <w:szCs w:val="20"/>
          <w:lang w:val="pl-PL"/>
        </w:rPr>
        <w:t>– poprawki do rachunkowości świadczeń po okresie zatrudnienia, zatwierdzone w UE w dniu 5 czerwca 2012 roku (obowiązujący w odniesieniu do okresów rocznych rozpoczynających się 1 stycznia 2013 roku lub po tej dacie),</w:t>
      </w:r>
    </w:p>
    <w:p w:rsidR="00ED694B" w:rsidRPr="00765C97" w:rsidRDefault="00ED694B" w:rsidP="00ED694B">
      <w:pPr>
        <w:pStyle w:val="Tekstpodstawowy2"/>
        <w:spacing w:after="0" w:line="240" w:lineRule="auto"/>
        <w:rPr>
          <w:rFonts w:ascii="Arial" w:hAnsi="Arial" w:cs="Arial"/>
          <w:b/>
          <w:color w:val="0070C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pacing w:val="-1"/>
          <w:sz w:val="20"/>
          <w:szCs w:val="20"/>
          <w:lang w:val="pl-PL"/>
        </w:rPr>
        <w:t>Zmiany do MSR 32 „Instrumenty finansowe: prezentacja” – kompensowanie aktywów</w:t>
      </w:r>
      <w:r w:rsidRPr="00765C97">
        <w:rPr>
          <w:rFonts w:ascii="Arial" w:hAnsi="Arial" w:cs="Arial"/>
          <w:color w:val="000000"/>
          <w:sz w:val="20"/>
          <w:szCs w:val="20"/>
          <w:lang w:val="pl-PL"/>
        </w:rPr>
        <w:t xml:space="preserve"> finansowych i zobowiązań finansowych, zatwierdzone w UE w dniu 13 grudnia 2012 roku (obowiązujący w odniesieniu do okresów rocznych rozpoczynających się 1 stycznia 2014 roku lub po tej dacie),</w:t>
      </w:r>
    </w:p>
    <w:p w:rsidR="00ED694B" w:rsidRPr="00765C97" w:rsidRDefault="00ED694B" w:rsidP="00ED694B">
      <w:pPr>
        <w:pStyle w:val="Tekstpodstawowy2"/>
        <w:spacing w:after="0" w:line="240" w:lineRule="auto"/>
        <w:rPr>
          <w:rFonts w:ascii="Arial" w:hAnsi="Arial" w:cs="Arial"/>
          <w:b/>
          <w:color w:val="0070C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b/>
          <w:color w:val="0070C0"/>
          <w:sz w:val="20"/>
          <w:szCs w:val="20"/>
          <w:lang w:val="pl-PL"/>
        </w:rPr>
      </w:pPr>
      <w:r w:rsidRPr="00765C97">
        <w:rPr>
          <w:rFonts w:ascii="Arial" w:hAnsi="Arial" w:cs="Arial"/>
          <w:b/>
          <w:color w:val="000000"/>
          <w:spacing w:val="-1"/>
          <w:sz w:val="20"/>
          <w:szCs w:val="20"/>
          <w:lang w:val="pl-PL"/>
        </w:rPr>
        <w:t xml:space="preserve">Zmiany do różnych standardów „Poprawki do MSSF (2012)” - </w:t>
      </w:r>
      <w:r w:rsidRPr="00765C97">
        <w:rPr>
          <w:rFonts w:ascii="Arial" w:hAnsi="Arial" w:cs="Arial"/>
          <w:color w:val="000000"/>
          <w:spacing w:val="-1"/>
          <w:sz w:val="20"/>
          <w:szCs w:val="20"/>
          <w:lang w:val="pl-PL"/>
        </w:rPr>
        <w:t>dokonane zmiany w ramach procedury wprowadzania dorocznych poprawek do MSSF opublikowane w dniu 17 maja 2012 roku</w:t>
      </w:r>
      <w:r w:rsidRPr="00765C97">
        <w:rPr>
          <w:rFonts w:ascii="Arial" w:hAnsi="Arial" w:cs="Arial"/>
          <w:b/>
          <w:color w:val="000000"/>
          <w:spacing w:val="-1"/>
          <w:sz w:val="20"/>
          <w:szCs w:val="20"/>
          <w:lang w:val="pl-PL"/>
        </w:rPr>
        <w:t xml:space="preserve"> </w:t>
      </w:r>
      <w:r w:rsidRPr="00765C97">
        <w:rPr>
          <w:rFonts w:ascii="Arial" w:hAnsi="Arial" w:cs="Arial"/>
          <w:color w:val="000000"/>
          <w:spacing w:val="-1"/>
          <w:sz w:val="20"/>
          <w:szCs w:val="20"/>
          <w:lang w:val="pl-PL"/>
        </w:rPr>
        <w:t>(</w:t>
      </w:r>
      <w:r w:rsidRPr="00765C97">
        <w:rPr>
          <w:rFonts w:ascii="Arial" w:hAnsi="Arial" w:cs="Arial"/>
          <w:color w:val="000000"/>
          <w:spacing w:val="-1"/>
          <w:sz w:val="20"/>
          <w:szCs w:val="20"/>
          <w:lang w:val="pl-PL" w:eastAsia="sk-SK"/>
        </w:rPr>
        <w:t>MSSF</w:t>
      </w:r>
      <w:r w:rsidRPr="00765C97">
        <w:rPr>
          <w:rFonts w:ascii="Arial" w:hAnsi="Arial" w:cs="Arial"/>
          <w:sz w:val="20"/>
          <w:szCs w:val="20"/>
          <w:lang w:val="pl-PL" w:eastAsia="sk-SK"/>
        </w:rPr>
        <w:t xml:space="preserve"> 1, MSR 1, MSR 16, MSR 32 oraz MSR 34</w:t>
      </w:r>
      <w:r w:rsidRPr="00765C97">
        <w:rPr>
          <w:rFonts w:ascii="Arial" w:hAnsi="Arial" w:cs="Arial"/>
          <w:color w:val="000000"/>
          <w:spacing w:val="-1"/>
          <w:sz w:val="20"/>
          <w:szCs w:val="20"/>
          <w:lang w:val="pl-PL" w:eastAsia="sk-SK"/>
        </w:rPr>
        <w:t>) ukierunkowane głównie na rozwiązywanie</w:t>
      </w:r>
      <w:r w:rsidRPr="00765C97">
        <w:rPr>
          <w:rFonts w:ascii="Arial" w:hAnsi="Arial" w:cs="Arial"/>
          <w:color w:val="000000"/>
          <w:spacing w:val="-1"/>
          <w:sz w:val="20"/>
          <w:szCs w:val="20"/>
          <w:lang w:val="pl-PL"/>
        </w:rPr>
        <w:t xml:space="preserve"> niezgodności i uściślenie słownictwa, zatwierdzone w UE w dniu 27 marca 2013 roku </w:t>
      </w:r>
      <w:r w:rsidRPr="00765C97">
        <w:rPr>
          <w:rFonts w:ascii="Arial" w:hAnsi="Arial" w:cs="Arial"/>
          <w:color w:val="000000"/>
          <w:sz w:val="20"/>
          <w:szCs w:val="20"/>
          <w:lang w:val="pl-PL"/>
        </w:rPr>
        <w:t>(obowiązujące w odniesieniu do okresów rocznych rozpoczynających się 1 stycznia 2013 lub po tej dacie),</w:t>
      </w:r>
    </w:p>
    <w:p w:rsidR="00ED694B" w:rsidRPr="00765C97" w:rsidRDefault="00ED694B" w:rsidP="00ED694B">
      <w:pPr>
        <w:pStyle w:val="Tekstpodstawowy2"/>
        <w:spacing w:after="0" w:line="240" w:lineRule="auto"/>
        <w:rPr>
          <w:rFonts w:ascii="Arial" w:hAnsi="Arial" w:cs="Arial"/>
          <w:b/>
          <w:color w:val="0070C0"/>
          <w:sz w:val="20"/>
          <w:szCs w:val="20"/>
          <w:lang w:val="pl-PL"/>
        </w:rPr>
      </w:pPr>
    </w:p>
    <w:p w:rsidR="002432A1" w:rsidRPr="00765C97" w:rsidRDefault="002432A1" w:rsidP="00ED694B">
      <w:pPr>
        <w:pStyle w:val="Tekstpodstawowy2"/>
        <w:spacing w:after="0" w:line="240" w:lineRule="auto"/>
        <w:jc w:val="both"/>
        <w:rPr>
          <w:rFonts w:ascii="Arial" w:hAnsi="Arial" w:cs="Arial"/>
          <w:b/>
          <w:i/>
          <w:sz w:val="20"/>
          <w:szCs w:val="20"/>
          <w:lang w:val="pl-PL"/>
        </w:rPr>
      </w:pPr>
      <w:r w:rsidRPr="00765C97">
        <w:rPr>
          <w:rFonts w:ascii="Arial" w:hAnsi="Arial" w:cs="Arial"/>
          <w:b/>
          <w:i/>
          <w:sz w:val="20"/>
          <w:szCs w:val="20"/>
          <w:lang w:val="pl-PL"/>
        </w:rPr>
        <w:t>Standardy i Interpretacje przyjęte przez RMSR, ale jeszcze niezatwierdzone przez UE</w:t>
      </w:r>
    </w:p>
    <w:p w:rsidR="0038036F" w:rsidRPr="00765C97" w:rsidRDefault="0038036F" w:rsidP="00ED694B">
      <w:pPr>
        <w:ind w:left="181"/>
        <w:jc w:val="both"/>
        <w:rPr>
          <w:rFonts w:ascii="Arial" w:hAnsi="Arial" w:cs="Arial"/>
          <w:sz w:val="20"/>
          <w:szCs w:val="20"/>
          <w:lang w:val="pl-PL"/>
        </w:rPr>
      </w:pPr>
    </w:p>
    <w:p w:rsidR="0038036F" w:rsidRPr="00765C97" w:rsidRDefault="0038036F" w:rsidP="00ED694B">
      <w:pPr>
        <w:jc w:val="both"/>
        <w:rPr>
          <w:rFonts w:ascii="Arial" w:hAnsi="Arial" w:cs="Arial"/>
          <w:sz w:val="20"/>
          <w:szCs w:val="20"/>
          <w:lang w:val="pl-PL"/>
        </w:rPr>
      </w:pPr>
      <w:r w:rsidRPr="00765C97">
        <w:rPr>
          <w:rFonts w:ascii="Arial" w:hAnsi="Arial" w:cs="Arial"/>
          <w:sz w:val="20"/>
          <w:szCs w:val="20"/>
          <w:lang w:val="pl-PL"/>
        </w:rPr>
        <w:t xml:space="preserve">MSSF w kształcie zatwierdzonym przez UE nie różnią się obecnie w znaczący sposób od regulacji przyjętych przez Radę Międzynarodowych Standardów Rachunkowości (RMSR), z wyjątkiem poniższych standardów, zmian do standardów i interpretacji, które według stanu na dzień </w:t>
      </w:r>
      <w:r w:rsidR="00ED694B" w:rsidRPr="00765C97">
        <w:rPr>
          <w:rFonts w:ascii="Arial" w:hAnsi="Arial" w:cs="Arial"/>
          <w:sz w:val="20"/>
          <w:szCs w:val="20"/>
          <w:lang w:val="pl-PL"/>
        </w:rPr>
        <w:t>30 kwietnia</w:t>
      </w:r>
      <w:r w:rsidRPr="00765C97">
        <w:rPr>
          <w:rFonts w:ascii="Arial" w:hAnsi="Arial" w:cs="Arial"/>
          <w:sz w:val="20"/>
          <w:szCs w:val="20"/>
          <w:lang w:val="pl-PL"/>
        </w:rPr>
        <w:t xml:space="preserve"> 2013 r. nie zostały jeszcze przyjęte do stosowania:</w:t>
      </w:r>
    </w:p>
    <w:p w:rsidR="0038036F" w:rsidRPr="00765C97" w:rsidRDefault="0038036F" w:rsidP="0038036F">
      <w:pPr>
        <w:pStyle w:val="Akapitzlist"/>
        <w:ind w:left="0"/>
        <w:jc w:val="both"/>
        <w:rPr>
          <w:rFonts w:ascii="Arial" w:hAnsi="Arial" w:cs="Arial"/>
          <w:color w:val="00000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z w:val="20"/>
          <w:szCs w:val="20"/>
          <w:lang w:val="pl-PL"/>
        </w:rPr>
        <w:t>MSSF 9 „Instrumenty finansowe”</w:t>
      </w:r>
      <w:r w:rsidRPr="00765C97">
        <w:rPr>
          <w:rFonts w:ascii="Arial" w:hAnsi="Arial" w:cs="Arial"/>
          <w:color w:val="000000"/>
          <w:sz w:val="20"/>
          <w:szCs w:val="20"/>
          <w:lang w:val="pl-PL"/>
        </w:rPr>
        <w:t xml:space="preserve"> </w:t>
      </w:r>
      <w:r w:rsidRPr="00765C97">
        <w:rPr>
          <w:rFonts w:ascii="Arial" w:hAnsi="Arial" w:cs="Arial"/>
          <w:sz w:val="20"/>
          <w:szCs w:val="20"/>
          <w:lang w:val="pl-PL"/>
        </w:rPr>
        <w:t>(</w:t>
      </w:r>
      <w:r w:rsidRPr="00765C97">
        <w:rPr>
          <w:rFonts w:ascii="Arial" w:hAnsi="Arial" w:cs="Arial"/>
          <w:spacing w:val="1"/>
          <w:sz w:val="20"/>
          <w:szCs w:val="20"/>
          <w:lang w:val="pl-PL"/>
        </w:rPr>
        <w:t>obowiązujący w odniesieniu do okresów rocznych rozpoczynających się 1 stycznia 2015 roku lub po tej dacie),</w:t>
      </w:r>
    </w:p>
    <w:p w:rsidR="00ED694B" w:rsidRPr="00765C97" w:rsidRDefault="00ED694B" w:rsidP="00ED694B">
      <w:pPr>
        <w:pStyle w:val="Akapitzlist"/>
        <w:ind w:left="360"/>
        <w:jc w:val="both"/>
        <w:rPr>
          <w:rFonts w:ascii="Arial" w:hAnsi="Arial" w:cs="Arial"/>
          <w:color w:val="00000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z w:val="20"/>
          <w:szCs w:val="20"/>
          <w:lang w:val="pl-PL"/>
        </w:rPr>
        <w:t>Zmiany do MSSF 9 „Instrumenty finansowe” oraz MSSF 7 „Instrumenty finansowe: ujawnianie informacji”</w:t>
      </w:r>
      <w:r w:rsidRPr="00765C97">
        <w:rPr>
          <w:rFonts w:ascii="Arial" w:hAnsi="Arial" w:cs="Arial"/>
          <w:color w:val="000000"/>
          <w:sz w:val="20"/>
          <w:szCs w:val="20"/>
          <w:lang w:val="pl-PL"/>
        </w:rPr>
        <w:t xml:space="preserve"> – obowiązkowa data wejścia w życie i przepisy przejściowe,</w:t>
      </w:r>
    </w:p>
    <w:p w:rsidR="00ED694B" w:rsidRPr="00765C97" w:rsidRDefault="00ED694B" w:rsidP="00ED694B">
      <w:pPr>
        <w:pStyle w:val="Akapitzlist"/>
        <w:ind w:left="360"/>
        <w:jc w:val="both"/>
        <w:rPr>
          <w:rFonts w:ascii="Arial" w:hAnsi="Arial" w:cs="Arial"/>
          <w:color w:val="000000"/>
          <w:sz w:val="20"/>
          <w:szCs w:val="20"/>
          <w:lang w:val="pl-PL"/>
        </w:rPr>
      </w:pPr>
    </w:p>
    <w:p w:rsidR="00ED694B" w:rsidRPr="00765C97" w:rsidRDefault="00ED694B" w:rsidP="00ED694B">
      <w:pPr>
        <w:pStyle w:val="Akapitzlist"/>
        <w:widowControl/>
        <w:numPr>
          <w:ilvl w:val="0"/>
          <w:numId w:val="25"/>
        </w:numPr>
        <w:autoSpaceDE/>
        <w:autoSpaceDN/>
        <w:ind w:left="0" w:firstLine="0"/>
        <w:contextualSpacing/>
        <w:jc w:val="both"/>
        <w:rPr>
          <w:rFonts w:ascii="Arial" w:hAnsi="Arial" w:cs="Arial"/>
          <w:color w:val="000000"/>
          <w:sz w:val="20"/>
          <w:szCs w:val="20"/>
          <w:lang w:val="pl-PL"/>
        </w:rPr>
      </w:pPr>
      <w:r w:rsidRPr="00765C97">
        <w:rPr>
          <w:rFonts w:ascii="Arial" w:hAnsi="Arial" w:cs="Arial"/>
          <w:b/>
          <w:color w:val="000000"/>
          <w:sz w:val="20"/>
          <w:szCs w:val="20"/>
          <w:lang w:val="pl-PL"/>
        </w:rPr>
        <w:t xml:space="preserve">Zmiany do MSSF 10 „Skonsolidowane sprawozdania finansowe” MSSF 12 „Ujawnienie informacji na temat udziałów w innych jednostkach” oraz MSR 27 „Jednostkowe sprawozdania finansowe” </w:t>
      </w:r>
      <w:r w:rsidRPr="00765C97">
        <w:rPr>
          <w:rFonts w:ascii="Arial" w:hAnsi="Arial" w:cs="Arial"/>
          <w:color w:val="000000"/>
          <w:sz w:val="20"/>
          <w:szCs w:val="20"/>
          <w:lang w:val="pl-PL"/>
        </w:rPr>
        <w:t>– jednostki inwestycyjne (obowiązujący w odniesieniu do okresów rocznych rozpoczynających się 1 stycznia 2014 roku lub po tej dacie).</w:t>
      </w:r>
    </w:p>
    <w:p w:rsidR="0038036F" w:rsidRPr="00765C97" w:rsidRDefault="0038036F" w:rsidP="0038036F">
      <w:pPr>
        <w:pStyle w:val="Akapitzlist"/>
        <w:ind w:left="360"/>
        <w:jc w:val="both"/>
        <w:rPr>
          <w:rFonts w:ascii="Arial" w:hAnsi="Arial" w:cs="Arial"/>
          <w:color w:val="000000"/>
          <w:sz w:val="20"/>
          <w:szCs w:val="20"/>
          <w:lang w:val="pl-PL"/>
        </w:rPr>
      </w:pPr>
    </w:p>
    <w:p w:rsidR="0038036F" w:rsidRPr="00765C97" w:rsidRDefault="0038036F" w:rsidP="0038036F">
      <w:pPr>
        <w:widowControl/>
        <w:adjustRightInd w:val="0"/>
        <w:jc w:val="both"/>
        <w:rPr>
          <w:rFonts w:ascii="Arial" w:hAnsi="Arial" w:cs="Arial"/>
          <w:sz w:val="20"/>
          <w:szCs w:val="20"/>
          <w:lang w:val="pl-PL"/>
        </w:rPr>
      </w:pPr>
      <w:r w:rsidRPr="00765C97">
        <w:rPr>
          <w:rFonts w:ascii="Arial" w:hAnsi="Arial" w:cs="Arial"/>
          <w:sz w:val="20"/>
          <w:szCs w:val="20"/>
          <w:lang w:val="pl-PL"/>
        </w:rPr>
        <w:t>Według szacunków jednostki dominującej, ww</w:t>
      </w:r>
      <w:r w:rsidR="00ED694B" w:rsidRPr="00765C97">
        <w:rPr>
          <w:rFonts w:ascii="Arial" w:hAnsi="Arial" w:cs="Arial"/>
          <w:sz w:val="20"/>
          <w:szCs w:val="20"/>
          <w:lang w:val="pl-PL"/>
        </w:rPr>
        <w:t>.</w:t>
      </w:r>
      <w:r w:rsidRPr="00765C97">
        <w:rPr>
          <w:rFonts w:ascii="Arial" w:hAnsi="Arial" w:cs="Arial"/>
          <w:sz w:val="20"/>
          <w:szCs w:val="20"/>
          <w:lang w:val="pl-PL"/>
        </w:rPr>
        <w:t xml:space="preserve"> standardy, interpretacje i zmiany do standardów nie miałyby istotnego wpływu na sprawozdanie finansowe, jeżeli zostałyby zastosowane przez jednostkę na dzień bilansowy.</w:t>
      </w:r>
    </w:p>
    <w:p w:rsidR="0038036F" w:rsidRPr="00765C97" w:rsidRDefault="0038036F" w:rsidP="0038036F">
      <w:pPr>
        <w:widowControl/>
        <w:adjustRightInd w:val="0"/>
        <w:jc w:val="both"/>
        <w:rPr>
          <w:rFonts w:ascii="Arial" w:hAnsi="Arial" w:cs="Arial"/>
          <w:sz w:val="20"/>
          <w:szCs w:val="20"/>
          <w:lang w:val="pl-PL"/>
        </w:rPr>
      </w:pPr>
    </w:p>
    <w:p w:rsidR="0038036F" w:rsidRPr="00765C97" w:rsidRDefault="0038036F" w:rsidP="00ED694B">
      <w:pPr>
        <w:pStyle w:val="Tekstpodstawowy3"/>
        <w:spacing w:after="0"/>
        <w:jc w:val="both"/>
        <w:rPr>
          <w:rFonts w:ascii="Arial" w:hAnsi="Arial" w:cs="Arial"/>
          <w:sz w:val="20"/>
          <w:szCs w:val="20"/>
          <w:lang w:val="pl-PL"/>
        </w:rPr>
      </w:pPr>
      <w:r w:rsidRPr="00765C97">
        <w:rPr>
          <w:rFonts w:ascii="Arial" w:hAnsi="Arial" w:cs="Arial"/>
          <w:sz w:val="20"/>
          <w:szCs w:val="20"/>
          <w:lang w:val="pl-PL"/>
        </w:rPr>
        <w:t>Jednocześnie nadal poza regulacjami przyjętymi przez UE pozostaje rachunkowość zabezpieczeń portfela aktywów i zobowiązań finansowych, których zasady nie zostały zatwierdzone do stosowania w UE.</w:t>
      </w:r>
    </w:p>
    <w:p w:rsidR="00ED694B" w:rsidRPr="00765C97" w:rsidRDefault="00ED694B" w:rsidP="00ED694B">
      <w:pPr>
        <w:adjustRightInd w:val="0"/>
        <w:jc w:val="both"/>
        <w:rPr>
          <w:rFonts w:ascii="Arial" w:hAnsi="Arial" w:cs="Arial"/>
          <w:color w:val="000000"/>
          <w:sz w:val="20"/>
          <w:szCs w:val="20"/>
          <w:lang w:val="pl-PL"/>
        </w:rPr>
      </w:pPr>
    </w:p>
    <w:p w:rsidR="00B24DA9" w:rsidRPr="00765C97" w:rsidRDefault="0038036F" w:rsidP="00ED694B">
      <w:pPr>
        <w:adjustRightInd w:val="0"/>
        <w:jc w:val="both"/>
        <w:rPr>
          <w:rFonts w:ascii="Arial" w:hAnsi="Arial"/>
          <w:sz w:val="20"/>
          <w:lang w:val="pl-PL"/>
        </w:rPr>
      </w:pPr>
      <w:r w:rsidRPr="00765C97">
        <w:rPr>
          <w:rFonts w:ascii="Arial" w:hAnsi="Arial" w:cs="Arial"/>
          <w:color w:val="000000"/>
          <w:sz w:val="20"/>
          <w:szCs w:val="20"/>
          <w:lang w:val="pl-PL"/>
        </w:rPr>
        <w:t xml:space="preserve">Według szacunków jednostki dominującej, zastosowanie rachunkowości zabezpieczeń portfela aktywów lub zobowiązań finansowych według </w:t>
      </w:r>
      <w:r w:rsidRPr="00765C97">
        <w:rPr>
          <w:rFonts w:ascii="Arial" w:hAnsi="Arial" w:cs="Arial"/>
          <w:b/>
          <w:color w:val="000000"/>
          <w:sz w:val="20"/>
          <w:szCs w:val="20"/>
          <w:lang w:val="pl-PL"/>
        </w:rPr>
        <w:t xml:space="preserve">MSR 39 „Instrumenty finansowe: ujmowanie i wycena” </w:t>
      </w:r>
      <w:r w:rsidRPr="00765C97">
        <w:rPr>
          <w:rFonts w:ascii="Arial" w:hAnsi="Arial" w:cs="Arial"/>
          <w:color w:val="000000"/>
          <w:sz w:val="20"/>
          <w:szCs w:val="20"/>
          <w:lang w:val="pl-PL"/>
        </w:rPr>
        <w:t>nie miałoby istotnego wpływu na sprawozdanie finansowe, jeżeli zostałyby przyjęte do stosowania na dzień bilansowy.</w:t>
      </w:r>
    </w:p>
    <w:p w:rsidR="00B24DA9" w:rsidRPr="00765C97" w:rsidRDefault="00B24DA9" w:rsidP="00135A9A">
      <w:pPr>
        <w:pStyle w:val="Nagwek2"/>
        <w:numPr>
          <w:ilvl w:val="1"/>
          <w:numId w:val="1"/>
        </w:numPr>
        <w:tabs>
          <w:tab w:val="clear" w:pos="1287"/>
          <w:tab w:val="num" w:pos="540"/>
        </w:tabs>
        <w:spacing w:before="360" w:after="240"/>
        <w:ind w:hanging="1106"/>
        <w:rPr>
          <w:i w:val="0"/>
          <w:sz w:val="22"/>
          <w:lang w:val="pl-PL"/>
        </w:rPr>
      </w:pPr>
      <w:bookmarkStart w:id="40" w:name="_Toc115093957"/>
      <w:bookmarkStart w:id="41" w:name="_Toc115094336"/>
      <w:bookmarkStart w:id="42" w:name="_Toc353973208"/>
      <w:r w:rsidRPr="00765C97">
        <w:rPr>
          <w:i w:val="0"/>
          <w:sz w:val="22"/>
          <w:lang w:val="pl-PL"/>
        </w:rPr>
        <w:t>Noty do skonsolidowanego sprawozdania finansowego</w:t>
      </w:r>
      <w:bookmarkEnd w:id="40"/>
      <w:bookmarkEnd w:id="41"/>
      <w:bookmarkEnd w:id="42"/>
    </w:p>
    <w:p w:rsidR="00B24DA9" w:rsidRPr="00765C97" w:rsidRDefault="00B24DA9" w:rsidP="00135A9A">
      <w:pPr>
        <w:pStyle w:val="Nagwek3"/>
        <w:numPr>
          <w:ilvl w:val="1"/>
          <w:numId w:val="22"/>
        </w:numPr>
        <w:spacing w:after="240"/>
        <w:ind w:left="709" w:hanging="567"/>
        <w:rPr>
          <w:sz w:val="20"/>
          <w:lang w:val="pl-PL"/>
        </w:rPr>
      </w:pPr>
      <w:bookmarkStart w:id="43" w:name="_Toc353973209"/>
      <w:r w:rsidRPr="00765C97">
        <w:rPr>
          <w:sz w:val="20"/>
          <w:lang w:val="pl-PL"/>
        </w:rPr>
        <w:t>Zatwierdzenie sprawozdania finansowego za 20</w:t>
      </w:r>
      <w:r w:rsidR="00DD5175" w:rsidRPr="00765C97">
        <w:rPr>
          <w:sz w:val="20"/>
          <w:lang w:val="pl-PL"/>
        </w:rPr>
        <w:t>11</w:t>
      </w:r>
      <w:r w:rsidRPr="00765C97">
        <w:rPr>
          <w:sz w:val="20"/>
          <w:lang w:val="pl-PL"/>
        </w:rPr>
        <w:t xml:space="preserve"> rok</w:t>
      </w:r>
      <w:bookmarkEnd w:id="43"/>
    </w:p>
    <w:p w:rsidR="00B24DA9" w:rsidRPr="00765C97" w:rsidRDefault="00B24DA9" w:rsidP="00765E5F">
      <w:pPr>
        <w:jc w:val="both"/>
        <w:rPr>
          <w:rFonts w:ascii="Arial" w:hAnsi="Arial"/>
          <w:sz w:val="20"/>
          <w:lang w:val="pl-PL"/>
        </w:rPr>
      </w:pPr>
      <w:r w:rsidRPr="00765C97">
        <w:rPr>
          <w:rFonts w:ascii="Arial" w:hAnsi="Arial"/>
          <w:sz w:val="20"/>
          <w:lang w:val="pl-PL"/>
        </w:rPr>
        <w:t>Skonsolidowane sprawozdanie finansowe za 20</w:t>
      </w:r>
      <w:r w:rsidR="00DD5175" w:rsidRPr="00765C97">
        <w:rPr>
          <w:rFonts w:ascii="Arial" w:hAnsi="Arial"/>
          <w:sz w:val="20"/>
          <w:lang w:val="pl-PL"/>
        </w:rPr>
        <w:t>11</w:t>
      </w:r>
      <w:r w:rsidRPr="00765C97">
        <w:rPr>
          <w:rFonts w:ascii="Arial" w:hAnsi="Arial"/>
          <w:sz w:val="20"/>
          <w:lang w:val="pl-PL"/>
        </w:rPr>
        <w:t xml:space="preserve"> rok zostało zatwierdzone 2</w:t>
      </w:r>
      <w:r w:rsidR="00B96E5E" w:rsidRPr="00765C97">
        <w:rPr>
          <w:rFonts w:ascii="Arial" w:hAnsi="Arial"/>
          <w:sz w:val="20"/>
          <w:lang w:val="pl-PL"/>
        </w:rPr>
        <w:t>5</w:t>
      </w:r>
      <w:r w:rsidRPr="00765C97">
        <w:rPr>
          <w:rFonts w:ascii="Arial" w:hAnsi="Arial"/>
          <w:sz w:val="20"/>
          <w:lang w:val="pl-PL"/>
        </w:rPr>
        <w:t xml:space="preserve"> czerwca 20</w:t>
      </w:r>
      <w:r w:rsidR="00FA224D" w:rsidRPr="00765C97">
        <w:rPr>
          <w:rFonts w:ascii="Arial" w:hAnsi="Arial"/>
          <w:sz w:val="20"/>
          <w:lang w:val="pl-PL"/>
        </w:rPr>
        <w:t>1</w:t>
      </w:r>
      <w:r w:rsidR="00B96E5E" w:rsidRPr="00765C97">
        <w:rPr>
          <w:rFonts w:ascii="Arial" w:hAnsi="Arial"/>
          <w:sz w:val="20"/>
          <w:lang w:val="pl-PL"/>
        </w:rPr>
        <w:t>2</w:t>
      </w:r>
      <w:r w:rsidRPr="00765C97">
        <w:rPr>
          <w:rFonts w:ascii="Arial" w:hAnsi="Arial"/>
          <w:sz w:val="20"/>
          <w:lang w:val="pl-PL"/>
        </w:rPr>
        <w:t xml:space="preserve"> roku przez Walne Zgromadzenie Akcjonariuszy Com</w:t>
      </w:r>
      <w:r w:rsidR="00FA224D" w:rsidRPr="00765C97">
        <w:rPr>
          <w:rFonts w:ascii="Arial" w:hAnsi="Arial"/>
          <w:sz w:val="20"/>
          <w:lang w:val="pl-PL"/>
        </w:rPr>
        <w:t>a</w:t>
      </w:r>
      <w:r w:rsidRPr="00765C97">
        <w:rPr>
          <w:rFonts w:ascii="Arial" w:hAnsi="Arial"/>
          <w:sz w:val="20"/>
          <w:lang w:val="pl-PL"/>
        </w:rPr>
        <w:t xml:space="preserve">rch S.A. W dniu </w:t>
      </w:r>
      <w:r w:rsidR="008B4C49" w:rsidRPr="00765C97">
        <w:rPr>
          <w:rFonts w:ascii="Arial" w:hAnsi="Arial"/>
          <w:sz w:val="20"/>
          <w:lang w:val="pl-PL"/>
        </w:rPr>
        <w:t>0</w:t>
      </w:r>
      <w:r w:rsidR="004D64F8" w:rsidRPr="00765C97">
        <w:rPr>
          <w:rFonts w:ascii="Arial" w:hAnsi="Arial"/>
          <w:sz w:val="20"/>
          <w:lang w:val="pl-PL"/>
        </w:rPr>
        <w:t>2</w:t>
      </w:r>
      <w:r w:rsidRPr="00765C97">
        <w:rPr>
          <w:rFonts w:ascii="Arial" w:hAnsi="Arial"/>
          <w:sz w:val="20"/>
          <w:lang w:val="pl-PL"/>
        </w:rPr>
        <w:t xml:space="preserve"> </w:t>
      </w:r>
      <w:r w:rsidR="008B4C49" w:rsidRPr="00765C97">
        <w:rPr>
          <w:rFonts w:ascii="Arial" w:hAnsi="Arial"/>
          <w:sz w:val="20"/>
          <w:lang w:val="pl-PL"/>
        </w:rPr>
        <w:t>lipca</w:t>
      </w:r>
      <w:r w:rsidRPr="00765C97">
        <w:rPr>
          <w:rFonts w:ascii="Arial" w:hAnsi="Arial"/>
          <w:sz w:val="20"/>
          <w:lang w:val="pl-PL"/>
        </w:rPr>
        <w:t xml:space="preserve"> 20</w:t>
      </w:r>
      <w:r w:rsidR="008B4C49" w:rsidRPr="00765C97">
        <w:rPr>
          <w:rFonts w:ascii="Arial" w:hAnsi="Arial"/>
          <w:sz w:val="20"/>
          <w:lang w:val="pl-PL"/>
        </w:rPr>
        <w:t>1</w:t>
      </w:r>
      <w:r w:rsidR="00B96E5E" w:rsidRPr="00765C97">
        <w:rPr>
          <w:rFonts w:ascii="Arial" w:hAnsi="Arial"/>
          <w:sz w:val="20"/>
          <w:lang w:val="pl-PL"/>
        </w:rPr>
        <w:t>2</w:t>
      </w:r>
      <w:r w:rsidRPr="00765C97">
        <w:rPr>
          <w:rFonts w:ascii="Arial" w:hAnsi="Arial"/>
          <w:sz w:val="20"/>
          <w:lang w:val="pl-PL"/>
        </w:rPr>
        <w:t xml:space="preserve"> roku zostało zgodnie z przepisami prawa złożone w Krajowym Rejestrze Sądowym, </w:t>
      </w:r>
      <w:r w:rsidR="000C5C2A" w:rsidRPr="00765C97">
        <w:rPr>
          <w:rFonts w:ascii="Arial" w:hAnsi="Arial"/>
          <w:sz w:val="20"/>
          <w:lang w:val="pl-PL"/>
        </w:rPr>
        <w:t>4 lipca 2012</w:t>
      </w:r>
      <w:r w:rsidRPr="00765C97">
        <w:rPr>
          <w:rFonts w:ascii="Arial" w:hAnsi="Arial"/>
          <w:sz w:val="20"/>
          <w:lang w:val="pl-PL"/>
        </w:rPr>
        <w:t xml:space="preserve"> roku zostało złożone do opublikowania w Monitorze Polskim B. Skonsolidowane sprawozdanie finansowe </w:t>
      </w:r>
      <w:r w:rsidR="00AF7ECD" w:rsidRPr="00765C97">
        <w:rPr>
          <w:rFonts w:ascii="Arial" w:hAnsi="Arial"/>
          <w:sz w:val="20"/>
          <w:lang w:val="pl-PL"/>
        </w:rPr>
        <w:t xml:space="preserve">zostało opublikowane w dniu </w:t>
      </w:r>
      <w:r w:rsidR="000C5C2A" w:rsidRPr="00765C97">
        <w:rPr>
          <w:rFonts w:ascii="Arial" w:hAnsi="Arial"/>
          <w:sz w:val="20"/>
          <w:lang w:val="pl-PL"/>
        </w:rPr>
        <w:t>16 listopada</w:t>
      </w:r>
      <w:r w:rsidR="00AF7ECD" w:rsidRPr="00765C97">
        <w:rPr>
          <w:rFonts w:ascii="Arial" w:hAnsi="Arial"/>
          <w:sz w:val="20"/>
          <w:lang w:val="pl-PL"/>
        </w:rPr>
        <w:t xml:space="preserve"> 2012 roku w Monitorze Polskim B </w:t>
      </w:r>
      <w:r w:rsidR="00A941A4" w:rsidRPr="00765C97">
        <w:rPr>
          <w:rFonts w:ascii="Arial" w:hAnsi="Arial"/>
          <w:sz w:val="20"/>
          <w:lang w:val="pl-PL"/>
        </w:rPr>
        <w:t xml:space="preserve">nr 2961 </w:t>
      </w:r>
      <w:r w:rsidR="00AF7ECD" w:rsidRPr="00765C97">
        <w:rPr>
          <w:rFonts w:ascii="Arial" w:hAnsi="Arial"/>
          <w:sz w:val="20"/>
          <w:lang w:val="pl-PL"/>
        </w:rPr>
        <w:t xml:space="preserve">pozycja </w:t>
      </w:r>
      <w:r w:rsidR="000C5C2A" w:rsidRPr="00765C97">
        <w:rPr>
          <w:rFonts w:ascii="Arial" w:hAnsi="Arial"/>
          <w:sz w:val="20"/>
          <w:lang w:val="pl-PL"/>
        </w:rPr>
        <w:t>16291</w:t>
      </w:r>
      <w:r w:rsidRPr="00765C97">
        <w:rPr>
          <w:rFonts w:ascii="Arial" w:hAnsi="Arial"/>
          <w:sz w:val="20"/>
          <w:lang w:val="pl-PL"/>
        </w:rPr>
        <w:t>.</w:t>
      </w:r>
    </w:p>
    <w:p w:rsidR="00B24DA9" w:rsidRPr="00765C97" w:rsidRDefault="00B24DA9" w:rsidP="00135A9A">
      <w:pPr>
        <w:pStyle w:val="Nagwek3"/>
        <w:numPr>
          <w:ilvl w:val="1"/>
          <w:numId w:val="22"/>
        </w:numPr>
        <w:spacing w:after="240"/>
        <w:ind w:left="709" w:hanging="567"/>
        <w:rPr>
          <w:sz w:val="20"/>
          <w:lang w:val="pl-PL"/>
        </w:rPr>
      </w:pPr>
      <w:bookmarkStart w:id="44" w:name="_Toc353973210"/>
      <w:r w:rsidRPr="00765C97">
        <w:rPr>
          <w:sz w:val="20"/>
          <w:lang w:val="pl-PL"/>
        </w:rPr>
        <w:t>Sprawozdawczość wg segmentów</w:t>
      </w:r>
      <w:bookmarkEnd w:id="44"/>
    </w:p>
    <w:p w:rsidR="00B96E5E" w:rsidRPr="00765C97" w:rsidRDefault="00B96E5E" w:rsidP="00B96E5E">
      <w:pPr>
        <w:adjustRightInd w:val="0"/>
        <w:jc w:val="both"/>
        <w:rPr>
          <w:rFonts w:ascii="Arial" w:hAnsi="Arial"/>
          <w:sz w:val="20"/>
          <w:lang w:val="pl-PL"/>
        </w:rPr>
      </w:pPr>
      <w:r w:rsidRPr="00765C97">
        <w:rPr>
          <w:rFonts w:ascii="Arial" w:hAnsi="Arial"/>
          <w:sz w:val="20"/>
          <w:lang w:val="pl-PL"/>
        </w:rPr>
        <w:t xml:space="preserve">Dla Grupy Kapitałowej Comarch podstawowym rodzajem segmentów operacyjnych są segmenty branżowe a pomocniczym rodzajem segmentów operacyjnych są segmenty geograficzne. Objęte konsolidacją jednostki Grupy Kapitałowej Comarch prowadzą następujące rodzaje działalności: </w:t>
      </w:r>
    </w:p>
    <w:p w:rsidR="00B96E5E" w:rsidRPr="00765C97" w:rsidRDefault="00B96E5E" w:rsidP="00B96E5E">
      <w:pPr>
        <w:adjustRightInd w:val="0"/>
        <w:jc w:val="both"/>
        <w:rPr>
          <w:rFonts w:ascii="Arial" w:hAnsi="Arial"/>
          <w:sz w:val="20"/>
          <w:lang w:val="pl-PL"/>
        </w:rPr>
      </w:pPr>
    </w:p>
    <w:p w:rsidR="00B96E5E" w:rsidRPr="00765C97" w:rsidRDefault="00B96E5E" w:rsidP="00B96E5E">
      <w:pPr>
        <w:adjustRightInd w:val="0"/>
        <w:jc w:val="both"/>
        <w:rPr>
          <w:rFonts w:ascii="Arial" w:hAnsi="Arial"/>
          <w:sz w:val="20"/>
          <w:lang w:val="pl-PL"/>
        </w:rPr>
      </w:pPr>
      <w:r w:rsidRPr="00765C97">
        <w:rPr>
          <w:rFonts w:ascii="Arial" w:hAnsi="Arial"/>
          <w:sz w:val="20"/>
          <w:lang w:val="pl-PL"/>
        </w:rPr>
        <w:t>- sprzedaż systemów informatycznych i usług z nimi związanych oraz sprzedaż sprzętu informatycznego (określaną dalej jako „Segment IT”),</w:t>
      </w:r>
    </w:p>
    <w:p w:rsidR="00B96E5E" w:rsidRPr="00765C97" w:rsidRDefault="00B96E5E" w:rsidP="00B96E5E">
      <w:pPr>
        <w:adjustRightInd w:val="0"/>
        <w:jc w:val="both"/>
        <w:rPr>
          <w:rFonts w:ascii="Arial" w:hAnsi="Arial"/>
          <w:sz w:val="20"/>
          <w:lang w:val="pl-PL"/>
        </w:rPr>
      </w:pPr>
      <w:r w:rsidRPr="00765C97">
        <w:rPr>
          <w:rFonts w:ascii="Arial" w:hAnsi="Arial"/>
          <w:sz w:val="20"/>
          <w:lang w:val="pl-PL"/>
        </w:rPr>
        <w:t>- działalność sportową (określaną dalej jako „Segment Sport”) prowadzoną przez MKS Cracovia SSA,</w:t>
      </w:r>
    </w:p>
    <w:p w:rsidR="00B96E5E" w:rsidRPr="00765C97" w:rsidRDefault="00B96E5E" w:rsidP="00B96E5E">
      <w:pPr>
        <w:adjustRightInd w:val="0"/>
        <w:jc w:val="both"/>
        <w:rPr>
          <w:rFonts w:ascii="Arial" w:hAnsi="Arial"/>
          <w:sz w:val="20"/>
          <w:lang w:val="pl-PL"/>
        </w:rPr>
      </w:pPr>
      <w:r w:rsidRPr="00765C97">
        <w:rPr>
          <w:rFonts w:ascii="Arial" w:hAnsi="Arial"/>
          <w:sz w:val="20"/>
          <w:lang w:val="pl-PL"/>
        </w:rPr>
        <w:t>- działalność związaną z inwestowaniem na rynku kapitałowym i na rynku nieruchomości (określaną dalej jako „Segment Inwestycje”),</w:t>
      </w:r>
    </w:p>
    <w:p w:rsidR="00B96E5E" w:rsidRPr="00765C97" w:rsidRDefault="00B96E5E" w:rsidP="00B96E5E">
      <w:pPr>
        <w:adjustRightInd w:val="0"/>
        <w:jc w:val="both"/>
        <w:rPr>
          <w:rFonts w:ascii="Arial" w:hAnsi="Arial"/>
          <w:sz w:val="20"/>
          <w:lang w:val="pl-PL"/>
        </w:rPr>
      </w:pPr>
      <w:r w:rsidRPr="00765C97">
        <w:rPr>
          <w:rFonts w:ascii="Arial" w:hAnsi="Arial"/>
          <w:sz w:val="20"/>
          <w:lang w:val="pl-PL"/>
        </w:rPr>
        <w:t>- działalność w zakresie usług medycznych oraz produkcji oprogramowania dla medycyny (określaną dalej jako „Segment Medycyna”).</w:t>
      </w:r>
    </w:p>
    <w:p w:rsidR="00B96E5E" w:rsidRPr="00765C97" w:rsidRDefault="00B96E5E" w:rsidP="00B96E5E">
      <w:pPr>
        <w:adjustRightInd w:val="0"/>
        <w:jc w:val="both"/>
        <w:rPr>
          <w:rFonts w:ascii="Arial" w:hAnsi="Arial"/>
          <w:sz w:val="20"/>
          <w:lang w:val="pl-PL"/>
        </w:rPr>
      </w:pPr>
    </w:p>
    <w:p w:rsidR="002C4D4A" w:rsidRPr="00765C97" w:rsidRDefault="00B96E5E" w:rsidP="00B96E5E">
      <w:pPr>
        <w:adjustRightInd w:val="0"/>
        <w:jc w:val="both"/>
        <w:rPr>
          <w:rFonts w:ascii="Arial" w:hAnsi="Arial"/>
          <w:sz w:val="20"/>
          <w:lang w:val="pl-PL"/>
        </w:rPr>
      </w:pPr>
      <w:r w:rsidRPr="00765C97">
        <w:rPr>
          <w:rFonts w:ascii="Arial" w:hAnsi="Arial"/>
          <w:sz w:val="20"/>
          <w:lang w:val="pl-PL"/>
        </w:rPr>
        <w:t xml:space="preserve">Dominujący udział w przychodach ze sprzedaży, wynikach oraz aktywach posiada Segment IT. Ze względu na specyfikę działalności segment IT prezentowany jest z wydzieleniem rynku DACH (Niemcy, Austria, Szwajcaria), rynku polskiego oraz rynków pozostałych. Segment Inwestycje został wyodrębniony w pierwszym kwartale 2010 roku w związku ze wzrostem zakresu jego działalności. Ze względu na istotną kwotę poniesionych nakładów inwestycyjnych z dniem 30 września 2011 r. wyodrębniono „Segment Medycyna” i zaprezentowano udział tego segmentu w aktywach, zobowiązaniach i wydatkach inwestycyjnych. W nocie o przychodach, kosztach i wyniku finansowym „Segment Medycyna” został wyodrębniony z dniem 31 grudnia 2011 r., gdyż dopiero w czwartym kwartale poniesiono wydatki kosztowe związane z przygotowaniem do uruchomienia centrum medycznego. Począwszy od </w:t>
      </w:r>
      <w:r w:rsidR="00692BDC" w:rsidRPr="00765C97">
        <w:rPr>
          <w:rFonts w:ascii="Arial" w:hAnsi="Arial"/>
          <w:sz w:val="20"/>
          <w:lang w:val="pl-PL"/>
        </w:rPr>
        <w:t>pierwszego</w:t>
      </w:r>
      <w:r w:rsidRPr="00765C97">
        <w:rPr>
          <w:rFonts w:ascii="Arial" w:hAnsi="Arial"/>
          <w:sz w:val="20"/>
          <w:lang w:val="pl-PL"/>
        </w:rPr>
        <w:t xml:space="preserve"> kwartału 2012 roku Grupa zaprzestała wyodrębniać Segment Internet ze względu na przyporządkowanie działalności prowadzonej dotychczas w tym segmencie do Segmentu IT oraz Segmentu Medycyna. W celu doprowadzenia do porównywalności zostały odpowiednio zmodyfikowane analogiczne dane za rok 2011 (Segment Internet został połączony z Segmentem IT-rynek polski).</w:t>
      </w:r>
      <w:r w:rsidR="002C4D4A" w:rsidRPr="00765C97">
        <w:rPr>
          <w:rFonts w:ascii="Arial" w:hAnsi="Arial"/>
          <w:sz w:val="20"/>
          <w:lang w:val="pl-PL"/>
        </w:rPr>
        <w:t xml:space="preserve">  </w:t>
      </w:r>
    </w:p>
    <w:p w:rsidR="000E1A52" w:rsidRPr="00765C97" w:rsidRDefault="000E1A52" w:rsidP="009A481C">
      <w:pPr>
        <w:adjustRightInd w:val="0"/>
        <w:jc w:val="both"/>
        <w:rPr>
          <w:rFonts w:ascii="Arial" w:hAnsi="Arial"/>
          <w:sz w:val="20"/>
          <w:lang w:val="pl-PL"/>
        </w:rPr>
      </w:pPr>
      <w:r w:rsidRPr="00765C97">
        <w:rPr>
          <w:rFonts w:ascii="Arial" w:hAnsi="Arial" w:cs="Arial"/>
          <w:sz w:val="20"/>
          <w:szCs w:val="20"/>
          <w:lang w:val="pl-PL"/>
        </w:rPr>
        <w:t>W 201</w:t>
      </w:r>
      <w:r w:rsidR="009A481C" w:rsidRPr="00765C97">
        <w:rPr>
          <w:rFonts w:ascii="Arial" w:hAnsi="Arial" w:cs="Arial"/>
          <w:sz w:val="20"/>
          <w:szCs w:val="20"/>
          <w:lang w:val="pl-PL"/>
        </w:rPr>
        <w:t>2</w:t>
      </w:r>
      <w:r w:rsidRPr="00765C97">
        <w:rPr>
          <w:rFonts w:ascii="Arial" w:hAnsi="Arial" w:cs="Arial"/>
          <w:sz w:val="20"/>
          <w:szCs w:val="20"/>
          <w:lang w:val="pl-PL"/>
        </w:rPr>
        <w:t xml:space="preserve"> roku sprzedaż do żadnego z kontrahentów nie przekroczyła 10% całkowitej sprzedaży Grupy Comarch, ani żaden z kontrahentów nie dostarczył produktów i towarów o wartości przekraczającej 10% przychodów ze sprzedaży Grupy Comarch.</w:t>
      </w:r>
    </w:p>
    <w:p w:rsidR="000E1A52" w:rsidRPr="00765C97" w:rsidRDefault="000E1A52" w:rsidP="002C4D4A">
      <w:pPr>
        <w:adjustRightInd w:val="0"/>
        <w:ind w:left="180"/>
        <w:jc w:val="both"/>
        <w:rPr>
          <w:rFonts w:ascii="Arial" w:hAnsi="Arial"/>
          <w:sz w:val="20"/>
          <w:lang w:val="pl-PL"/>
        </w:rPr>
      </w:pPr>
    </w:p>
    <w:p w:rsidR="009A481C" w:rsidRPr="00765C97" w:rsidRDefault="009A481C" w:rsidP="009A481C">
      <w:pPr>
        <w:adjustRightInd w:val="0"/>
        <w:jc w:val="both"/>
        <w:rPr>
          <w:rFonts w:ascii="Arial" w:hAnsi="Arial"/>
          <w:sz w:val="20"/>
          <w:lang w:val="pl-PL"/>
        </w:rPr>
      </w:pPr>
      <w:r w:rsidRPr="00765C97">
        <w:rPr>
          <w:rFonts w:ascii="Arial" w:hAnsi="Arial"/>
          <w:sz w:val="20"/>
          <w:lang w:val="pl-PL"/>
        </w:rPr>
        <w:t>Rozkład przychodów ze sprzedaży osiąganych przez Grupę Kapitałową Comarch na przestrzeni roku 2012 przedstawiał się następująco: 19% rocznej sprzedaży zostało zrealizowane w pierwszym kwartale, 21% w drugim kwartale, 19% w trzecim kwartale oraz 41% w czwartym kwartale. Taki rozkład przychodów jest typowy dla branży informatycznej.</w:t>
      </w:r>
    </w:p>
    <w:p w:rsidR="005F5B20" w:rsidRPr="00765C97" w:rsidRDefault="009A481C" w:rsidP="004E7E0A">
      <w:pPr>
        <w:adjustRightInd w:val="0"/>
        <w:jc w:val="both"/>
        <w:rPr>
          <w:rFonts w:ascii="Arial" w:hAnsi="Arial"/>
          <w:sz w:val="20"/>
          <w:lang w:val="pl-PL"/>
        </w:rPr>
      </w:pPr>
      <w:r w:rsidRPr="00765C97">
        <w:rPr>
          <w:rFonts w:ascii="Arial" w:hAnsi="Arial"/>
          <w:sz w:val="20"/>
          <w:lang w:val="pl-PL"/>
        </w:rPr>
        <w:t>Na przestrzeni roku 2013 Grupa spodziewa się rozkładu przychodów ze sprzedaży zbliżonego do ubiegłorocznego.</w:t>
      </w:r>
    </w:p>
    <w:p w:rsidR="00C24263" w:rsidRPr="00765C97" w:rsidRDefault="00C24263" w:rsidP="004E7E0A">
      <w:pPr>
        <w:rPr>
          <w:rFonts w:ascii="Arial" w:hAnsi="Arial"/>
          <w:b/>
          <w:sz w:val="20"/>
          <w:lang w:val="pl-PL"/>
        </w:rPr>
      </w:pPr>
    </w:p>
    <w:p w:rsidR="009413DD" w:rsidRPr="00765C97" w:rsidRDefault="009413DD" w:rsidP="004E7E0A">
      <w:pPr>
        <w:rPr>
          <w:rFonts w:ascii="Arial" w:hAnsi="Arial"/>
          <w:sz w:val="20"/>
          <w:lang w:val="pl-PL"/>
        </w:rPr>
      </w:pPr>
      <w:r w:rsidRPr="00765C97">
        <w:rPr>
          <w:rFonts w:ascii="Arial" w:hAnsi="Arial"/>
          <w:sz w:val="20"/>
          <w:lang w:val="pl-PL"/>
        </w:rPr>
        <w:t>Szczegółowe dane dotyczące segmentów zaprezentowane są poniżej.</w:t>
      </w:r>
    </w:p>
    <w:p w:rsidR="00B24DA9" w:rsidRPr="00765C97" w:rsidRDefault="00B24DA9" w:rsidP="004E7E0A">
      <w:pPr>
        <w:rPr>
          <w:rFonts w:ascii="Arial" w:hAnsi="Arial"/>
          <w:b/>
          <w:sz w:val="20"/>
          <w:lang w:val="pl-PL"/>
        </w:rPr>
      </w:pPr>
      <w:r w:rsidRPr="00765C97">
        <w:rPr>
          <w:rFonts w:ascii="Arial" w:hAnsi="Arial"/>
          <w:b/>
          <w:sz w:val="20"/>
          <w:lang w:val="pl-PL"/>
        </w:rPr>
        <w:t>Rok 20</w:t>
      </w:r>
      <w:r w:rsidR="00DD5175" w:rsidRPr="00765C97">
        <w:rPr>
          <w:rFonts w:ascii="Arial" w:hAnsi="Arial"/>
          <w:b/>
          <w:sz w:val="20"/>
          <w:lang w:val="pl-PL"/>
        </w:rPr>
        <w:t>11</w:t>
      </w:r>
    </w:p>
    <w:tbl>
      <w:tblPr>
        <w:tblW w:w="8882" w:type="dxa"/>
        <w:tblInd w:w="-214" w:type="dxa"/>
        <w:tblLayout w:type="fixed"/>
        <w:tblCellMar>
          <w:left w:w="70" w:type="dxa"/>
          <w:right w:w="70" w:type="dxa"/>
        </w:tblCellMar>
        <w:tblLook w:val="0000"/>
      </w:tblPr>
      <w:tblGrid>
        <w:gridCol w:w="2053"/>
        <w:gridCol w:w="824"/>
        <w:gridCol w:w="825"/>
        <w:gridCol w:w="825"/>
        <w:gridCol w:w="961"/>
        <w:gridCol w:w="825"/>
        <w:gridCol w:w="917"/>
        <w:gridCol w:w="802"/>
        <w:gridCol w:w="850"/>
      </w:tblGrid>
      <w:tr w:rsidR="00DC5EE3" w:rsidRPr="00765C97" w:rsidTr="00DC5EE3">
        <w:trPr>
          <w:cantSplit/>
          <w:trHeight w:val="196"/>
        </w:trPr>
        <w:tc>
          <w:tcPr>
            <w:tcW w:w="2053" w:type="dxa"/>
            <w:vMerge w:val="restart"/>
            <w:vAlign w:val="center"/>
          </w:tcPr>
          <w:p w:rsidR="00DC5EE3" w:rsidRPr="00765C97" w:rsidRDefault="00DC5EE3" w:rsidP="009652C1">
            <w:pPr>
              <w:adjustRightInd w:val="0"/>
              <w:rPr>
                <w:rFonts w:ascii="Arial" w:hAnsi="Arial" w:cs="Arial"/>
                <w:b/>
                <w:sz w:val="16"/>
                <w:szCs w:val="16"/>
                <w:lang w:val="pl-PL"/>
              </w:rPr>
            </w:pPr>
            <w:r w:rsidRPr="00765C97">
              <w:rPr>
                <w:rFonts w:ascii="Arial" w:hAnsi="Arial" w:cs="Arial"/>
                <w:b/>
                <w:sz w:val="16"/>
                <w:szCs w:val="16"/>
                <w:lang w:val="pl-PL"/>
              </w:rPr>
              <w:br w:type="page"/>
              <w:t>12 miesięcy 2011</w:t>
            </w:r>
          </w:p>
        </w:tc>
        <w:tc>
          <w:tcPr>
            <w:tcW w:w="2474" w:type="dxa"/>
            <w:gridSpan w:val="3"/>
          </w:tcPr>
          <w:p w:rsidR="00DC5EE3" w:rsidRPr="00765C97" w:rsidRDefault="00DC5EE3" w:rsidP="009652C1">
            <w:pPr>
              <w:adjustRightInd w:val="0"/>
              <w:ind w:left="-120"/>
              <w:jc w:val="center"/>
              <w:rPr>
                <w:rFonts w:ascii="Arial" w:hAnsi="Arial" w:cs="Arial"/>
                <w:b/>
                <w:sz w:val="16"/>
                <w:szCs w:val="16"/>
                <w:lang w:val="pl-PL"/>
              </w:rPr>
            </w:pPr>
            <w:r w:rsidRPr="00765C97">
              <w:rPr>
                <w:rFonts w:ascii="Arial" w:hAnsi="Arial" w:cs="Arial"/>
                <w:b/>
                <w:sz w:val="16"/>
                <w:szCs w:val="16"/>
                <w:lang w:val="pl-PL"/>
              </w:rPr>
              <w:t>Segment IT</w:t>
            </w:r>
          </w:p>
        </w:tc>
        <w:tc>
          <w:tcPr>
            <w:tcW w:w="961" w:type="dxa"/>
            <w:vMerge w:val="restart"/>
            <w:vAlign w:val="center"/>
          </w:tcPr>
          <w:p w:rsidR="00DC5EE3" w:rsidRPr="00765C97" w:rsidRDefault="00DC5EE3" w:rsidP="00DC5EE3">
            <w:pPr>
              <w:adjustRightInd w:val="0"/>
              <w:ind w:left="-70" w:right="-68"/>
              <w:jc w:val="center"/>
              <w:rPr>
                <w:rFonts w:ascii="Arial" w:hAnsi="Arial" w:cs="Arial"/>
                <w:b/>
                <w:sz w:val="16"/>
                <w:szCs w:val="16"/>
                <w:lang w:val="pl-PL"/>
              </w:rPr>
            </w:pPr>
            <w:r w:rsidRPr="00765C97">
              <w:rPr>
                <w:rFonts w:ascii="Arial" w:hAnsi="Arial" w:cs="Arial"/>
                <w:b/>
                <w:sz w:val="16"/>
                <w:szCs w:val="16"/>
                <w:lang w:val="pl-PL"/>
              </w:rPr>
              <w:t>Segment Inwestycje</w:t>
            </w:r>
          </w:p>
        </w:tc>
        <w:tc>
          <w:tcPr>
            <w:tcW w:w="825" w:type="dxa"/>
            <w:vMerge w:val="restart"/>
            <w:vAlign w:val="center"/>
          </w:tcPr>
          <w:p w:rsidR="00DC5EE3" w:rsidRPr="00765C97" w:rsidRDefault="00DC5EE3" w:rsidP="00DC5EE3">
            <w:pPr>
              <w:adjustRightInd w:val="0"/>
              <w:ind w:left="-120" w:right="-70"/>
              <w:jc w:val="center"/>
              <w:rPr>
                <w:rFonts w:ascii="Arial" w:hAnsi="Arial" w:cs="Arial"/>
                <w:b/>
                <w:sz w:val="16"/>
                <w:szCs w:val="16"/>
                <w:lang w:val="pl-PL"/>
              </w:rPr>
            </w:pPr>
            <w:r w:rsidRPr="00765C97">
              <w:rPr>
                <w:rFonts w:ascii="Arial" w:hAnsi="Arial" w:cs="Arial"/>
                <w:b/>
                <w:sz w:val="16"/>
                <w:szCs w:val="16"/>
                <w:lang w:val="pl-PL"/>
              </w:rPr>
              <w:t>Segment Sport</w:t>
            </w:r>
          </w:p>
        </w:tc>
        <w:tc>
          <w:tcPr>
            <w:tcW w:w="917" w:type="dxa"/>
            <w:vMerge w:val="restart"/>
            <w:vAlign w:val="center"/>
          </w:tcPr>
          <w:p w:rsidR="00DC5EE3" w:rsidRPr="00765C97" w:rsidRDefault="00DC5EE3" w:rsidP="00DC5EE3">
            <w:pPr>
              <w:adjustRightInd w:val="0"/>
              <w:ind w:left="-146"/>
              <w:jc w:val="center"/>
              <w:rPr>
                <w:rFonts w:ascii="Arial" w:hAnsi="Arial" w:cs="Arial"/>
                <w:b/>
                <w:sz w:val="16"/>
                <w:szCs w:val="16"/>
                <w:lang w:val="pl-PL"/>
              </w:rPr>
            </w:pPr>
            <w:r w:rsidRPr="00765C97">
              <w:rPr>
                <w:rFonts w:ascii="Arial" w:hAnsi="Arial" w:cs="Arial"/>
                <w:b/>
                <w:sz w:val="16"/>
                <w:szCs w:val="16"/>
                <w:lang w:val="pl-PL"/>
              </w:rPr>
              <w:t>Segment Medycyna</w:t>
            </w:r>
          </w:p>
        </w:tc>
        <w:tc>
          <w:tcPr>
            <w:tcW w:w="802" w:type="dxa"/>
            <w:vMerge w:val="restart"/>
            <w:vAlign w:val="center"/>
          </w:tcPr>
          <w:p w:rsidR="00DC5EE3" w:rsidRPr="00765C97" w:rsidRDefault="00DC5EE3" w:rsidP="00DC5EE3">
            <w:pPr>
              <w:adjustRightInd w:val="0"/>
              <w:ind w:left="-60" w:right="-70"/>
              <w:jc w:val="center"/>
              <w:rPr>
                <w:rFonts w:ascii="Arial" w:hAnsi="Arial" w:cs="Arial"/>
                <w:b/>
                <w:sz w:val="16"/>
                <w:szCs w:val="16"/>
                <w:lang w:val="pl-PL"/>
              </w:rPr>
            </w:pPr>
            <w:r w:rsidRPr="00765C97">
              <w:rPr>
                <w:rFonts w:ascii="Arial" w:hAnsi="Arial" w:cs="Arial"/>
                <w:b/>
                <w:sz w:val="16"/>
                <w:szCs w:val="16"/>
                <w:lang w:val="pl-PL"/>
              </w:rPr>
              <w:t>Eliminacje</w:t>
            </w:r>
          </w:p>
        </w:tc>
        <w:tc>
          <w:tcPr>
            <w:tcW w:w="850" w:type="dxa"/>
            <w:vMerge w:val="restart"/>
            <w:vAlign w:val="center"/>
          </w:tcPr>
          <w:p w:rsidR="00DC5EE3" w:rsidRPr="00765C97" w:rsidRDefault="00DC5EE3" w:rsidP="00DC5EE3">
            <w:pPr>
              <w:adjustRightInd w:val="0"/>
              <w:ind w:left="-146"/>
              <w:jc w:val="center"/>
              <w:rPr>
                <w:rFonts w:ascii="Arial" w:hAnsi="Arial" w:cs="Arial"/>
                <w:b/>
                <w:sz w:val="16"/>
                <w:szCs w:val="16"/>
                <w:lang w:val="pl-PL"/>
              </w:rPr>
            </w:pPr>
            <w:r w:rsidRPr="00765C97">
              <w:rPr>
                <w:rFonts w:ascii="Arial" w:hAnsi="Arial" w:cs="Arial"/>
                <w:b/>
                <w:sz w:val="16"/>
                <w:szCs w:val="16"/>
                <w:lang w:val="pl-PL"/>
              </w:rPr>
              <w:t>Razem</w:t>
            </w:r>
          </w:p>
        </w:tc>
      </w:tr>
      <w:tr w:rsidR="00DC5EE3" w:rsidRPr="00765C97" w:rsidTr="00DC5EE3">
        <w:trPr>
          <w:cantSplit/>
          <w:trHeight w:val="255"/>
        </w:trPr>
        <w:tc>
          <w:tcPr>
            <w:tcW w:w="2053" w:type="dxa"/>
            <w:vMerge/>
            <w:vAlign w:val="center"/>
          </w:tcPr>
          <w:p w:rsidR="00DC5EE3" w:rsidRPr="00765C97" w:rsidRDefault="00DC5EE3" w:rsidP="009652C1">
            <w:pPr>
              <w:adjustRightInd w:val="0"/>
              <w:rPr>
                <w:rFonts w:ascii="Arial" w:hAnsi="Arial" w:cs="Arial"/>
                <w:b/>
                <w:sz w:val="16"/>
                <w:szCs w:val="16"/>
                <w:lang w:val="pl-PL"/>
              </w:rPr>
            </w:pPr>
          </w:p>
        </w:tc>
        <w:tc>
          <w:tcPr>
            <w:tcW w:w="824" w:type="dxa"/>
            <w:tcBorders>
              <w:bottom w:val="single" w:sz="4" w:space="0" w:color="auto"/>
            </w:tcBorders>
            <w:vAlign w:val="center"/>
          </w:tcPr>
          <w:p w:rsidR="00DC5EE3" w:rsidRPr="00765C97" w:rsidRDefault="00DC5EE3" w:rsidP="009652C1">
            <w:pPr>
              <w:adjustRightInd w:val="0"/>
              <w:ind w:left="-70"/>
              <w:jc w:val="center"/>
              <w:rPr>
                <w:rFonts w:ascii="Arial" w:hAnsi="Arial" w:cs="Arial"/>
                <w:b/>
                <w:sz w:val="16"/>
                <w:szCs w:val="16"/>
                <w:lang w:val="pl-PL"/>
              </w:rPr>
            </w:pPr>
            <w:r w:rsidRPr="00765C97">
              <w:rPr>
                <w:rFonts w:ascii="Arial" w:hAnsi="Arial" w:cs="Arial"/>
                <w:b/>
                <w:sz w:val="16"/>
                <w:szCs w:val="16"/>
                <w:lang w:val="pl-PL"/>
              </w:rPr>
              <w:t>Rynek polski</w:t>
            </w:r>
          </w:p>
        </w:tc>
        <w:tc>
          <w:tcPr>
            <w:tcW w:w="825" w:type="dxa"/>
            <w:tcBorders>
              <w:bottom w:val="single" w:sz="4" w:space="0" w:color="auto"/>
            </w:tcBorders>
            <w:vAlign w:val="center"/>
          </w:tcPr>
          <w:p w:rsidR="00DC5EE3" w:rsidRPr="00765C97" w:rsidRDefault="00DC5EE3" w:rsidP="009652C1">
            <w:pPr>
              <w:adjustRightInd w:val="0"/>
              <w:ind w:left="-70"/>
              <w:jc w:val="center"/>
              <w:rPr>
                <w:rFonts w:ascii="Arial" w:hAnsi="Arial" w:cs="Arial"/>
                <w:b/>
                <w:sz w:val="16"/>
                <w:szCs w:val="16"/>
                <w:lang w:val="pl-PL"/>
              </w:rPr>
            </w:pPr>
            <w:r w:rsidRPr="00765C97">
              <w:rPr>
                <w:rFonts w:ascii="Arial" w:hAnsi="Arial" w:cs="Arial"/>
                <w:b/>
                <w:sz w:val="16"/>
                <w:szCs w:val="16"/>
                <w:lang w:val="pl-PL"/>
              </w:rPr>
              <w:t>Rynek DACH</w:t>
            </w:r>
          </w:p>
        </w:tc>
        <w:tc>
          <w:tcPr>
            <w:tcW w:w="825" w:type="dxa"/>
            <w:tcBorders>
              <w:bottom w:val="single" w:sz="4" w:space="0" w:color="auto"/>
            </w:tcBorders>
            <w:vAlign w:val="center"/>
          </w:tcPr>
          <w:p w:rsidR="00DC5EE3" w:rsidRPr="00765C97" w:rsidRDefault="00DC5EE3" w:rsidP="009652C1">
            <w:pPr>
              <w:adjustRightInd w:val="0"/>
              <w:ind w:left="-70" w:right="-70"/>
              <w:jc w:val="center"/>
              <w:rPr>
                <w:rFonts w:ascii="Arial" w:hAnsi="Arial" w:cs="Arial"/>
                <w:b/>
                <w:sz w:val="16"/>
                <w:szCs w:val="16"/>
                <w:lang w:val="pl-PL"/>
              </w:rPr>
            </w:pPr>
            <w:r w:rsidRPr="00765C97">
              <w:rPr>
                <w:rFonts w:ascii="Arial" w:hAnsi="Arial" w:cs="Arial"/>
                <w:b/>
                <w:sz w:val="16"/>
                <w:szCs w:val="16"/>
                <w:lang w:val="pl-PL"/>
              </w:rPr>
              <w:t>Pozostałe rynki</w:t>
            </w:r>
          </w:p>
        </w:tc>
        <w:tc>
          <w:tcPr>
            <w:tcW w:w="961" w:type="dxa"/>
            <w:vMerge/>
            <w:tcBorders>
              <w:bottom w:val="single" w:sz="4" w:space="0" w:color="auto"/>
            </w:tcBorders>
          </w:tcPr>
          <w:p w:rsidR="00DC5EE3" w:rsidRPr="00765C97" w:rsidRDefault="00DC5EE3" w:rsidP="009652C1">
            <w:pPr>
              <w:adjustRightInd w:val="0"/>
              <w:ind w:left="-120"/>
              <w:jc w:val="right"/>
              <w:rPr>
                <w:rFonts w:ascii="Arial" w:hAnsi="Arial" w:cs="Arial"/>
                <w:b/>
                <w:sz w:val="16"/>
                <w:szCs w:val="16"/>
                <w:lang w:val="pl-PL"/>
              </w:rPr>
            </w:pPr>
          </w:p>
        </w:tc>
        <w:tc>
          <w:tcPr>
            <w:tcW w:w="825" w:type="dxa"/>
            <w:vMerge/>
            <w:tcBorders>
              <w:bottom w:val="single" w:sz="4" w:space="0" w:color="auto"/>
            </w:tcBorders>
            <w:vAlign w:val="center"/>
          </w:tcPr>
          <w:p w:rsidR="00DC5EE3" w:rsidRPr="00765C97" w:rsidRDefault="00DC5EE3" w:rsidP="009652C1">
            <w:pPr>
              <w:adjustRightInd w:val="0"/>
              <w:ind w:left="-120"/>
              <w:jc w:val="right"/>
              <w:rPr>
                <w:rFonts w:ascii="Arial" w:hAnsi="Arial" w:cs="Arial"/>
                <w:b/>
                <w:sz w:val="16"/>
                <w:szCs w:val="16"/>
                <w:lang w:val="pl-PL"/>
              </w:rPr>
            </w:pPr>
          </w:p>
        </w:tc>
        <w:tc>
          <w:tcPr>
            <w:tcW w:w="917" w:type="dxa"/>
            <w:vMerge/>
            <w:tcBorders>
              <w:bottom w:val="single" w:sz="4" w:space="0" w:color="auto"/>
            </w:tcBorders>
            <w:vAlign w:val="center"/>
          </w:tcPr>
          <w:p w:rsidR="00DC5EE3" w:rsidRPr="00765C97" w:rsidRDefault="00DC5EE3" w:rsidP="00DC5EE3">
            <w:pPr>
              <w:adjustRightInd w:val="0"/>
              <w:ind w:left="-146"/>
              <w:jc w:val="center"/>
              <w:rPr>
                <w:rFonts w:ascii="Arial" w:hAnsi="Arial" w:cs="Arial"/>
                <w:b/>
                <w:sz w:val="16"/>
                <w:szCs w:val="16"/>
                <w:lang w:val="pl-PL"/>
              </w:rPr>
            </w:pPr>
          </w:p>
        </w:tc>
        <w:tc>
          <w:tcPr>
            <w:tcW w:w="802" w:type="dxa"/>
            <w:vMerge/>
            <w:tcBorders>
              <w:bottom w:val="single" w:sz="4" w:space="0" w:color="auto"/>
            </w:tcBorders>
            <w:vAlign w:val="center"/>
          </w:tcPr>
          <w:p w:rsidR="00DC5EE3" w:rsidRPr="00765C97" w:rsidRDefault="00DC5EE3" w:rsidP="009652C1">
            <w:pPr>
              <w:adjustRightInd w:val="0"/>
              <w:ind w:left="-60" w:right="-70"/>
              <w:jc w:val="right"/>
              <w:rPr>
                <w:rFonts w:ascii="Arial" w:hAnsi="Arial" w:cs="Arial"/>
                <w:b/>
                <w:sz w:val="16"/>
                <w:szCs w:val="16"/>
                <w:lang w:val="pl-PL"/>
              </w:rPr>
            </w:pPr>
          </w:p>
        </w:tc>
        <w:tc>
          <w:tcPr>
            <w:tcW w:w="850" w:type="dxa"/>
            <w:vMerge/>
            <w:tcBorders>
              <w:bottom w:val="single" w:sz="4" w:space="0" w:color="auto"/>
            </w:tcBorders>
            <w:vAlign w:val="center"/>
          </w:tcPr>
          <w:p w:rsidR="00DC5EE3" w:rsidRPr="00765C97" w:rsidRDefault="00DC5EE3" w:rsidP="009652C1">
            <w:pPr>
              <w:adjustRightInd w:val="0"/>
              <w:ind w:left="-146"/>
              <w:jc w:val="right"/>
              <w:rPr>
                <w:rFonts w:ascii="Arial" w:hAnsi="Arial" w:cs="Arial"/>
                <w:b/>
                <w:sz w:val="16"/>
                <w:szCs w:val="16"/>
                <w:lang w:val="pl-PL"/>
              </w:rPr>
            </w:pPr>
          </w:p>
        </w:tc>
      </w:tr>
      <w:tr w:rsidR="00DC5EE3" w:rsidRPr="00765C97" w:rsidTr="00DC5EE3">
        <w:trPr>
          <w:trHeight w:val="255"/>
        </w:trPr>
        <w:tc>
          <w:tcPr>
            <w:tcW w:w="2053" w:type="dxa"/>
            <w:vAlign w:val="center"/>
          </w:tcPr>
          <w:p w:rsidR="00DC5EE3" w:rsidRPr="00765C97" w:rsidRDefault="00DC5EE3" w:rsidP="009652C1">
            <w:pPr>
              <w:adjustRightInd w:val="0"/>
              <w:rPr>
                <w:rFonts w:ascii="Arial" w:hAnsi="Arial" w:cs="Arial"/>
                <w:sz w:val="16"/>
                <w:szCs w:val="16"/>
                <w:lang w:val="pl-PL"/>
              </w:rPr>
            </w:pPr>
            <w:r w:rsidRPr="00765C97">
              <w:rPr>
                <w:rFonts w:ascii="Arial" w:hAnsi="Arial" w:cs="Arial"/>
                <w:sz w:val="16"/>
                <w:szCs w:val="16"/>
                <w:lang w:val="pl-PL"/>
              </w:rPr>
              <w:t>Przychody segmentu– sprzedaż klientom zewnętrznym</w:t>
            </w:r>
          </w:p>
        </w:tc>
        <w:tc>
          <w:tcPr>
            <w:tcW w:w="824"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483 925</w:t>
            </w:r>
          </w:p>
        </w:tc>
        <w:tc>
          <w:tcPr>
            <w:tcW w:w="825"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225 766</w:t>
            </w:r>
          </w:p>
        </w:tc>
        <w:tc>
          <w:tcPr>
            <w:tcW w:w="825"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72 841</w:t>
            </w:r>
          </w:p>
        </w:tc>
        <w:tc>
          <w:tcPr>
            <w:tcW w:w="961"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5 680</w:t>
            </w:r>
          </w:p>
        </w:tc>
        <w:tc>
          <w:tcPr>
            <w:tcW w:w="825"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21 430</w:t>
            </w:r>
          </w:p>
        </w:tc>
        <w:tc>
          <w:tcPr>
            <w:tcW w:w="917"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02"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50"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809 642</w:t>
            </w:r>
          </w:p>
        </w:tc>
      </w:tr>
      <w:tr w:rsidR="00DC5EE3" w:rsidRPr="00765C97" w:rsidTr="00DC5EE3">
        <w:trPr>
          <w:trHeight w:val="255"/>
        </w:trPr>
        <w:tc>
          <w:tcPr>
            <w:tcW w:w="2053" w:type="dxa"/>
            <w:vAlign w:val="center"/>
          </w:tcPr>
          <w:p w:rsidR="00DC5EE3" w:rsidRPr="00765C97" w:rsidRDefault="00DC5EE3" w:rsidP="009652C1">
            <w:pPr>
              <w:adjustRightInd w:val="0"/>
              <w:rPr>
                <w:rFonts w:ascii="Arial" w:hAnsi="Arial" w:cs="Arial"/>
                <w:i/>
                <w:sz w:val="16"/>
                <w:szCs w:val="16"/>
                <w:lang w:val="pl-PL"/>
              </w:rPr>
            </w:pPr>
            <w:r w:rsidRPr="00765C97">
              <w:rPr>
                <w:rFonts w:ascii="Arial" w:hAnsi="Arial" w:cs="Arial"/>
                <w:i/>
                <w:sz w:val="16"/>
                <w:szCs w:val="16"/>
                <w:lang w:val="pl-PL"/>
              </w:rPr>
              <w:t>w tym:</w:t>
            </w:r>
          </w:p>
        </w:tc>
        <w:tc>
          <w:tcPr>
            <w:tcW w:w="824" w:type="dxa"/>
            <w:vAlign w:val="center"/>
          </w:tcPr>
          <w:p w:rsidR="00DC5EE3" w:rsidRPr="00765C97" w:rsidRDefault="00DC5EE3" w:rsidP="00DC5EE3">
            <w:pPr>
              <w:jc w:val="center"/>
              <w:rPr>
                <w:rFonts w:ascii="Arial" w:hAnsi="Arial" w:cs="Arial"/>
                <w:sz w:val="16"/>
                <w:szCs w:val="16"/>
              </w:rPr>
            </w:pPr>
          </w:p>
        </w:tc>
        <w:tc>
          <w:tcPr>
            <w:tcW w:w="825" w:type="dxa"/>
            <w:vAlign w:val="center"/>
          </w:tcPr>
          <w:p w:rsidR="00DC5EE3" w:rsidRPr="00765C97" w:rsidRDefault="00DC5EE3" w:rsidP="00DC5EE3">
            <w:pPr>
              <w:jc w:val="center"/>
              <w:rPr>
                <w:rFonts w:ascii="Arial" w:hAnsi="Arial" w:cs="Arial"/>
                <w:sz w:val="16"/>
                <w:szCs w:val="16"/>
              </w:rPr>
            </w:pPr>
          </w:p>
        </w:tc>
        <w:tc>
          <w:tcPr>
            <w:tcW w:w="825" w:type="dxa"/>
            <w:vAlign w:val="center"/>
          </w:tcPr>
          <w:p w:rsidR="00DC5EE3" w:rsidRPr="00765C97" w:rsidRDefault="00DC5EE3" w:rsidP="00DC5EE3">
            <w:pPr>
              <w:jc w:val="center"/>
              <w:rPr>
                <w:rFonts w:ascii="Arial" w:hAnsi="Arial" w:cs="Arial"/>
                <w:sz w:val="16"/>
                <w:szCs w:val="16"/>
              </w:rPr>
            </w:pPr>
          </w:p>
        </w:tc>
        <w:tc>
          <w:tcPr>
            <w:tcW w:w="961" w:type="dxa"/>
            <w:vAlign w:val="center"/>
          </w:tcPr>
          <w:p w:rsidR="00DC5EE3" w:rsidRPr="00765C97" w:rsidRDefault="00DC5EE3" w:rsidP="00DC5EE3">
            <w:pPr>
              <w:jc w:val="center"/>
              <w:rPr>
                <w:rFonts w:ascii="Arial" w:hAnsi="Arial" w:cs="Arial"/>
                <w:sz w:val="16"/>
                <w:szCs w:val="16"/>
              </w:rPr>
            </w:pPr>
          </w:p>
        </w:tc>
        <w:tc>
          <w:tcPr>
            <w:tcW w:w="825" w:type="dxa"/>
            <w:vAlign w:val="center"/>
          </w:tcPr>
          <w:p w:rsidR="00DC5EE3" w:rsidRPr="00765C97" w:rsidRDefault="00DC5EE3" w:rsidP="00DC5EE3">
            <w:pPr>
              <w:jc w:val="center"/>
              <w:rPr>
                <w:rFonts w:ascii="Arial" w:hAnsi="Arial" w:cs="Arial"/>
                <w:sz w:val="16"/>
                <w:szCs w:val="16"/>
              </w:rPr>
            </w:pPr>
          </w:p>
        </w:tc>
        <w:tc>
          <w:tcPr>
            <w:tcW w:w="917" w:type="dxa"/>
            <w:vAlign w:val="center"/>
          </w:tcPr>
          <w:p w:rsidR="00DC5EE3" w:rsidRPr="00765C97" w:rsidRDefault="00DC5EE3" w:rsidP="00DC5EE3">
            <w:pPr>
              <w:jc w:val="center"/>
              <w:rPr>
                <w:rFonts w:ascii="Arial" w:hAnsi="Arial" w:cs="Arial"/>
                <w:sz w:val="16"/>
                <w:szCs w:val="16"/>
              </w:rPr>
            </w:pPr>
          </w:p>
        </w:tc>
        <w:tc>
          <w:tcPr>
            <w:tcW w:w="802" w:type="dxa"/>
            <w:vAlign w:val="center"/>
          </w:tcPr>
          <w:p w:rsidR="00DC5EE3" w:rsidRPr="00765C97" w:rsidRDefault="00DC5EE3" w:rsidP="00DC5EE3">
            <w:pPr>
              <w:jc w:val="center"/>
              <w:rPr>
                <w:rFonts w:ascii="Arial" w:hAnsi="Arial" w:cs="Arial"/>
                <w:sz w:val="16"/>
                <w:szCs w:val="16"/>
              </w:rPr>
            </w:pPr>
          </w:p>
        </w:tc>
        <w:tc>
          <w:tcPr>
            <w:tcW w:w="850" w:type="dxa"/>
            <w:vAlign w:val="center"/>
          </w:tcPr>
          <w:p w:rsidR="00DC5EE3" w:rsidRPr="00765C97" w:rsidRDefault="00DC5EE3" w:rsidP="00DC5EE3">
            <w:pPr>
              <w:jc w:val="center"/>
              <w:rPr>
                <w:rFonts w:ascii="Arial" w:hAnsi="Arial" w:cs="Arial"/>
                <w:sz w:val="16"/>
                <w:szCs w:val="16"/>
              </w:rPr>
            </w:pPr>
          </w:p>
        </w:tc>
      </w:tr>
      <w:tr w:rsidR="00DC5EE3" w:rsidRPr="00765C97" w:rsidTr="00DC5EE3">
        <w:trPr>
          <w:trHeight w:val="255"/>
        </w:trPr>
        <w:tc>
          <w:tcPr>
            <w:tcW w:w="2053" w:type="dxa"/>
            <w:vAlign w:val="center"/>
          </w:tcPr>
          <w:p w:rsidR="00DC5EE3" w:rsidRPr="00765C97" w:rsidRDefault="00DC5EE3" w:rsidP="009652C1">
            <w:pPr>
              <w:adjustRightInd w:val="0"/>
              <w:rPr>
                <w:rFonts w:ascii="Arial" w:hAnsi="Arial" w:cs="Arial"/>
                <w:i/>
                <w:sz w:val="16"/>
                <w:szCs w:val="16"/>
                <w:lang w:val="pl-PL"/>
              </w:rPr>
            </w:pPr>
            <w:r w:rsidRPr="00765C97">
              <w:rPr>
                <w:rFonts w:ascii="Arial" w:hAnsi="Arial" w:cs="Arial"/>
                <w:i/>
                <w:sz w:val="16"/>
                <w:szCs w:val="16"/>
                <w:lang w:val="pl-PL"/>
              </w:rPr>
              <w:t xml:space="preserve">  przychody ze sprzedaży:</w:t>
            </w:r>
          </w:p>
        </w:tc>
        <w:tc>
          <w:tcPr>
            <w:tcW w:w="824"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485 307</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213 630</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72 111</w:t>
            </w:r>
          </w:p>
        </w:tc>
        <w:tc>
          <w:tcPr>
            <w:tcW w:w="961"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314</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14 291</w:t>
            </w:r>
          </w:p>
        </w:tc>
        <w:tc>
          <w:tcPr>
            <w:tcW w:w="917"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02"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50"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785 653</w:t>
            </w:r>
          </w:p>
        </w:tc>
      </w:tr>
      <w:tr w:rsidR="00DC5EE3" w:rsidRPr="00765C97" w:rsidTr="00DC5EE3">
        <w:trPr>
          <w:trHeight w:val="81"/>
        </w:trPr>
        <w:tc>
          <w:tcPr>
            <w:tcW w:w="2053" w:type="dxa"/>
            <w:vAlign w:val="center"/>
          </w:tcPr>
          <w:p w:rsidR="00DC5EE3" w:rsidRPr="00765C97" w:rsidRDefault="00DC5EE3" w:rsidP="009652C1">
            <w:pPr>
              <w:adjustRightInd w:val="0"/>
              <w:ind w:left="110"/>
              <w:jc w:val="right"/>
              <w:rPr>
                <w:rFonts w:ascii="Arial" w:hAnsi="Arial" w:cs="Arial"/>
                <w:i/>
                <w:sz w:val="16"/>
                <w:szCs w:val="16"/>
                <w:lang w:val="pl-PL"/>
              </w:rPr>
            </w:pPr>
          </w:p>
        </w:tc>
        <w:tc>
          <w:tcPr>
            <w:tcW w:w="824" w:type="dxa"/>
            <w:vAlign w:val="center"/>
          </w:tcPr>
          <w:p w:rsidR="00DC5EE3" w:rsidRPr="00765C97" w:rsidRDefault="00DC5EE3" w:rsidP="00DC5EE3">
            <w:pPr>
              <w:jc w:val="center"/>
              <w:rPr>
                <w:rFonts w:ascii="Arial" w:hAnsi="Arial" w:cs="Arial"/>
                <w:i/>
                <w:sz w:val="14"/>
                <w:szCs w:val="14"/>
              </w:rPr>
            </w:pPr>
          </w:p>
        </w:tc>
        <w:tc>
          <w:tcPr>
            <w:tcW w:w="825" w:type="dxa"/>
            <w:vAlign w:val="center"/>
          </w:tcPr>
          <w:p w:rsidR="00DC5EE3" w:rsidRPr="00765C97" w:rsidRDefault="00DC5EE3" w:rsidP="00DC5EE3">
            <w:pPr>
              <w:jc w:val="center"/>
              <w:rPr>
                <w:rFonts w:ascii="Arial" w:hAnsi="Arial" w:cs="Arial"/>
                <w:i/>
                <w:sz w:val="14"/>
                <w:szCs w:val="14"/>
              </w:rPr>
            </w:pPr>
          </w:p>
        </w:tc>
        <w:tc>
          <w:tcPr>
            <w:tcW w:w="825" w:type="dxa"/>
            <w:vAlign w:val="center"/>
          </w:tcPr>
          <w:p w:rsidR="00DC5EE3" w:rsidRPr="00765C97" w:rsidRDefault="00DC5EE3" w:rsidP="00DC5EE3">
            <w:pPr>
              <w:jc w:val="center"/>
              <w:rPr>
                <w:rFonts w:ascii="Arial" w:hAnsi="Arial" w:cs="Arial"/>
                <w:i/>
                <w:sz w:val="14"/>
                <w:szCs w:val="14"/>
              </w:rPr>
            </w:pPr>
          </w:p>
        </w:tc>
        <w:tc>
          <w:tcPr>
            <w:tcW w:w="961" w:type="dxa"/>
            <w:vAlign w:val="center"/>
          </w:tcPr>
          <w:p w:rsidR="00DC5EE3" w:rsidRPr="00765C97" w:rsidRDefault="00DC5EE3" w:rsidP="00DC5EE3">
            <w:pPr>
              <w:jc w:val="center"/>
              <w:rPr>
                <w:rFonts w:ascii="Arial" w:hAnsi="Arial" w:cs="Arial"/>
                <w:i/>
                <w:sz w:val="14"/>
                <w:szCs w:val="14"/>
              </w:rPr>
            </w:pPr>
          </w:p>
        </w:tc>
        <w:tc>
          <w:tcPr>
            <w:tcW w:w="825" w:type="dxa"/>
            <w:vAlign w:val="center"/>
          </w:tcPr>
          <w:p w:rsidR="00DC5EE3" w:rsidRPr="00765C97" w:rsidRDefault="00DC5EE3" w:rsidP="00DC5EE3">
            <w:pPr>
              <w:jc w:val="center"/>
              <w:rPr>
                <w:rFonts w:ascii="Arial" w:hAnsi="Arial" w:cs="Arial"/>
                <w:i/>
                <w:sz w:val="14"/>
                <w:szCs w:val="14"/>
              </w:rPr>
            </w:pPr>
          </w:p>
        </w:tc>
        <w:tc>
          <w:tcPr>
            <w:tcW w:w="917" w:type="dxa"/>
            <w:vAlign w:val="center"/>
          </w:tcPr>
          <w:p w:rsidR="00DC5EE3" w:rsidRPr="00765C97" w:rsidRDefault="00DC5EE3" w:rsidP="00DC5EE3">
            <w:pPr>
              <w:jc w:val="center"/>
              <w:rPr>
                <w:rFonts w:ascii="Arial" w:hAnsi="Arial" w:cs="Arial"/>
                <w:i/>
                <w:sz w:val="14"/>
                <w:szCs w:val="14"/>
              </w:rPr>
            </w:pPr>
          </w:p>
        </w:tc>
        <w:tc>
          <w:tcPr>
            <w:tcW w:w="802" w:type="dxa"/>
            <w:vAlign w:val="center"/>
          </w:tcPr>
          <w:p w:rsidR="00DC5EE3" w:rsidRPr="00765C97" w:rsidRDefault="00DC5EE3" w:rsidP="00DC5EE3">
            <w:pPr>
              <w:jc w:val="center"/>
              <w:rPr>
                <w:rFonts w:ascii="Arial" w:hAnsi="Arial" w:cs="Arial"/>
                <w:i/>
                <w:sz w:val="14"/>
                <w:szCs w:val="14"/>
              </w:rPr>
            </w:pPr>
          </w:p>
        </w:tc>
        <w:tc>
          <w:tcPr>
            <w:tcW w:w="850" w:type="dxa"/>
            <w:vAlign w:val="center"/>
          </w:tcPr>
          <w:p w:rsidR="00DC5EE3" w:rsidRPr="00765C97" w:rsidRDefault="00DC5EE3" w:rsidP="00DC5EE3">
            <w:pPr>
              <w:jc w:val="center"/>
              <w:rPr>
                <w:rFonts w:ascii="Arial" w:hAnsi="Arial" w:cs="Arial"/>
                <w:i/>
                <w:sz w:val="14"/>
                <w:szCs w:val="14"/>
              </w:rPr>
            </w:pPr>
          </w:p>
        </w:tc>
      </w:tr>
      <w:tr w:rsidR="00DC5EE3" w:rsidRPr="00765C97" w:rsidTr="00DC5EE3">
        <w:trPr>
          <w:trHeight w:val="255"/>
        </w:trPr>
        <w:tc>
          <w:tcPr>
            <w:tcW w:w="2053" w:type="dxa"/>
            <w:vAlign w:val="center"/>
          </w:tcPr>
          <w:p w:rsidR="00DC5EE3" w:rsidRPr="00765C97" w:rsidRDefault="00DC5EE3" w:rsidP="009652C1">
            <w:pPr>
              <w:adjustRightInd w:val="0"/>
              <w:ind w:left="110"/>
              <w:jc w:val="right"/>
              <w:rPr>
                <w:rFonts w:ascii="Arial" w:hAnsi="Arial" w:cs="Arial"/>
                <w:i/>
                <w:sz w:val="16"/>
                <w:szCs w:val="16"/>
                <w:lang w:val="pl-PL"/>
              </w:rPr>
            </w:pPr>
            <w:r w:rsidRPr="00765C97">
              <w:rPr>
                <w:rFonts w:ascii="Arial" w:hAnsi="Arial" w:cs="Arial"/>
                <w:i/>
                <w:sz w:val="16"/>
                <w:szCs w:val="16"/>
                <w:lang w:val="pl-PL"/>
              </w:rPr>
              <w:t xml:space="preserve"> na rzecz klientów z sektora Telekomunikacja, Media, IT </w:t>
            </w:r>
          </w:p>
        </w:tc>
        <w:tc>
          <w:tcPr>
            <w:tcW w:w="824"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90 969</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72 154</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50 747</w:t>
            </w:r>
          </w:p>
        </w:tc>
        <w:tc>
          <w:tcPr>
            <w:tcW w:w="961"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917"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02"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50"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213 870</w:t>
            </w:r>
          </w:p>
        </w:tc>
      </w:tr>
      <w:tr w:rsidR="00DC5EE3" w:rsidRPr="00765C97" w:rsidTr="00DC5EE3">
        <w:trPr>
          <w:trHeight w:val="255"/>
        </w:trPr>
        <w:tc>
          <w:tcPr>
            <w:tcW w:w="2053" w:type="dxa"/>
            <w:vAlign w:val="center"/>
          </w:tcPr>
          <w:p w:rsidR="00DC5EE3" w:rsidRPr="00765C97" w:rsidRDefault="00DC5EE3" w:rsidP="009652C1">
            <w:pPr>
              <w:adjustRightInd w:val="0"/>
              <w:ind w:left="110"/>
              <w:jc w:val="right"/>
              <w:rPr>
                <w:rFonts w:ascii="Arial" w:hAnsi="Arial" w:cs="Arial"/>
                <w:sz w:val="16"/>
                <w:szCs w:val="16"/>
                <w:lang w:val="pl-PL"/>
              </w:rPr>
            </w:pPr>
            <w:r w:rsidRPr="00765C97">
              <w:rPr>
                <w:rFonts w:ascii="Arial" w:hAnsi="Arial" w:cs="Arial"/>
                <w:i/>
                <w:sz w:val="16"/>
                <w:szCs w:val="16"/>
                <w:lang w:val="pl-PL"/>
              </w:rPr>
              <w:t>na rzecz klientów z sektora Finanse i Bankowość</w:t>
            </w:r>
          </w:p>
        </w:tc>
        <w:tc>
          <w:tcPr>
            <w:tcW w:w="824"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123 695</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7 155</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5 339</w:t>
            </w:r>
          </w:p>
        </w:tc>
        <w:tc>
          <w:tcPr>
            <w:tcW w:w="961"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917"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02"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50"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136 189</w:t>
            </w:r>
          </w:p>
        </w:tc>
      </w:tr>
      <w:tr w:rsidR="00DC5EE3" w:rsidRPr="00765C97" w:rsidTr="00DC5EE3">
        <w:trPr>
          <w:trHeight w:val="255"/>
        </w:trPr>
        <w:tc>
          <w:tcPr>
            <w:tcW w:w="2053" w:type="dxa"/>
          </w:tcPr>
          <w:p w:rsidR="00DC5EE3" w:rsidRPr="00765C97" w:rsidRDefault="00DC5EE3" w:rsidP="009652C1">
            <w:pPr>
              <w:ind w:left="110"/>
              <w:jc w:val="right"/>
              <w:rPr>
                <w:rFonts w:ascii="Arial" w:hAnsi="Arial" w:cs="Arial"/>
                <w:sz w:val="16"/>
                <w:szCs w:val="16"/>
                <w:lang w:val="pl-PL"/>
              </w:rPr>
            </w:pPr>
            <w:r w:rsidRPr="00765C97">
              <w:rPr>
                <w:rFonts w:ascii="Arial" w:hAnsi="Arial" w:cs="Arial"/>
                <w:i/>
                <w:sz w:val="16"/>
                <w:szCs w:val="16"/>
                <w:lang w:val="pl-PL"/>
              </w:rPr>
              <w:t>na rzecz klientów z sektora Handel i Usługi</w:t>
            </w:r>
          </w:p>
        </w:tc>
        <w:tc>
          <w:tcPr>
            <w:tcW w:w="824"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48 483</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11 544</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13 984</w:t>
            </w:r>
          </w:p>
        </w:tc>
        <w:tc>
          <w:tcPr>
            <w:tcW w:w="961"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917"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02"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50"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74 011</w:t>
            </w:r>
          </w:p>
        </w:tc>
      </w:tr>
      <w:tr w:rsidR="00DC5EE3" w:rsidRPr="00765C97" w:rsidTr="00DC5EE3">
        <w:trPr>
          <w:trHeight w:val="255"/>
        </w:trPr>
        <w:tc>
          <w:tcPr>
            <w:tcW w:w="2053" w:type="dxa"/>
          </w:tcPr>
          <w:p w:rsidR="00DC5EE3" w:rsidRPr="00765C97" w:rsidRDefault="00DC5EE3" w:rsidP="009652C1">
            <w:pPr>
              <w:ind w:left="110"/>
              <w:jc w:val="right"/>
              <w:rPr>
                <w:rFonts w:ascii="Arial" w:hAnsi="Arial" w:cs="Arial"/>
                <w:i/>
                <w:sz w:val="16"/>
                <w:szCs w:val="16"/>
                <w:lang w:val="pl-PL"/>
              </w:rPr>
            </w:pPr>
            <w:r w:rsidRPr="00765C97">
              <w:rPr>
                <w:rFonts w:ascii="Arial" w:hAnsi="Arial" w:cs="Arial"/>
                <w:i/>
                <w:sz w:val="16"/>
                <w:szCs w:val="16"/>
                <w:lang w:val="pl-PL"/>
              </w:rPr>
              <w:t>na rzecz klientów z sektora Przemysł i Utilities</w:t>
            </w:r>
          </w:p>
        </w:tc>
        <w:tc>
          <w:tcPr>
            <w:tcW w:w="824"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58 829</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3 143</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1 405</w:t>
            </w:r>
          </w:p>
        </w:tc>
        <w:tc>
          <w:tcPr>
            <w:tcW w:w="961"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917"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02"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50"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63 377</w:t>
            </w:r>
          </w:p>
        </w:tc>
      </w:tr>
      <w:tr w:rsidR="00DC5EE3" w:rsidRPr="00765C97" w:rsidTr="00DC5EE3">
        <w:trPr>
          <w:trHeight w:val="255"/>
        </w:trPr>
        <w:tc>
          <w:tcPr>
            <w:tcW w:w="2053" w:type="dxa"/>
          </w:tcPr>
          <w:p w:rsidR="00DC5EE3" w:rsidRPr="00765C97" w:rsidRDefault="00DC5EE3" w:rsidP="009652C1">
            <w:pPr>
              <w:ind w:left="110"/>
              <w:jc w:val="right"/>
              <w:rPr>
                <w:rFonts w:ascii="Arial" w:hAnsi="Arial" w:cs="Arial"/>
                <w:sz w:val="16"/>
                <w:szCs w:val="16"/>
                <w:lang w:val="pl-PL"/>
              </w:rPr>
            </w:pPr>
            <w:r w:rsidRPr="00765C97">
              <w:rPr>
                <w:rFonts w:ascii="Arial" w:hAnsi="Arial" w:cs="Arial"/>
                <w:i/>
                <w:sz w:val="16"/>
                <w:szCs w:val="16"/>
                <w:lang w:val="pl-PL"/>
              </w:rPr>
              <w:t>na rzecz klientów z Sektora Publicznego</w:t>
            </w:r>
          </w:p>
        </w:tc>
        <w:tc>
          <w:tcPr>
            <w:tcW w:w="824"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90 281</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436</w:t>
            </w:r>
          </w:p>
        </w:tc>
        <w:tc>
          <w:tcPr>
            <w:tcW w:w="961"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917"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02"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50"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90 717</w:t>
            </w:r>
          </w:p>
        </w:tc>
      </w:tr>
      <w:tr w:rsidR="00DC5EE3" w:rsidRPr="00765C97" w:rsidTr="00DC5EE3">
        <w:trPr>
          <w:trHeight w:val="255"/>
        </w:trPr>
        <w:tc>
          <w:tcPr>
            <w:tcW w:w="2053" w:type="dxa"/>
          </w:tcPr>
          <w:p w:rsidR="00DC5EE3" w:rsidRPr="00765C97" w:rsidRDefault="00DC5EE3" w:rsidP="009652C1">
            <w:pPr>
              <w:ind w:left="110"/>
              <w:jc w:val="right"/>
              <w:rPr>
                <w:rFonts w:ascii="Arial" w:hAnsi="Arial" w:cs="Arial"/>
                <w:sz w:val="16"/>
                <w:szCs w:val="16"/>
                <w:lang w:val="pl-PL"/>
              </w:rPr>
            </w:pPr>
            <w:r w:rsidRPr="00765C97">
              <w:rPr>
                <w:rFonts w:ascii="Arial" w:hAnsi="Arial" w:cs="Arial"/>
                <w:i/>
                <w:sz w:val="16"/>
                <w:szCs w:val="16"/>
                <w:lang w:val="pl-PL"/>
              </w:rPr>
              <w:t xml:space="preserve">na rzecz Małych i Średnich Przedsiębiorstw </w:t>
            </w:r>
          </w:p>
        </w:tc>
        <w:tc>
          <w:tcPr>
            <w:tcW w:w="824"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72 251</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119 318</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961"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917"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02"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50"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191 569</w:t>
            </w:r>
          </w:p>
        </w:tc>
      </w:tr>
      <w:tr w:rsidR="00DC5EE3" w:rsidRPr="00765C97" w:rsidTr="00DC5EE3">
        <w:trPr>
          <w:trHeight w:val="255"/>
        </w:trPr>
        <w:tc>
          <w:tcPr>
            <w:tcW w:w="2053" w:type="dxa"/>
          </w:tcPr>
          <w:p w:rsidR="00DC5EE3" w:rsidRPr="00765C97" w:rsidRDefault="00DC5EE3" w:rsidP="009652C1">
            <w:pPr>
              <w:ind w:left="110"/>
              <w:jc w:val="right"/>
              <w:rPr>
                <w:rFonts w:ascii="Arial" w:hAnsi="Arial" w:cs="Arial"/>
                <w:sz w:val="16"/>
                <w:szCs w:val="16"/>
                <w:lang w:val="pl-PL"/>
              </w:rPr>
            </w:pPr>
            <w:r w:rsidRPr="00765C97">
              <w:rPr>
                <w:rFonts w:ascii="Arial" w:hAnsi="Arial" w:cs="Arial"/>
                <w:i/>
                <w:sz w:val="16"/>
                <w:szCs w:val="16"/>
                <w:lang w:val="pl-PL"/>
              </w:rPr>
              <w:t xml:space="preserve">na rzecz pozostałych klientów </w:t>
            </w:r>
          </w:p>
        </w:tc>
        <w:tc>
          <w:tcPr>
            <w:tcW w:w="824"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799</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316</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200</w:t>
            </w:r>
          </w:p>
        </w:tc>
        <w:tc>
          <w:tcPr>
            <w:tcW w:w="961"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314</w:t>
            </w:r>
          </w:p>
        </w:tc>
        <w:tc>
          <w:tcPr>
            <w:tcW w:w="825"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14 291</w:t>
            </w:r>
          </w:p>
        </w:tc>
        <w:tc>
          <w:tcPr>
            <w:tcW w:w="917"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02"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w:t>
            </w:r>
          </w:p>
        </w:tc>
        <w:tc>
          <w:tcPr>
            <w:tcW w:w="850" w:type="dxa"/>
            <w:vAlign w:val="center"/>
          </w:tcPr>
          <w:p w:rsidR="00DC5EE3" w:rsidRPr="00765C97" w:rsidRDefault="00DC5EE3" w:rsidP="00DC5EE3">
            <w:pPr>
              <w:jc w:val="center"/>
              <w:rPr>
                <w:rFonts w:ascii="Arial" w:hAnsi="Arial" w:cs="Arial"/>
                <w:i/>
                <w:sz w:val="14"/>
                <w:szCs w:val="14"/>
              </w:rPr>
            </w:pPr>
            <w:r w:rsidRPr="00765C97">
              <w:rPr>
                <w:rFonts w:ascii="Arial" w:hAnsi="Arial" w:cs="Arial"/>
                <w:i/>
                <w:sz w:val="14"/>
                <w:szCs w:val="14"/>
              </w:rPr>
              <w:t>15 920</w:t>
            </w:r>
          </w:p>
        </w:tc>
      </w:tr>
      <w:tr w:rsidR="00DC5EE3" w:rsidRPr="00765C97" w:rsidTr="00DC5EE3">
        <w:trPr>
          <w:trHeight w:val="139"/>
        </w:trPr>
        <w:tc>
          <w:tcPr>
            <w:tcW w:w="2053" w:type="dxa"/>
            <w:vAlign w:val="center"/>
          </w:tcPr>
          <w:p w:rsidR="00DC5EE3" w:rsidRPr="00765C97" w:rsidRDefault="00DC5EE3" w:rsidP="009652C1">
            <w:pPr>
              <w:adjustRightInd w:val="0"/>
              <w:rPr>
                <w:rFonts w:ascii="Arial" w:hAnsi="Arial" w:cs="Arial"/>
                <w:sz w:val="16"/>
                <w:szCs w:val="16"/>
                <w:lang w:val="pl-PL"/>
              </w:rPr>
            </w:pPr>
          </w:p>
        </w:tc>
        <w:tc>
          <w:tcPr>
            <w:tcW w:w="824" w:type="dxa"/>
            <w:vAlign w:val="center"/>
          </w:tcPr>
          <w:p w:rsidR="00DC5EE3" w:rsidRPr="00765C97" w:rsidRDefault="00DC5EE3" w:rsidP="00DC5EE3">
            <w:pPr>
              <w:jc w:val="center"/>
              <w:rPr>
                <w:rFonts w:ascii="Arial" w:hAnsi="Arial" w:cs="Arial"/>
                <w:i/>
                <w:sz w:val="16"/>
                <w:szCs w:val="16"/>
              </w:rPr>
            </w:pPr>
          </w:p>
        </w:tc>
        <w:tc>
          <w:tcPr>
            <w:tcW w:w="825" w:type="dxa"/>
            <w:vAlign w:val="center"/>
          </w:tcPr>
          <w:p w:rsidR="00DC5EE3" w:rsidRPr="00765C97" w:rsidRDefault="00DC5EE3" w:rsidP="00DC5EE3">
            <w:pPr>
              <w:jc w:val="center"/>
              <w:rPr>
                <w:rFonts w:ascii="Arial" w:hAnsi="Arial" w:cs="Arial"/>
                <w:i/>
                <w:sz w:val="16"/>
                <w:szCs w:val="16"/>
              </w:rPr>
            </w:pPr>
          </w:p>
        </w:tc>
        <w:tc>
          <w:tcPr>
            <w:tcW w:w="825" w:type="dxa"/>
            <w:vAlign w:val="center"/>
          </w:tcPr>
          <w:p w:rsidR="00DC5EE3" w:rsidRPr="00765C97" w:rsidRDefault="00DC5EE3" w:rsidP="00DC5EE3">
            <w:pPr>
              <w:jc w:val="center"/>
              <w:rPr>
                <w:rFonts w:ascii="Arial" w:hAnsi="Arial" w:cs="Arial"/>
                <w:i/>
                <w:sz w:val="16"/>
                <w:szCs w:val="16"/>
              </w:rPr>
            </w:pPr>
          </w:p>
        </w:tc>
        <w:tc>
          <w:tcPr>
            <w:tcW w:w="961" w:type="dxa"/>
            <w:vAlign w:val="center"/>
          </w:tcPr>
          <w:p w:rsidR="00DC5EE3" w:rsidRPr="00765C97" w:rsidRDefault="00DC5EE3" w:rsidP="00DC5EE3">
            <w:pPr>
              <w:jc w:val="center"/>
              <w:rPr>
                <w:rFonts w:ascii="Arial" w:hAnsi="Arial" w:cs="Arial"/>
                <w:i/>
                <w:sz w:val="16"/>
                <w:szCs w:val="16"/>
              </w:rPr>
            </w:pPr>
          </w:p>
        </w:tc>
        <w:tc>
          <w:tcPr>
            <w:tcW w:w="825" w:type="dxa"/>
            <w:vAlign w:val="center"/>
          </w:tcPr>
          <w:p w:rsidR="00DC5EE3" w:rsidRPr="00765C97" w:rsidRDefault="00DC5EE3" w:rsidP="00DC5EE3">
            <w:pPr>
              <w:jc w:val="center"/>
              <w:rPr>
                <w:rFonts w:ascii="Arial" w:hAnsi="Arial" w:cs="Arial"/>
                <w:i/>
                <w:sz w:val="16"/>
                <w:szCs w:val="16"/>
              </w:rPr>
            </w:pPr>
          </w:p>
        </w:tc>
        <w:tc>
          <w:tcPr>
            <w:tcW w:w="917" w:type="dxa"/>
            <w:vAlign w:val="center"/>
          </w:tcPr>
          <w:p w:rsidR="00DC5EE3" w:rsidRPr="00765C97" w:rsidRDefault="00DC5EE3" w:rsidP="00DC5EE3">
            <w:pPr>
              <w:jc w:val="center"/>
              <w:rPr>
                <w:rFonts w:ascii="Arial" w:hAnsi="Arial" w:cs="Arial"/>
                <w:i/>
                <w:sz w:val="16"/>
                <w:szCs w:val="16"/>
              </w:rPr>
            </w:pPr>
          </w:p>
        </w:tc>
        <w:tc>
          <w:tcPr>
            <w:tcW w:w="802" w:type="dxa"/>
            <w:vAlign w:val="center"/>
          </w:tcPr>
          <w:p w:rsidR="00DC5EE3" w:rsidRPr="00765C97" w:rsidRDefault="00DC5EE3" w:rsidP="00DC5EE3">
            <w:pPr>
              <w:jc w:val="center"/>
              <w:rPr>
                <w:rFonts w:ascii="Arial" w:hAnsi="Arial" w:cs="Arial"/>
                <w:i/>
                <w:sz w:val="16"/>
                <w:szCs w:val="16"/>
              </w:rPr>
            </w:pPr>
          </w:p>
        </w:tc>
        <w:tc>
          <w:tcPr>
            <w:tcW w:w="850" w:type="dxa"/>
            <w:vAlign w:val="center"/>
          </w:tcPr>
          <w:p w:rsidR="00DC5EE3" w:rsidRPr="00765C97" w:rsidRDefault="00DC5EE3" w:rsidP="00DC5EE3">
            <w:pPr>
              <w:jc w:val="center"/>
              <w:rPr>
                <w:rFonts w:ascii="Arial" w:hAnsi="Arial" w:cs="Arial"/>
                <w:i/>
                <w:sz w:val="16"/>
                <w:szCs w:val="16"/>
              </w:rPr>
            </w:pPr>
          </w:p>
        </w:tc>
      </w:tr>
      <w:tr w:rsidR="00DC5EE3" w:rsidRPr="00765C97" w:rsidTr="00DC5EE3">
        <w:trPr>
          <w:trHeight w:val="255"/>
        </w:trPr>
        <w:tc>
          <w:tcPr>
            <w:tcW w:w="2053" w:type="dxa"/>
            <w:vAlign w:val="center"/>
          </w:tcPr>
          <w:p w:rsidR="00DC5EE3" w:rsidRPr="00765C97" w:rsidRDefault="00DC5EE3" w:rsidP="009652C1">
            <w:pPr>
              <w:adjustRightInd w:val="0"/>
              <w:ind w:left="72"/>
              <w:rPr>
                <w:rFonts w:ascii="Arial" w:hAnsi="Arial" w:cs="Arial"/>
                <w:i/>
                <w:sz w:val="16"/>
                <w:szCs w:val="16"/>
                <w:lang w:val="pl-PL"/>
              </w:rPr>
            </w:pPr>
            <w:r w:rsidRPr="00765C97">
              <w:rPr>
                <w:rFonts w:ascii="Arial" w:hAnsi="Arial" w:cs="Arial"/>
                <w:i/>
                <w:sz w:val="16"/>
                <w:szCs w:val="16"/>
                <w:lang w:val="pl-PL"/>
              </w:rPr>
              <w:t xml:space="preserve">pozostałe przychody operacyjne </w:t>
            </w:r>
          </w:p>
        </w:tc>
        <w:tc>
          <w:tcPr>
            <w:tcW w:w="824"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2 914</w:t>
            </w:r>
          </w:p>
        </w:tc>
        <w:tc>
          <w:tcPr>
            <w:tcW w:w="825"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12 136</w:t>
            </w:r>
          </w:p>
        </w:tc>
        <w:tc>
          <w:tcPr>
            <w:tcW w:w="825"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774</w:t>
            </w:r>
          </w:p>
        </w:tc>
        <w:tc>
          <w:tcPr>
            <w:tcW w:w="961"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7</w:t>
            </w:r>
          </w:p>
        </w:tc>
        <w:tc>
          <w:tcPr>
            <w:tcW w:w="825"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7 139</w:t>
            </w:r>
          </w:p>
        </w:tc>
        <w:tc>
          <w:tcPr>
            <w:tcW w:w="917"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w:t>
            </w:r>
          </w:p>
        </w:tc>
        <w:tc>
          <w:tcPr>
            <w:tcW w:w="802"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w:t>
            </w:r>
          </w:p>
        </w:tc>
        <w:tc>
          <w:tcPr>
            <w:tcW w:w="850"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22 970</w:t>
            </w:r>
          </w:p>
        </w:tc>
      </w:tr>
      <w:tr w:rsidR="00DC5EE3" w:rsidRPr="00765C97" w:rsidTr="00DC5EE3">
        <w:trPr>
          <w:trHeight w:val="255"/>
        </w:trPr>
        <w:tc>
          <w:tcPr>
            <w:tcW w:w="2053" w:type="dxa"/>
            <w:vAlign w:val="center"/>
          </w:tcPr>
          <w:p w:rsidR="00DC5EE3" w:rsidRPr="00765C97" w:rsidRDefault="00DC5EE3" w:rsidP="009652C1">
            <w:pPr>
              <w:adjustRightInd w:val="0"/>
              <w:rPr>
                <w:rFonts w:ascii="Arial" w:hAnsi="Arial" w:cs="Arial"/>
                <w:i/>
                <w:sz w:val="16"/>
                <w:szCs w:val="16"/>
                <w:lang w:val="pl-PL"/>
              </w:rPr>
            </w:pPr>
            <w:r w:rsidRPr="00765C97">
              <w:rPr>
                <w:rFonts w:ascii="Arial" w:hAnsi="Arial" w:cs="Arial"/>
                <w:sz w:val="16"/>
                <w:szCs w:val="16"/>
                <w:lang w:val="pl-PL"/>
              </w:rPr>
              <w:t xml:space="preserve">  </w:t>
            </w:r>
            <w:r w:rsidRPr="00765C97">
              <w:rPr>
                <w:rFonts w:ascii="Arial" w:hAnsi="Arial" w:cs="Arial"/>
                <w:i/>
                <w:sz w:val="16"/>
                <w:szCs w:val="16"/>
                <w:lang w:val="pl-PL"/>
              </w:rPr>
              <w:t>przychody finansowe</w:t>
            </w:r>
          </w:p>
        </w:tc>
        <w:tc>
          <w:tcPr>
            <w:tcW w:w="824"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(4 296)</w:t>
            </w:r>
          </w:p>
        </w:tc>
        <w:tc>
          <w:tcPr>
            <w:tcW w:w="825"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w:t>
            </w:r>
          </w:p>
        </w:tc>
        <w:tc>
          <w:tcPr>
            <w:tcW w:w="825"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(44)</w:t>
            </w:r>
          </w:p>
        </w:tc>
        <w:tc>
          <w:tcPr>
            <w:tcW w:w="961"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5 359</w:t>
            </w:r>
          </w:p>
        </w:tc>
        <w:tc>
          <w:tcPr>
            <w:tcW w:w="825"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w:t>
            </w:r>
          </w:p>
        </w:tc>
        <w:tc>
          <w:tcPr>
            <w:tcW w:w="917"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w:t>
            </w:r>
          </w:p>
        </w:tc>
        <w:tc>
          <w:tcPr>
            <w:tcW w:w="802"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w:t>
            </w:r>
          </w:p>
        </w:tc>
        <w:tc>
          <w:tcPr>
            <w:tcW w:w="850"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1 019</w:t>
            </w:r>
          </w:p>
        </w:tc>
      </w:tr>
      <w:tr w:rsidR="00DC5EE3" w:rsidRPr="00765C97" w:rsidTr="00DC5EE3">
        <w:trPr>
          <w:trHeight w:val="255"/>
        </w:trPr>
        <w:tc>
          <w:tcPr>
            <w:tcW w:w="2053" w:type="dxa"/>
            <w:vAlign w:val="center"/>
          </w:tcPr>
          <w:p w:rsidR="00DC5EE3" w:rsidRPr="00765C97" w:rsidRDefault="00DC5EE3" w:rsidP="009652C1">
            <w:pPr>
              <w:adjustRightInd w:val="0"/>
              <w:rPr>
                <w:rFonts w:ascii="Arial" w:hAnsi="Arial" w:cs="Arial"/>
                <w:sz w:val="16"/>
                <w:szCs w:val="16"/>
                <w:lang w:val="pl-PL"/>
              </w:rPr>
            </w:pPr>
            <w:r w:rsidRPr="00765C97">
              <w:rPr>
                <w:rFonts w:ascii="Arial" w:hAnsi="Arial" w:cs="Arial"/>
                <w:sz w:val="16"/>
                <w:szCs w:val="16"/>
                <w:lang w:val="pl-PL"/>
              </w:rPr>
              <w:t>Przychody segmentu– sprzedaż pozostałym segmentom</w:t>
            </w:r>
          </w:p>
        </w:tc>
        <w:tc>
          <w:tcPr>
            <w:tcW w:w="824"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2 737</w:t>
            </w:r>
          </w:p>
        </w:tc>
        <w:tc>
          <w:tcPr>
            <w:tcW w:w="825"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3 526</w:t>
            </w:r>
          </w:p>
        </w:tc>
        <w:tc>
          <w:tcPr>
            <w:tcW w:w="825"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24 046</w:t>
            </w:r>
          </w:p>
        </w:tc>
        <w:tc>
          <w:tcPr>
            <w:tcW w:w="961"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1 078</w:t>
            </w:r>
          </w:p>
        </w:tc>
        <w:tc>
          <w:tcPr>
            <w:tcW w:w="825"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8 432</w:t>
            </w:r>
          </w:p>
        </w:tc>
        <w:tc>
          <w:tcPr>
            <w:tcW w:w="917"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02"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(39 819)</w:t>
            </w:r>
          </w:p>
        </w:tc>
        <w:tc>
          <w:tcPr>
            <w:tcW w:w="850"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r>
      <w:tr w:rsidR="00DC5EE3" w:rsidRPr="00765C97" w:rsidTr="00DC5EE3">
        <w:trPr>
          <w:trHeight w:val="255"/>
        </w:trPr>
        <w:tc>
          <w:tcPr>
            <w:tcW w:w="2053" w:type="dxa"/>
            <w:vAlign w:val="center"/>
          </w:tcPr>
          <w:p w:rsidR="00DC5EE3" w:rsidRPr="00765C97" w:rsidRDefault="00DC5EE3" w:rsidP="009652C1">
            <w:pPr>
              <w:adjustRightInd w:val="0"/>
              <w:rPr>
                <w:rFonts w:ascii="Arial" w:hAnsi="Arial" w:cs="Arial"/>
                <w:sz w:val="16"/>
                <w:szCs w:val="16"/>
                <w:lang w:val="pl-PL"/>
              </w:rPr>
            </w:pPr>
            <w:r w:rsidRPr="00765C97">
              <w:rPr>
                <w:rFonts w:ascii="Arial" w:hAnsi="Arial" w:cs="Arial"/>
                <w:sz w:val="16"/>
                <w:szCs w:val="16"/>
                <w:lang w:val="pl-PL"/>
              </w:rPr>
              <w:t>Przychody segmentu ogółem*</w:t>
            </w:r>
          </w:p>
        </w:tc>
        <w:tc>
          <w:tcPr>
            <w:tcW w:w="824"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486 662</w:t>
            </w:r>
          </w:p>
        </w:tc>
        <w:tc>
          <w:tcPr>
            <w:tcW w:w="825"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229 292</w:t>
            </w:r>
          </w:p>
        </w:tc>
        <w:tc>
          <w:tcPr>
            <w:tcW w:w="825"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96 887</w:t>
            </w:r>
          </w:p>
        </w:tc>
        <w:tc>
          <w:tcPr>
            <w:tcW w:w="961"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6 758</w:t>
            </w:r>
          </w:p>
        </w:tc>
        <w:tc>
          <w:tcPr>
            <w:tcW w:w="825"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29 862</w:t>
            </w:r>
          </w:p>
        </w:tc>
        <w:tc>
          <w:tcPr>
            <w:tcW w:w="917"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02"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(39 819)</w:t>
            </w:r>
          </w:p>
        </w:tc>
        <w:tc>
          <w:tcPr>
            <w:tcW w:w="850"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809 642</w:t>
            </w:r>
          </w:p>
        </w:tc>
      </w:tr>
      <w:tr w:rsidR="00DC5EE3" w:rsidRPr="00765C97" w:rsidTr="00DC5EE3">
        <w:trPr>
          <w:trHeight w:val="255"/>
        </w:trPr>
        <w:tc>
          <w:tcPr>
            <w:tcW w:w="2053" w:type="dxa"/>
            <w:vAlign w:val="center"/>
          </w:tcPr>
          <w:p w:rsidR="00DC5EE3" w:rsidRPr="00765C97" w:rsidRDefault="00DC5EE3" w:rsidP="009652C1">
            <w:pPr>
              <w:adjustRightInd w:val="0"/>
              <w:rPr>
                <w:rFonts w:ascii="Arial" w:hAnsi="Arial" w:cs="Arial"/>
                <w:sz w:val="16"/>
                <w:szCs w:val="16"/>
                <w:lang w:val="pl-PL"/>
              </w:rPr>
            </w:pPr>
            <w:r w:rsidRPr="00765C97">
              <w:rPr>
                <w:rFonts w:ascii="Arial" w:hAnsi="Arial" w:cs="Arial"/>
                <w:sz w:val="16"/>
                <w:szCs w:val="16"/>
                <w:lang w:val="pl-PL"/>
              </w:rPr>
              <w:t>Koszty segmentu d/t sprzedaży klientom zewnętrznym</w:t>
            </w:r>
          </w:p>
        </w:tc>
        <w:tc>
          <w:tcPr>
            <w:tcW w:w="824"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423 052</w:t>
            </w:r>
          </w:p>
        </w:tc>
        <w:tc>
          <w:tcPr>
            <w:tcW w:w="825"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242 908</w:t>
            </w:r>
          </w:p>
        </w:tc>
        <w:tc>
          <w:tcPr>
            <w:tcW w:w="825"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75 733</w:t>
            </w:r>
          </w:p>
        </w:tc>
        <w:tc>
          <w:tcPr>
            <w:tcW w:w="961"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2 089</w:t>
            </w:r>
          </w:p>
        </w:tc>
        <w:tc>
          <w:tcPr>
            <w:tcW w:w="825"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25 528</w:t>
            </w:r>
          </w:p>
        </w:tc>
        <w:tc>
          <w:tcPr>
            <w:tcW w:w="917"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530</w:t>
            </w:r>
          </w:p>
        </w:tc>
        <w:tc>
          <w:tcPr>
            <w:tcW w:w="802"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50"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769 840</w:t>
            </w:r>
          </w:p>
        </w:tc>
      </w:tr>
      <w:tr w:rsidR="00DC5EE3" w:rsidRPr="00765C97" w:rsidTr="00DC5EE3">
        <w:trPr>
          <w:trHeight w:val="255"/>
        </w:trPr>
        <w:tc>
          <w:tcPr>
            <w:tcW w:w="2053" w:type="dxa"/>
            <w:vAlign w:val="center"/>
          </w:tcPr>
          <w:p w:rsidR="00DC5EE3" w:rsidRPr="00765C97" w:rsidRDefault="00DC5EE3" w:rsidP="009652C1">
            <w:pPr>
              <w:adjustRightInd w:val="0"/>
              <w:rPr>
                <w:rFonts w:ascii="Arial" w:hAnsi="Arial" w:cs="Arial"/>
                <w:sz w:val="16"/>
                <w:szCs w:val="16"/>
                <w:lang w:val="pl-PL"/>
              </w:rPr>
            </w:pPr>
            <w:r w:rsidRPr="00765C97">
              <w:rPr>
                <w:rFonts w:ascii="Arial" w:hAnsi="Arial" w:cs="Arial"/>
                <w:sz w:val="16"/>
                <w:szCs w:val="16"/>
                <w:lang w:val="pl-PL"/>
              </w:rPr>
              <w:t>Koszty segmentu d/t sprzedaży pozostałym segmentom</w:t>
            </w:r>
          </w:p>
        </w:tc>
        <w:tc>
          <w:tcPr>
            <w:tcW w:w="824"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2 737</w:t>
            </w:r>
          </w:p>
        </w:tc>
        <w:tc>
          <w:tcPr>
            <w:tcW w:w="825"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3 526</w:t>
            </w:r>
          </w:p>
        </w:tc>
        <w:tc>
          <w:tcPr>
            <w:tcW w:w="825"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24 046</w:t>
            </w:r>
          </w:p>
        </w:tc>
        <w:tc>
          <w:tcPr>
            <w:tcW w:w="961"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1 078</w:t>
            </w:r>
          </w:p>
        </w:tc>
        <w:tc>
          <w:tcPr>
            <w:tcW w:w="825"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8 432</w:t>
            </w:r>
          </w:p>
        </w:tc>
        <w:tc>
          <w:tcPr>
            <w:tcW w:w="917"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02"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(39 819)</w:t>
            </w:r>
          </w:p>
        </w:tc>
        <w:tc>
          <w:tcPr>
            <w:tcW w:w="850"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r>
      <w:tr w:rsidR="00DC5EE3" w:rsidRPr="00765C97" w:rsidTr="00DC5EE3">
        <w:trPr>
          <w:trHeight w:val="255"/>
        </w:trPr>
        <w:tc>
          <w:tcPr>
            <w:tcW w:w="2053" w:type="dxa"/>
            <w:vAlign w:val="center"/>
          </w:tcPr>
          <w:p w:rsidR="00DC5EE3" w:rsidRPr="00765C97" w:rsidRDefault="00DC5EE3" w:rsidP="009652C1">
            <w:pPr>
              <w:adjustRightInd w:val="0"/>
              <w:rPr>
                <w:rFonts w:ascii="Arial" w:hAnsi="Arial" w:cs="Arial"/>
                <w:sz w:val="16"/>
                <w:szCs w:val="16"/>
                <w:lang w:val="pl-PL"/>
              </w:rPr>
            </w:pPr>
            <w:r w:rsidRPr="00765C97">
              <w:rPr>
                <w:rFonts w:ascii="Arial" w:hAnsi="Arial" w:cs="Arial"/>
                <w:sz w:val="16"/>
                <w:szCs w:val="16"/>
                <w:lang w:val="pl-PL"/>
              </w:rPr>
              <w:t>Koszty segmentu ogółem*</w:t>
            </w:r>
          </w:p>
        </w:tc>
        <w:tc>
          <w:tcPr>
            <w:tcW w:w="824"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425 789</w:t>
            </w:r>
          </w:p>
        </w:tc>
        <w:tc>
          <w:tcPr>
            <w:tcW w:w="825"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246 434</w:t>
            </w:r>
          </w:p>
        </w:tc>
        <w:tc>
          <w:tcPr>
            <w:tcW w:w="825"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99 779</w:t>
            </w:r>
          </w:p>
        </w:tc>
        <w:tc>
          <w:tcPr>
            <w:tcW w:w="961"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3 167</w:t>
            </w:r>
          </w:p>
        </w:tc>
        <w:tc>
          <w:tcPr>
            <w:tcW w:w="825"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33 960</w:t>
            </w:r>
          </w:p>
        </w:tc>
        <w:tc>
          <w:tcPr>
            <w:tcW w:w="917"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530</w:t>
            </w:r>
          </w:p>
        </w:tc>
        <w:tc>
          <w:tcPr>
            <w:tcW w:w="802"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(39 819)</w:t>
            </w:r>
          </w:p>
        </w:tc>
        <w:tc>
          <w:tcPr>
            <w:tcW w:w="850"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769 840</w:t>
            </w:r>
          </w:p>
        </w:tc>
      </w:tr>
      <w:tr w:rsidR="00DC5EE3" w:rsidRPr="00765C97" w:rsidTr="00DC5EE3">
        <w:trPr>
          <w:trHeight w:val="255"/>
        </w:trPr>
        <w:tc>
          <w:tcPr>
            <w:tcW w:w="2053" w:type="dxa"/>
            <w:vAlign w:val="center"/>
          </w:tcPr>
          <w:p w:rsidR="00DC5EE3" w:rsidRPr="00765C97" w:rsidRDefault="00DC5EE3" w:rsidP="009652C1">
            <w:pPr>
              <w:adjustRightInd w:val="0"/>
              <w:rPr>
                <w:rFonts w:ascii="Arial" w:hAnsi="Arial" w:cs="Arial"/>
                <w:sz w:val="16"/>
                <w:szCs w:val="16"/>
                <w:lang w:val="pl-PL"/>
              </w:rPr>
            </w:pPr>
            <w:r w:rsidRPr="00765C97">
              <w:rPr>
                <w:rFonts w:ascii="Arial" w:hAnsi="Arial" w:cs="Arial"/>
                <w:sz w:val="16"/>
                <w:szCs w:val="16"/>
                <w:lang w:val="pl-PL"/>
              </w:rPr>
              <w:t xml:space="preserve">Podatek bieżący </w:t>
            </w:r>
          </w:p>
        </w:tc>
        <w:tc>
          <w:tcPr>
            <w:tcW w:w="824"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(11 579)</w:t>
            </w:r>
          </w:p>
        </w:tc>
        <w:tc>
          <w:tcPr>
            <w:tcW w:w="825"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(12)</w:t>
            </w:r>
          </w:p>
        </w:tc>
        <w:tc>
          <w:tcPr>
            <w:tcW w:w="825"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(977)</w:t>
            </w:r>
          </w:p>
        </w:tc>
        <w:tc>
          <w:tcPr>
            <w:tcW w:w="961"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25"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917"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02"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50" w:type="dxa"/>
            <w:tcBorders>
              <w:top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(12 568)</w:t>
            </w:r>
          </w:p>
        </w:tc>
      </w:tr>
      <w:tr w:rsidR="00DC5EE3" w:rsidRPr="00765C97" w:rsidTr="00DC5EE3">
        <w:trPr>
          <w:trHeight w:val="255"/>
        </w:trPr>
        <w:tc>
          <w:tcPr>
            <w:tcW w:w="2053" w:type="dxa"/>
            <w:vAlign w:val="center"/>
          </w:tcPr>
          <w:p w:rsidR="00DC5EE3" w:rsidRPr="00765C97" w:rsidRDefault="00DC5EE3" w:rsidP="009652C1">
            <w:pPr>
              <w:adjustRightInd w:val="0"/>
              <w:rPr>
                <w:rFonts w:ascii="Arial" w:hAnsi="Arial" w:cs="Arial"/>
                <w:sz w:val="16"/>
                <w:szCs w:val="16"/>
                <w:lang w:val="pl-PL"/>
              </w:rPr>
            </w:pPr>
            <w:r w:rsidRPr="00765C97">
              <w:rPr>
                <w:rFonts w:ascii="Arial" w:hAnsi="Arial" w:cs="Arial"/>
                <w:sz w:val="16"/>
                <w:szCs w:val="16"/>
                <w:lang w:val="pl-PL"/>
              </w:rPr>
              <w:t>Aktywa i rezerwa na podatek z tytułu ulgi inwestycyjnej i pozostałych tytułów</w:t>
            </w:r>
          </w:p>
        </w:tc>
        <w:tc>
          <w:tcPr>
            <w:tcW w:w="824" w:type="dxa"/>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3 429</w:t>
            </w:r>
          </w:p>
        </w:tc>
        <w:tc>
          <w:tcPr>
            <w:tcW w:w="825" w:type="dxa"/>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2 267</w:t>
            </w:r>
          </w:p>
        </w:tc>
        <w:tc>
          <w:tcPr>
            <w:tcW w:w="825" w:type="dxa"/>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961" w:type="dxa"/>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25" w:type="dxa"/>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175</w:t>
            </w:r>
          </w:p>
        </w:tc>
        <w:tc>
          <w:tcPr>
            <w:tcW w:w="917" w:type="dxa"/>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02" w:type="dxa"/>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50" w:type="dxa"/>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5 871</w:t>
            </w:r>
          </w:p>
        </w:tc>
      </w:tr>
      <w:tr w:rsidR="00DC5EE3" w:rsidRPr="00765C97" w:rsidTr="00DC5EE3">
        <w:trPr>
          <w:trHeight w:val="255"/>
        </w:trPr>
        <w:tc>
          <w:tcPr>
            <w:tcW w:w="2053" w:type="dxa"/>
            <w:vAlign w:val="center"/>
          </w:tcPr>
          <w:p w:rsidR="00DC5EE3" w:rsidRPr="00765C97" w:rsidRDefault="00DC5EE3" w:rsidP="009652C1">
            <w:pPr>
              <w:adjustRightInd w:val="0"/>
              <w:rPr>
                <w:rFonts w:ascii="Arial" w:hAnsi="Arial" w:cs="Arial"/>
                <w:sz w:val="16"/>
                <w:szCs w:val="16"/>
                <w:lang w:val="pl-PL"/>
              </w:rPr>
            </w:pPr>
            <w:r w:rsidRPr="00765C97">
              <w:rPr>
                <w:rFonts w:ascii="Arial" w:hAnsi="Arial" w:cs="Arial"/>
                <w:sz w:val="16"/>
                <w:szCs w:val="16"/>
                <w:lang w:val="pl-PL"/>
              </w:rPr>
              <w:t>Udział segmentu w wyniku jednostek wycenianych metodą prawa własności</w:t>
            </w:r>
          </w:p>
        </w:tc>
        <w:tc>
          <w:tcPr>
            <w:tcW w:w="824"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(38)</w:t>
            </w:r>
          </w:p>
        </w:tc>
        <w:tc>
          <w:tcPr>
            <w:tcW w:w="825"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25"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961"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25"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917"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02"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50" w:type="dxa"/>
            <w:tcBorders>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(38)</w:t>
            </w:r>
          </w:p>
        </w:tc>
      </w:tr>
      <w:tr w:rsidR="00DC5EE3" w:rsidRPr="00765C97" w:rsidTr="00DC5EE3">
        <w:trPr>
          <w:trHeight w:val="255"/>
        </w:trPr>
        <w:tc>
          <w:tcPr>
            <w:tcW w:w="2053" w:type="dxa"/>
            <w:vAlign w:val="center"/>
          </w:tcPr>
          <w:p w:rsidR="00DC5EE3" w:rsidRPr="00765C97" w:rsidRDefault="00DC5EE3" w:rsidP="009652C1">
            <w:pPr>
              <w:adjustRightInd w:val="0"/>
              <w:rPr>
                <w:rFonts w:ascii="Arial" w:hAnsi="Arial" w:cs="Arial"/>
                <w:sz w:val="16"/>
                <w:szCs w:val="16"/>
                <w:lang w:val="pl-PL"/>
              </w:rPr>
            </w:pPr>
            <w:r w:rsidRPr="00765C97">
              <w:rPr>
                <w:rFonts w:ascii="Arial" w:hAnsi="Arial" w:cs="Arial"/>
                <w:sz w:val="16"/>
                <w:szCs w:val="16"/>
                <w:lang w:val="pl-PL"/>
              </w:rPr>
              <w:t>Wynik netto</w:t>
            </w:r>
          </w:p>
        </w:tc>
        <w:tc>
          <w:tcPr>
            <w:tcW w:w="824"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52 685</w:t>
            </w:r>
          </w:p>
        </w:tc>
        <w:tc>
          <w:tcPr>
            <w:tcW w:w="825"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(14 887)</w:t>
            </w:r>
          </w:p>
        </w:tc>
        <w:tc>
          <w:tcPr>
            <w:tcW w:w="825"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(3 869)</w:t>
            </w:r>
          </w:p>
        </w:tc>
        <w:tc>
          <w:tcPr>
            <w:tcW w:w="961"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3 591</w:t>
            </w:r>
          </w:p>
        </w:tc>
        <w:tc>
          <w:tcPr>
            <w:tcW w:w="825"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(3 923)</w:t>
            </w:r>
          </w:p>
        </w:tc>
        <w:tc>
          <w:tcPr>
            <w:tcW w:w="917"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(530)</w:t>
            </w:r>
          </w:p>
        </w:tc>
        <w:tc>
          <w:tcPr>
            <w:tcW w:w="802"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w:t>
            </w:r>
          </w:p>
        </w:tc>
        <w:tc>
          <w:tcPr>
            <w:tcW w:w="850" w:type="dxa"/>
            <w:tcBorders>
              <w:top w:val="single" w:sz="4" w:space="0" w:color="auto"/>
              <w:bottom w:val="single" w:sz="4" w:space="0" w:color="auto"/>
            </w:tcBorders>
            <w:vAlign w:val="center"/>
          </w:tcPr>
          <w:p w:rsidR="00DC5EE3" w:rsidRPr="00765C97" w:rsidRDefault="00DC5EE3" w:rsidP="00DC5EE3">
            <w:pPr>
              <w:jc w:val="center"/>
              <w:rPr>
                <w:rFonts w:ascii="Arial" w:hAnsi="Arial" w:cs="Arial"/>
                <w:sz w:val="16"/>
                <w:szCs w:val="16"/>
              </w:rPr>
            </w:pPr>
            <w:r w:rsidRPr="00765C97">
              <w:rPr>
                <w:rFonts w:ascii="Arial" w:hAnsi="Arial" w:cs="Arial"/>
                <w:sz w:val="16"/>
                <w:szCs w:val="16"/>
              </w:rPr>
              <w:t>33 067</w:t>
            </w:r>
          </w:p>
        </w:tc>
      </w:tr>
      <w:tr w:rsidR="00DC5EE3" w:rsidRPr="00765C97" w:rsidTr="00DC5EE3">
        <w:trPr>
          <w:trHeight w:val="255"/>
        </w:trPr>
        <w:tc>
          <w:tcPr>
            <w:tcW w:w="2053" w:type="dxa"/>
            <w:vAlign w:val="center"/>
          </w:tcPr>
          <w:p w:rsidR="00DC5EE3" w:rsidRPr="00765C97" w:rsidRDefault="00DC5EE3" w:rsidP="009652C1">
            <w:pPr>
              <w:adjustRightInd w:val="0"/>
              <w:rPr>
                <w:rFonts w:ascii="Arial" w:hAnsi="Arial" w:cs="Arial"/>
                <w:i/>
                <w:sz w:val="16"/>
                <w:szCs w:val="16"/>
                <w:lang w:val="pl-PL"/>
              </w:rPr>
            </w:pPr>
            <w:r w:rsidRPr="00765C97">
              <w:rPr>
                <w:rFonts w:ascii="Arial" w:hAnsi="Arial" w:cs="Arial"/>
                <w:i/>
                <w:sz w:val="16"/>
                <w:szCs w:val="16"/>
                <w:lang w:val="pl-PL"/>
              </w:rPr>
              <w:t>w tym:</w:t>
            </w:r>
          </w:p>
        </w:tc>
        <w:tc>
          <w:tcPr>
            <w:tcW w:w="824" w:type="dxa"/>
            <w:tcBorders>
              <w:top w:val="single" w:sz="4" w:space="0" w:color="auto"/>
            </w:tcBorders>
            <w:vAlign w:val="center"/>
          </w:tcPr>
          <w:p w:rsidR="00DC5EE3" w:rsidRPr="00765C97" w:rsidRDefault="00DC5EE3" w:rsidP="00DC5EE3">
            <w:pPr>
              <w:jc w:val="center"/>
              <w:rPr>
                <w:rFonts w:ascii="Arial" w:hAnsi="Arial" w:cs="Arial"/>
                <w:sz w:val="16"/>
                <w:szCs w:val="16"/>
              </w:rPr>
            </w:pPr>
          </w:p>
        </w:tc>
        <w:tc>
          <w:tcPr>
            <w:tcW w:w="825" w:type="dxa"/>
            <w:tcBorders>
              <w:top w:val="single" w:sz="4" w:space="0" w:color="auto"/>
            </w:tcBorders>
            <w:vAlign w:val="center"/>
          </w:tcPr>
          <w:p w:rsidR="00DC5EE3" w:rsidRPr="00765C97" w:rsidRDefault="00DC5EE3" w:rsidP="00DC5EE3">
            <w:pPr>
              <w:jc w:val="center"/>
              <w:rPr>
                <w:rFonts w:ascii="Arial" w:hAnsi="Arial" w:cs="Arial"/>
                <w:sz w:val="16"/>
                <w:szCs w:val="16"/>
              </w:rPr>
            </w:pPr>
          </w:p>
        </w:tc>
        <w:tc>
          <w:tcPr>
            <w:tcW w:w="825" w:type="dxa"/>
            <w:tcBorders>
              <w:top w:val="single" w:sz="4" w:space="0" w:color="auto"/>
            </w:tcBorders>
            <w:vAlign w:val="center"/>
          </w:tcPr>
          <w:p w:rsidR="00DC5EE3" w:rsidRPr="00765C97" w:rsidRDefault="00DC5EE3" w:rsidP="00DC5EE3">
            <w:pPr>
              <w:jc w:val="center"/>
              <w:rPr>
                <w:rFonts w:ascii="Arial" w:hAnsi="Arial" w:cs="Arial"/>
                <w:sz w:val="16"/>
                <w:szCs w:val="16"/>
              </w:rPr>
            </w:pPr>
          </w:p>
        </w:tc>
        <w:tc>
          <w:tcPr>
            <w:tcW w:w="961" w:type="dxa"/>
            <w:tcBorders>
              <w:top w:val="single" w:sz="4" w:space="0" w:color="auto"/>
            </w:tcBorders>
            <w:vAlign w:val="center"/>
          </w:tcPr>
          <w:p w:rsidR="00DC5EE3" w:rsidRPr="00765C97" w:rsidRDefault="00DC5EE3" w:rsidP="00DC5EE3">
            <w:pPr>
              <w:jc w:val="center"/>
              <w:rPr>
                <w:rFonts w:ascii="Arial" w:hAnsi="Arial" w:cs="Arial"/>
                <w:sz w:val="16"/>
                <w:szCs w:val="16"/>
              </w:rPr>
            </w:pPr>
          </w:p>
        </w:tc>
        <w:tc>
          <w:tcPr>
            <w:tcW w:w="825" w:type="dxa"/>
            <w:tcBorders>
              <w:top w:val="single" w:sz="4" w:space="0" w:color="auto"/>
            </w:tcBorders>
            <w:vAlign w:val="center"/>
          </w:tcPr>
          <w:p w:rsidR="00DC5EE3" w:rsidRPr="00765C97" w:rsidRDefault="00DC5EE3" w:rsidP="00DC5EE3">
            <w:pPr>
              <w:jc w:val="center"/>
              <w:rPr>
                <w:rFonts w:ascii="Arial" w:hAnsi="Arial" w:cs="Arial"/>
                <w:sz w:val="16"/>
                <w:szCs w:val="16"/>
              </w:rPr>
            </w:pPr>
          </w:p>
        </w:tc>
        <w:tc>
          <w:tcPr>
            <w:tcW w:w="917" w:type="dxa"/>
            <w:tcBorders>
              <w:top w:val="single" w:sz="4" w:space="0" w:color="auto"/>
            </w:tcBorders>
            <w:vAlign w:val="center"/>
          </w:tcPr>
          <w:p w:rsidR="00DC5EE3" w:rsidRPr="00765C97" w:rsidRDefault="00DC5EE3" w:rsidP="00DC5EE3">
            <w:pPr>
              <w:jc w:val="center"/>
              <w:rPr>
                <w:rFonts w:ascii="Arial" w:hAnsi="Arial" w:cs="Arial"/>
                <w:sz w:val="16"/>
                <w:szCs w:val="16"/>
              </w:rPr>
            </w:pPr>
          </w:p>
        </w:tc>
        <w:tc>
          <w:tcPr>
            <w:tcW w:w="802" w:type="dxa"/>
            <w:tcBorders>
              <w:top w:val="single" w:sz="4" w:space="0" w:color="auto"/>
            </w:tcBorders>
            <w:vAlign w:val="center"/>
          </w:tcPr>
          <w:p w:rsidR="00DC5EE3" w:rsidRPr="00765C97" w:rsidRDefault="00DC5EE3" w:rsidP="00DC5EE3">
            <w:pPr>
              <w:jc w:val="center"/>
              <w:rPr>
                <w:rFonts w:ascii="Arial" w:hAnsi="Arial" w:cs="Arial"/>
                <w:sz w:val="16"/>
                <w:szCs w:val="16"/>
              </w:rPr>
            </w:pPr>
          </w:p>
        </w:tc>
        <w:tc>
          <w:tcPr>
            <w:tcW w:w="850" w:type="dxa"/>
            <w:tcBorders>
              <w:top w:val="single" w:sz="4" w:space="0" w:color="auto"/>
            </w:tcBorders>
            <w:vAlign w:val="center"/>
          </w:tcPr>
          <w:p w:rsidR="00DC5EE3" w:rsidRPr="00765C97" w:rsidRDefault="00DC5EE3" w:rsidP="00DC5EE3">
            <w:pPr>
              <w:jc w:val="center"/>
              <w:rPr>
                <w:rFonts w:ascii="Arial" w:hAnsi="Arial" w:cs="Arial"/>
                <w:sz w:val="16"/>
                <w:szCs w:val="16"/>
              </w:rPr>
            </w:pPr>
          </w:p>
        </w:tc>
      </w:tr>
      <w:tr w:rsidR="00DC5EE3" w:rsidRPr="00765C97" w:rsidTr="00DC5EE3">
        <w:trPr>
          <w:trHeight w:val="255"/>
        </w:trPr>
        <w:tc>
          <w:tcPr>
            <w:tcW w:w="2053" w:type="dxa"/>
            <w:vAlign w:val="center"/>
          </w:tcPr>
          <w:p w:rsidR="00DC5EE3" w:rsidRPr="00765C97" w:rsidRDefault="00DC5EE3" w:rsidP="009652C1">
            <w:pPr>
              <w:adjustRightInd w:val="0"/>
              <w:rPr>
                <w:rFonts w:ascii="Arial" w:hAnsi="Arial" w:cs="Arial"/>
                <w:i/>
                <w:sz w:val="16"/>
                <w:szCs w:val="16"/>
                <w:lang w:val="pl-PL"/>
              </w:rPr>
            </w:pPr>
            <w:r w:rsidRPr="00765C97">
              <w:rPr>
                <w:rFonts w:ascii="Arial" w:hAnsi="Arial" w:cs="Arial"/>
                <w:i/>
                <w:sz w:val="16"/>
                <w:szCs w:val="16"/>
                <w:lang w:val="pl-PL"/>
              </w:rPr>
              <w:t xml:space="preserve">   wynik przypadający akcjonariuszom jednostki dominującej</w:t>
            </w:r>
          </w:p>
        </w:tc>
        <w:tc>
          <w:tcPr>
            <w:tcW w:w="824"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52 684</w:t>
            </w:r>
          </w:p>
        </w:tc>
        <w:tc>
          <w:tcPr>
            <w:tcW w:w="825"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(13 503)</w:t>
            </w:r>
          </w:p>
        </w:tc>
        <w:tc>
          <w:tcPr>
            <w:tcW w:w="825"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(4 057)</w:t>
            </w:r>
          </w:p>
        </w:tc>
        <w:tc>
          <w:tcPr>
            <w:tcW w:w="961"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3 591</w:t>
            </w:r>
          </w:p>
        </w:tc>
        <w:tc>
          <w:tcPr>
            <w:tcW w:w="825"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(1 928)</w:t>
            </w:r>
          </w:p>
        </w:tc>
        <w:tc>
          <w:tcPr>
            <w:tcW w:w="917"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(530)</w:t>
            </w:r>
          </w:p>
        </w:tc>
        <w:tc>
          <w:tcPr>
            <w:tcW w:w="802"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w:t>
            </w:r>
          </w:p>
        </w:tc>
        <w:tc>
          <w:tcPr>
            <w:tcW w:w="850"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36 257</w:t>
            </w:r>
          </w:p>
        </w:tc>
      </w:tr>
      <w:tr w:rsidR="00DC5EE3" w:rsidRPr="00765C97" w:rsidTr="00DC5EE3">
        <w:trPr>
          <w:trHeight w:val="255"/>
        </w:trPr>
        <w:tc>
          <w:tcPr>
            <w:tcW w:w="2053" w:type="dxa"/>
            <w:vAlign w:val="center"/>
          </w:tcPr>
          <w:p w:rsidR="00DC5EE3" w:rsidRPr="00765C97" w:rsidRDefault="00DC5EE3" w:rsidP="009652C1">
            <w:pPr>
              <w:adjustRightInd w:val="0"/>
              <w:rPr>
                <w:rFonts w:ascii="Arial" w:hAnsi="Arial" w:cs="Arial"/>
                <w:i/>
                <w:sz w:val="16"/>
                <w:szCs w:val="16"/>
                <w:lang w:val="pl-PL"/>
              </w:rPr>
            </w:pPr>
            <w:r w:rsidRPr="00765C97">
              <w:rPr>
                <w:rFonts w:ascii="Arial" w:hAnsi="Arial" w:cs="Arial"/>
                <w:i/>
                <w:sz w:val="16"/>
                <w:szCs w:val="16"/>
                <w:lang w:val="pl-PL"/>
              </w:rPr>
              <w:t xml:space="preserve">   wynik przypadający udziałom nie dającym kontroli</w:t>
            </w:r>
          </w:p>
        </w:tc>
        <w:tc>
          <w:tcPr>
            <w:tcW w:w="824"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1</w:t>
            </w:r>
          </w:p>
        </w:tc>
        <w:tc>
          <w:tcPr>
            <w:tcW w:w="825"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(1 384)</w:t>
            </w:r>
          </w:p>
        </w:tc>
        <w:tc>
          <w:tcPr>
            <w:tcW w:w="825"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188</w:t>
            </w:r>
          </w:p>
        </w:tc>
        <w:tc>
          <w:tcPr>
            <w:tcW w:w="961"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w:t>
            </w:r>
          </w:p>
        </w:tc>
        <w:tc>
          <w:tcPr>
            <w:tcW w:w="825"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(1 995)</w:t>
            </w:r>
          </w:p>
        </w:tc>
        <w:tc>
          <w:tcPr>
            <w:tcW w:w="917"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w:t>
            </w:r>
          </w:p>
        </w:tc>
        <w:tc>
          <w:tcPr>
            <w:tcW w:w="802"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w:t>
            </w:r>
          </w:p>
        </w:tc>
        <w:tc>
          <w:tcPr>
            <w:tcW w:w="850" w:type="dxa"/>
            <w:vAlign w:val="center"/>
          </w:tcPr>
          <w:p w:rsidR="00DC5EE3" w:rsidRPr="00765C97" w:rsidRDefault="00DC5EE3" w:rsidP="00DC5EE3">
            <w:pPr>
              <w:jc w:val="center"/>
              <w:rPr>
                <w:rFonts w:ascii="Arial" w:hAnsi="Arial" w:cs="Arial"/>
                <w:i/>
                <w:sz w:val="16"/>
                <w:szCs w:val="16"/>
              </w:rPr>
            </w:pPr>
            <w:r w:rsidRPr="00765C97">
              <w:rPr>
                <w:rFonts w:ascii="Arial" w:hAnsi="Arial" w:cs="Arial"/>
                <w:i/>
                <w:sz w:val="16"/>
                <w:szCs w:val="16"/>
              </w:rPr>
              <w:t>(3 190)</w:t>
            </w:r>
          </w:p>
        </w:tc>
      </w:tr>
    </w:tbl>
    <w:p w:rsidR="009652C1" w:rsidRPr="00765C97" w:rsidRDefault="009652C1" w:rsidP="00DD5175">
      <w:pPr>
        <w:rPr>
          <w:rFonts w:ascii="Arial" w:hAnsi="Arial"/>
          <w:i/>
          <w:sz w:val="16"/>
          <w:lang w:val="pl-PL"/>
        </w:rPr>
      </w:pPr>
    </w:p>
    <w:p w:rsidR="00DD5175" w:rsidRPr="00765C97" w:rsidRDefault="00DB120C" w:rsidP="00DD5175">
      <w:pPr>
        <w:rPr>
          <w:rFonts w:ascii="Arial" w:hAnsi="Arial"/>
          <w:i/>
          <w:sz w:val="16"/>
          <w:lang w:val="pl-PL"/>
        </w:rPr>
      </w:pPr>
      <w:r w:rsidRPr="00765C97">
        <w:rPr>
          <w:rFonts w:ascii="Arial" w:hAnsi="Arial"/>
          <w:i/>
          <w:sz w:val="16"/>
          <w:lang w:val="pl-PL"/>
        </w:rPr>
        <w:t>*) pozycje obejmują odpowiednio przychody oraz koszty z wszystkich rodzajów, które w sposób bezpośredni można przyporządkować poszczególnym segmentom,</w:t>
      </w:r>
    </w:p>
    <w:p w:rsidR="00DB120C" w:rsidRPr="00765C97" w:rsidRDefault="00DB120C" w:rsidP="00DD5175">
      <w:pPr>
        <w:rPr>
          <w:rFonts w:ascii="Arial" w:hAnsi="Arial"/>
          <w:i/>
          <w:sz w:val="16"/>
          <w:lang w:val="pl-PL"/>
        </w:rPr>
      </w:pPr>
    </w:p>
    <w:p w:rsidR="00DB120C" w:rsidRPr="00765C97" w:rsidRDefault="007751B8" w:rsidP="005E7FCB">
      <w:pPr>
        <w:widowControl/>
        <w:autoSpaceDE/>
        <w:autoSpaceDN/>
        <w:rPr>
          <w:rFonts w:ascii="Arial" w:hAnsi="Arial"/>
          <w:b/>
          <w:sz w:val="20"/>
          <w:lang w:val="pl-PL"/>
        </w:rPr>
      </w:pPr>
      <w:r w:rsidRPr="00765C97">
        <w:rPr>
          <w:rFonts w:ascii="Arial" w:hAnsi="Arial"/>
          <w:b/>
          <w:sz w:val="20"/>
          <w:lang w:val="pl-PL"/>
        </w:rPr>
        <w:br w:type="page"/>
      </w:r>
      <w:r w:rsidR="00DB120C" w:rsidRPr="00765C97">
        <w:rPr>
          <w:rFonts w:ascii="Arial" w:hAnsi="Arial"/>
          <w:b/>
          <w:sz w:val="20"/>
          <w:lang w:val="pl-PL"/>
        </w:rPr>
        <w:t>Udział segmentów branżowych w aktywach i zobowiązaniach oraz wydatkach inwestycyjnych</w:t>
      </w:r>
    </w:p>
    <w:p w:rsidR="00DB120C" w:rsidRPr="00765C97" w:rsidRDefault="00DB120C" w:rsidP="00DB120C">
      <w:pPr>
        <w:adjustRightInd w:val="0"/>
        <w:jc w:val="both"/>
        <w:rPr>
          <w:rFonts w:ascii="Arial" w:hAnsi="Arial"/>
          <w:sz w:val="20"/>
          <w:lang w:val="pl-PL"/>
        </w:rPr>
      </w:pPr>
    </w:p>
    <w:p w:rsidR="00DB120C" w:rsidRPr="00765C97" w:rsidRDefault="00DB120C" w:rsidP="00DB120C">
      <w:pPr>
        <w:adjustRightInd w:val="0"/>
        <w:jc w:val="both"/>
        <w:rPr>
          <w:rFonts w:ascii="Arial" w:hAnsi="Arial"/>
          <w:sz w:val="20"/>
          <w:lang w:val="pl-PL"/>
        </w:rPr>
      </w:pPr>
      <w:r w:rsidRPr="00765C97">
        <w:rPr>
          <w:rFonts w:ascii="Arial" w:hAnsi="Arial"/>
          <w:sz w:val="20"/>
          <w:lang w:val="pl-PL"/>
        </w:rPr>
        <w:t>Aktywa i zobowiązania segmentów na dzień 31 grudnia 2011 r. oraz wydatki inwestycyjne i amortyzacja w okresie 12 miesięcy 2011 przedstawiają się następująco:</w:t>
      </w:r>
    </w:p>
    <w:p w:rsidR="00DB120C" w:rsidRPr="00765C97" w:rsidRDefault="00DB120C" w:rsidP="00DB120C">
      <w:pPr>
        <w:adjustRightInd w:val="0"/>
        <w:rPr>
          <w:rFonts w:ascii="Arial" w:hAnsi="Arial"/>
          <w:sz w:val="20"/>
          <w:lang w:val="pl-PL"/>
        </w:rPr>
      </w:pPr>
    </w:p>
    <w:tbl>
      <w:tblPr>
        <w:tblW w:w="8328" w:type="dxa"/>
        <w:tblInd w:w="249" w:type="dxa"/>
        <w:tblLayout w:type="fixed"/>
        <w:tblCellMar>
          <w:left w:w="70" w:type="dxa"/>
          <w:right w:w="70" w:type="dxa"/>
        </w:tblCellMar>
        <w:tblLook w:val="01E0"/>
      </w:tblPr>
      <w:tblGrid>
        <w:gridCol w:w="1522"/>
        <w:gridCol w:w="992"/>
        <w:gridCol w:w="851"/>
        <w:gridCol w:w="992"/>
        <w:gridCol w:w="993"/>
        <w:gridCol w:w="992"/>
        <w:gridCol w:w="993"/>
        <w:gridCol w:w="993"/>
      </w:tblGrid>
      <w:tr w:rsidR="009652C1" w:rsidRPr="00765C97" w:rsidTr="007751B8">
        <w:trPr>
          <w:cantSplit/>
          <w:trHeight w:val="255"/>
        </w:trPr>
        <w:tc>
          <w:tcPr>
            <w:tcW w:w="1522" w:type="dxa"/>
            <w:vAlign w:val="center"/>
          </w:tcPr>
          <w:p w:rsidR="009652C1" w:rsidRPr="00765C97" w:rsidRDefault="009652C1" w:rsidP="009652C1">
            <w:pPr>
              <w:adjustRightInd w:val="0"/>
              <w:rPr>
                <w:rFonts w:ascii="Arial" w:hAnsi="Arial"/>
                <w:b/>
                <w:sz w:val="20"/>
                <w:lang w:val="pl-PL"/>
              </w:rPr>
            </w:pPr>
          </w:p>
        </w:tc>
        <w:tc>
          <w:tcPr>
            <w:tcW w:w="2835" w:type="dxa"/>
            <w:gridSpan w:val="3"/>
          </w:tcPr>
          <w:p w:rsidR="009652C1" w:rsidRPr="00765C97" w:rsidRDefault="009652C1" w:rsidP="009652C1">
            <w:pPr>
              <w:adjustRightInd w:val="0"/>
              <w:ind w:right="72"/>
              <w:jc w:val="center"/>
              <w:rPr>
                <w:rFonts w:ascii="Arial" w:hAnsi="Arial"/>
                <w:b/>
                <w:sz w:val="18"/>
                <w:szCs w:val="18"/>
                <w:lang w:val="pl-PL"/>
              </w:rPr>
            </w:pPr>
            <w:r w:rsidRPr="00765C97">
              <w:rPr>
                <w:rFonts w:ascii="Arial" w:hAnsi="Arial"/>
                <w:b/>
                <w:sz w:val="18"/>
                <w:szCs w:val="18"/>
                <w:lang w:val="pl-PL"/>
              </w:rPr>
              <w:t>Segment IT</w:t>
            </w:r>
          </w:p>
        </w:tc>
        <w:tc>
          <w:tcPr>
            <w:tcW w:w="993" w:type="dxa"/>
            <w:vMerge w:val="restart"/>
            <w:vAlign w:val="center"/>
          </w:tcPr>
          <w:p w:rsidR="009652C1" w:rsidRPr="00765C97" w:rsidRDefault="009652C1" w:rsidP="009652C1">
            <w:pPr>
              <w:adjustRightInd w:val="0"/>
              <w:ind w:left="-56" w:right="-108"/>
              <w:jc w:val="center"/>
              <w:rPr>
                <w:rFonts w:ascii="Arial" w:hAnsi="Arial"/>
                <w:b/>
                <w:sz w:val="18"/>
                <w:szCs w:val="18"/>
                <w:lang w:val="pl-PL"/>
              </w:rPr>
            </w:pPr>
            <w:r w:rsidRPr="00765C97">
              <w:rPr>
                <w:rFonts w:ascii="Arial" w:hAnsi="Arial"/>
                <w:b/>
                <w:sz w:val="18"/>
                <w:szCs w:val="18"/>
                <w:lang w:val="pl-PL"/>
              </w:rPr>
              <w:t>Segment Inwestycje</w:t>
            </w:r>
          </w:p>
        </w:tc>
        <w:tc>
          <w:tcPr>
            <w:tcW w:w="992" w:type="dxa"/>
            <w:vMerge w:val="restart"/>
            <w:vAlign w:val="center"/>
          </w:tcPr>
          <w:p w:rsidR="009652C1" w:rsidRPr="00765C97" w:rsidRDefault="009652C1" w:rsidP="009652C1">
            <w:pPr>
              <w:adjustRightInd w:val="0"/>
              <w:ind w:left="-56" w:right="-108"/>
              <w:jc w:val="center"/>
              <w:rPr>
                <w:rFonts w:ascii="Arial" w:hAnsi="Arial"/>
                <w:b/>
                <w:sz w:val="18"/>
                <w:szCs w:val="18"/>
                <w:lang w:val="pl-PL"/>
              </w:rPr>
            </w:pPr>
            <w:r w:rsidRPr="00765C97">
              <w:rPr>
                <w:rFonts w:ascii="Arial" w:hAnsi="Arial"/>
                <w:b/>
                <w:sz w:val="18"/>
                <w:szCs w:val="18"/>
                <w:lang w:val="pl-PL"/>
              </w:rPr>
              <w:t>Segment Sport</w:t>
            </w:r>
          </w:p>
        </w:tc>
        <w:tc>
          <w:tcPr>
            <w:tcW w:w="993" w:type="dxa"/>
            <w:vMerge w:val="restart"/>
            <w:vAlign w:val="center"/>
          </w:tcPr>
          <w:p w:rsidR="009652C1" w:rsidRPr="00765C97" w:rsidRDefault="009652C1" w:rsidP="009652C1">
            <w:pPr>
              <w:tabs>
                <w:tab w:val="right" w:pos="1332"/>
              </w:tabs>
              <w:adjustRightInd w:val="0"/>
              <w:ind w:left="-56" w:right="-108"/>
              <w:jc w:val="center"/>
              <w:rPr>
                <w:rFonts w:ascii="Arial" w:hAnsi="Arial"/>
                <w:b/>
                <w:sz w:val="18"/>
                <w:szCs w:val="18"/>
                <w:lang w:val="pl-PL"/>
              </w:rPr>
            </w:pPr>
            <w:r w:rsidRPr="00765C97">
              <w:rPr>
                <w:rFonts w:ascii="Arial" w:hAnsi="Arial"/>
                <w:b/>
                <w:sz w:val="18"/>
                <w:szCs w:val="18"/>
                <w:lang w:val="pl-PL"/>
              </w:rPr>
              <w:t>Segment Medycyna</w:t>
            </w:r>
          </w:p>
        </w:tc>
        <w:tc>
          <w:tcPr>
            <w:tcW w:w="993" w:type="dxa"/>
          </w:tcPr>
          <w:p w:rsidR="009652C1" w:rsidRPr="00765C97" w:rsidRDefault="009652C1" w:rsidP="009652C1">
            <w:pPr>
              <w:tabs>
                <w:tab w:val="right" w:pos="1332"/>
              </w:tabs>
              <w:adjustRightInd w:val="0"/>
              <w:ind w:left="-56" w:right="-108"/>
              <w:jc w:val="center"/>
              <w:rPr>
                <w:rFonts w:ascii="Arial" w:hAnsi="Arial"/>
                <w:b/>
                <w:sz w:val="18"/>
                <w:szCs w:val="18"/>
                <w:lang w:val="pl-PL"/>
              </w:rPr>
            </w:pPr>
            <w:r w:rsidRPr="00765C97">
              <w:rPr>
                <w:rFonts w:ascii="Arial" w:hAnsi="Arial"/>
                <w:b/>
                <w:sz w:val="18"/>
                <w:szCs w:val="18"/>
                <w:lang w:val="pl-PL"/>
              </w:rPr>
              <w:t>Ogółem</w:t>
            </w:r>
          </w:p>
        </w:tc>
      </w:tr>
      <w:tr w:rsidR="009652C1" w:rsidRPr="00765C97" w:rsidTr="007751B8">
        <w:trPr>
          <w:cantSplit/>
          <w:trHeight w:val="255"/>
        </w:trPr>
        <w:tc>
          <w:tcPr>
            <w:tcW w:w="1522" w:type="dxa"/>
            <w:vAlign w:val="center"/>
          </w:tcPr>
          <w:p w:rsidR="009652C1" w:rsidRPr="00765C97" w:rsidRDefault="009652C1" w:rsidP="009652C1">
            <w:pPr>
              <w:adjustRightInd w:val="0"/>
              <w:rPr>
                <w:rFonts w:ascii="Arial" w:hAnsi="Arial"/>
                <w:b/>
                <w:sz w:val="20"/>
                <w:lang w:val="pl-PL"/>
              </w:rPr>
            </w:pPr>
          </w:p>
        </w:tc>
        <w:tc>
          <w:tcPr>
            <w:tcW w:w="992" w:type="dxa"/>
            <w:vAlign w:val="center"/>
          </w:tcPr>
          <w:p w:rsidR="009652C1" w:rsidRPr="00765C97" w:rsidRDefault="009652C1" w:rsidP="009652C1">
            <w:pPr>
              <w:adjustRightInd w:val="0"/>
              <w:ind w:right="72"/>
              <w:jc w:val="center"/>
              <w:rPr>
                <w:rFonts w:ascii="Arial" w:hAnsi="Arial"/>
                <w:b/>
                <w:sz w:val="18"/>
                <w:szCs w:val="18"/>
                <w:lang w:val="pl-PL"/>
              </w:rPr>
            </w:pPr>
            <w:r w:rsidRPr="00765C97">
              <w:rPr>
                <w:rFonts w:ascii="Arial" w:hAnsi="Arial"/>
                <w:b/>
                <w:sz w:val="18"/>
                <w:szCs w:val="18"/>
                <w:lang w:val="pl-PL"/>
              </w:rPr>
              <w:t>Polska</w:t>
            </w:r>
          </w:p>
        </w:tc>
        <w:tc>
          <w:tcPr>
            <w:tcW w:w="851" w:type="dxa"/>
            <w:vAlign w:val="center"/>
          </w:tcPr>
          <w:p w:rsidR="009652C1" w:rsidRPr="00765C97" w:rsidRDefault="009652C1" w:rsidP="009652C1">
            <w:pPr>
              <w:adjustRightInd w:val="0"/>
              <w:ind w:right="72"/>
              <w:jc w:val="center"/>
              <w:rPr>
                <w:rFonts w:ascii="Arial" w:hAnsi="Arial"/>
                <w:b/>
                <w:sz w:val="18"/>
                <w:szCs w:val="18"/>
                <w:lang w:val="pl-PL"/>
              </w:rPr>
            </w:pPr>
            <w:r w:rsidRPr="00765C97">
              <w:rPr>
                <w:rFonts w:ascii="Arial" w:hAnsi="Arial"/>
                <w:b/>
                <w:sz w:val="18"/>
                <w:szCs w:val="18"/>
                <w:lang w:val="pl-PL"/>
              </w:rPr>
              <w:t>DACH</w:t>
            </w:r>
          </w:p>
        </w:tc>
        <w:tc>
          <w:tcPr>
            <w:tcW w:w="992" w:type="dxa"/>
            <w:vAlign w:val="center"/>
          </w:tcPr>
          <w:p w:rsidR="009652C1" w:rsidRPr="00765C97" w:rsidRDefault="009652C1" w:rsidP="009652C1">
            <w:pPr>
              <w:adjustRightInd w:val="0"/>
              <w:ind w:left="-155" w:right="-108"/>
              <w:jc w:val="center"/>
              <w:rPr>
                <w:rFonts w:ascii="Arial" w:hAnsi="Arial"/>
                <w:b/>
                <w:sz w:val="18"/>
                <w:szCs w:val="18"/>
                <w:lang w:val="pl-PL"/>
              </w:rPr>
            </w:pPr>
            <w:r w:rsidRPr="00765C97">
              <w:rPr>
                <w:rFonts w:ascii="Arial" w:hAnsi="Arial"/>
                <w:b/>
                <w:sz w:val="18"/>
                <w:szCs w:val="18"/>
                <w:lang w:val="pl-PL"/>
              </w:rPr>
              <w:t>Pozostałe</w:t>
            </w:r>
          </w:p>
        </w:tc>
        <w:tc>
          <w:tcPr>
            <w:tcW w:w="993" w:type="dxa"/>
            <w:vMerge/>
          </w:tcPr>
          <w:p w:rsidR="009652C1" w:rsidRPr="00765C97" w:rsidRDefault="009652C1" w:rsidP="009652C1">
            <w:pPr>
              <w:adjustRightInd w:val="0"/>
              <w:ind w:left="-56" w:right="-108"/>
              <w:jc w:val="right"/>
              <w:rPr>
                <w:rFonts w:ascii="Arial" w:hAnsi="Arial"/>
                <w:b/>
                <w:sz w:val="18"/>
                <w:szCs w:val="18"/>
                <w:lang w:val="pl-PL"/>
              </w:rPr>
            </w:pPr>
          </w:p>
        </w:tc>
        <w:tc>
          <w:tcPr>
            <w:tcW w:w="992" w:type="dxa"/>
            <w:vMerge/>
            <w:vAlign w:val="center"/>
          </w:tcPr>
          <w:p w:rsidR="009652C1" w:rsidRPr="00765C97" w:rsidRDefault="009652C1" w:rsidP="009652C1">
            <w:pPr>
              <w:adjustRightInd w:val="0"/>
              <w:ind w:left="-56" w:right="-108"/>
              <w:jc w:val="right"/>
              <w:rPr>
                <w:rFonts w:ascii="Arial" w:hAnsi="Arial"/>
                <w:b/>
                <w:sz w:val="18"/>
                <w:szCs w:val="18"/>
                <w:lang w:val="pl-PL"/>
              </w:rPr>
            </w:pPr>
          </w:p>
        </w:tc>
        <w:tc>
          <w:tcPr>
            <w:tcW w:w="993" w:type="dxa"/>
            <w:vMerge/>
            <w:vAlign w:val="center"/>
          </w:tcPr>
          <w:p w:rsidR="009652C1" w:rsidRPr="00765C97" w:rsidRDefault="009652C1" w:rsidP="009652C1">
            <w:pPr>
              <w:tabs>
                <w:tab w:val="right" w:pos="1332"/>
              </w:tabs>
              <w:adjustRightInd w:val="0"/>
              <w:ind w:left="-56" w:right="-108"/>
              <w:jc w:val="right"/>
              <w:rPr>
                <w:rFonts w:ascii="Arial" w:hAnsi="Arial"/>
                <w:b/>
                <w:sz w:val="18"/>
                <w:szCs w:val="18"/>
                <w:lang w:val="pl-PL"/>
              </w:rPr>
            </w:pPr>
          </w:p>
        </w:tc>
        <w:tc>
          <w:tcPr>
            <w:tcW w:w="993" w:type="dxa"/>
          </w:tcPr>
          <w:p w:rsidR="009652C1" w:rsidRPr="00765C97" w:rsidRDefault="009652C1" w:rsidP="009652C1">
            <w:pPr>
              <w:tabs>
                <w:tab w:val="right" w:pos="1332"/>
              </w:tabs>
              <w:adjustRightInd w:val="0"/>
              <w:ind w:left="-56" w:right="-108"/>
              <w:jc w:val="right"/>
              <w:rPr>
                <w:rFonts w:ascii="Arial" w:hAnsi="Arial"/>
                <w:b/>
                <w:sz w:val="18"/>
                <w:szCs w:val="18"/>
                <w:lang w:val="pl-PL"/>
              </w:rPr>
            </w:pPr>
          </w:p>
        </w:tc>
      </w:tr>
      <w:tr w:rsidR="009652C1" w:rsidRPr="00765C97" w:rsidTr="007751B8">
        <w:trPr>
          <w:trHeight w:val="255"/>
        </w:trPr>
        <w:tc>
          <w:tcPr>
            <w:tcW w:w="1522" w:type="dxa"/>
            <w:vAlign w:val="center"/>
          </w:tcPr>
          <w:p w:rsidR="009652C1" w:rsidRPr="00765C97" w:rsidRDefault="009652C1" w:rsidP="009652C1">
            <w:pPr>
              <w:adjustRightInd w:val="0"/>
              <w:rPr>
                <w:rFonts w:ascii="Arial" w:hAnsi="Arial"/>
                <w:sz w:val="20"/>
                <w:lang w:val="pl-PL"/>
              </w:rPr>
            </w:pPr>
          </w:p>
        </w:tc>
        <w:tc>
          <w:tcPr>
            <w:tcW w:w="992" w:type="dxa"/>
          </w:tcPr>
          <w:p w:rsidR="009652C1" w:rsidRPr="00765C97" w:rsidRDefault="009652C1" w:rsidP="009652C1">
            <w:pPr>
              <w:adjustRightInd w:val="0"/>
              <w:ind w:right="72"/>
              <w:jc w:val="right"/>
              <w:rPr>
                <w:rFonts w:ascii="Arial" w:hAnsi="Arial"/>
                <w:sz w:val="18"/>
                <w:szCs w:val="18"/>
                <w:lang w:val="pl-PL"/>
              </w:rPr>
            </w:pPr>
          </w:p>
        </w:tc>
        <w:tc>
          <w:tcPr>
            <w:tcW w:w="851" w:type="dxa"/>
            <w:vAlign w:val="center"/>
          </w:tcPr>
          <w:p w:rsidR="009652C1" w:rsidRPr="00765C97" w:rsidRDefault="009652C1" w:rsidP="009652C1">
            <w:pPr>
              <w:adjustRightInd w:val="0"/>
              <w:ind w:right="72"/>
              <w:jc w:val="right"/>
              <w:rPr>
                <w:rFonts w:ascii="Arial" w:hAnsi="Arial"/>
                <w:sz w:val="18"/>
                <w:szCs w:val="18"/>
                <w:lang w:val="pl-PL"/>
              </w:rPr>
            </w:pPr>
          </w:p>
        </w:tc>
        <w:tc>
          <w:tcPr>
            <w:tcW w:w="992" w:type="dxa"/>
            <w:vAlign w:val="center"/>
          </w:tcPr>
          <w:p w:rsidR="009652C1" w:rsidRPr="00765C97" w:rsidRDefault="009652C1" w:rsidP="009652C1">
            <w:pPr>
              <w:adjustRightInd w:val="0"/>
              <w:ind w:right="72"/>
              <w:jc w:val="right"/>
              <w:rPr>
                <w:rFonts w:ascii="Arial" w:hAnsi="Arial"/>
                <w:sz w:val="18"/>
                <w:szCs w:val="18"/>
                <w:lang w:val="pl-PL"/>
              </w:rPr>
            </w:pPr>
          </w:p>
        </w:tc>
        <w:tc>
          <w:tcPr>
            <w:tcW w:w="993" w:type="dxa"/>
          </w:tcPr>
          <w:p w:rsidR="009652C1" w:rsidRPr="00765C97" w:rsidRDefault="009652C1" w:rsidP="009652C1">
            <w:pPr>
              <w:adjustRightInd w:val="0"/>
              <w:ind w:left="-56" w:right="-108"/>
              <w:jc w:val="right"/>
              <w:rPr>
                <w:rFonts w:ascii="Arial" w:hAnsi="Arial"/>
                <w:sz w:val="18"/>
                <w:szCs w:val="18"/>
                <w:lang w:val="pl-PL"/>
              </w:rPr>
            </w:pPr>
          </w:p>
        </w:tc>
        <w:tc>
          <w:tcPr>
            <w:tcW w:w="992" w:type="dxa"/>
            <w:vAlign w:val="center"/>
          </w:tcPr>
          <w:p w:rsidR="009652C1" w:rsidRPr="00765C97" w:rsidRDefault="009652C1" w:rsidP="009652C1">
            <w:pPr>
              <w:adjustRightInd w:val="0"/>
              <w:ind w:left="-56" w:right="-108"/>
              <w:jc w:val="right"/>
              <w:rPr>
                <w:rFonts w:ascii="Arial" w:hAnsi="Arial"/>
                <w:sz w:val="18"/>
                <w:szCs w:val="18"/>
                <w:lang w:val="pl-PL"/>
              </w:rPr>
            </w:pPr>
          </w:p>
        </w:tc>
        <w:tc>
          <w:tcPr>
            <w:tcW w:w="993" w:type="dxa"/>
            <w:vAlign w:val="center"/>
          </w:tcPr>
          <w:p w:rsidR="009652C1" w:rsidRPr="00765C97" w:rsidRDefault="009652C1" w:rsidP="009652C1">
            <w:pPr>
              <w:tabs>
                <w:tab w:val="right" w:pos="1332"/>
              </w:tabs>
              <w:adjustRightInd w:val="0"/>
              <w:ind w:left="-56" w:right="-108"/>
              <w:jc w:val="right"/>
              <w:rPr>
                <w:rFonts w:ascii="Arial" w:hAnsi="Arial"/>
                <w:sz w:val="18"/>
                <w:szCs w:val="18"/>
                <w:lang w:val="pl-PL"/>
              </w:rPr>
            </w:pPr>
          </w:p>
        </w:tc>
        <w:tc>
          <w:tcPr>
            <w:tcW w:w="993" w:type="dxa"/>
          </w:tcPr>
          <w:p w:rsidR="009652C1" w:rsidRPr="00765C97" w:rsidRDefault="009652C1" w:rsidP="009652C1">
            <w:pPr>
              <w:tabs>
                <w:tab w:val="right" w:pos="1332"/>
              </w:tabs>
              <w:adjustRightInd w:val="0"/>
              <w:ind w:left="-56" w:right="-108"/>
              <w:jc w:val="right"/>
              <w:rPr>
                <w:rFonts w:ascii="Arial" w:hAnsi="Arial"/>
                <w:sz w:val="18"/>
                <w:szCs w:val="18"/>
                <w:lang w:val="pl-PL"/>
              </w:rPr>
            </w:pPr>
          </w:p>
        </w:tc>
      </w:tr>
      <w:tr w:rsidR="009652C1" w:rsidRPr="00765C97" w:rsidTr="007751B8">
        <w:trPr>
          <w:trHeight w:val="255"/>
        </w:trPr>
        <w:tc>
          <w:tcPr>
            <w:tcW w:w="1522" w:type="dxa"/>
            <w:vAlign w:val="center"/>
          </w:tcPr>
          <w:p w:rsidR="009652C1" w:rsidRPr="00765C97" w:rsidRDefault="009652C1" w:rsidP="009652C1">
            <w:pPr>
              <w:adjustRightInd w:val="0"/>
              <w:rPr>
                <w:rFonts w:ascii="Arial" w:hAnsi="Arial"/>
                <w:sz w:val="20"/>
                <w:lang w:val="pl-PL"/>
              </w:rPr>
            </w:pPr>
            <w:r w:rsidRPr="00765C97">
              <w:rPr>
                <w:rFonts w:ascii="Arial" w:hAnsi="Arial"/>
                <w:sz w:val="20"/>
                <w:lang w:val="pl-PL"/>
              </w:rPr>
              <w:t>Aktywa</w:t>
            </w:r>
          </w:p>
        </w:tc>
        <w:tc>
          <w:tcPr>
            <w:tcW w:w="992"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547 995</w:t>
            </w:r>
          </w:p>
        </w:tc>
        <w:tc>
          <w:tcPr>
            <w:tcW w:w="851"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193 725</w:t>
            </w:r>
          </w:p>
        </w:tc>
        <w:tc>
          <w:tcPr>
            <w:tcW w:w="992"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48 260</w:t>
            </w:r>
          </w:p>
        </w:tc>
        <w:tc>
          <w:tcPr>
            <w:tcW w:w="993"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165 870</w:t>
            </w:r>
          </w:p>
        </w:tc>
        <w:tc>
          <w:tcPr>
            <w:tcW w:w="992"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47 148</w:t>
            </w:r>
          </w:p>
        </w:tc>
        <w:tc>
          <w:tcPr>
            <w:tcW w:w="993"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19 476</w:t>
            </w:r>
          </w:p>
        </w:tc>
        <w:tc>
          <w:tcPr>
            <w:tcW w:w="993"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1 022 474</w:t>
            </w:r>
          </w:p>
        </w:tc>
      </w:tr>
      <w:tr w:rsidR="009652C1" w:rsidRPr="00765C97" w:rsidTr="007751B8">
        <w:trPr>
          <w:trHeight w:val="255"/>
        </w:trPr>
        <w:tc>
          <w:tcPr>
            <w:tcW w:w="1522" w:type="dxa"/>
            <w:vAlign w:val="center"/>
          </w:tcPr>
          <w:p w:rsidR="009652C1" w:rsidRPr="00765C97" w:rsidRDefault="009652C1" w:rsidP="009652C1">
            <w:pPr>
              <w:adjustRightInd w:val="0"/>
              <w:rPr>
                <w:rFonts w:ascii="Arial" w:hAnsi="Arial"/>
                <w:sz w:val="20"/>
                <w:lang w:val="pl-PL"/>
              </w:rPr>
            </w:pPr>
            <w:r w:rsidRPr="00765C97">
              <w:rPr>
                <w:rFonts w:ascii="Arial" w:hAnsi="Arial"/>
                <w:sz w:val="20"/>
                <w:lang w:val="pl-PL"/>
              </w:rPr>
              <w:t>Zobowiązania</w:t>
            </w:r>
          </w:p>
        </w:tc>
        <w:tc>
          <w:tcPr>
            <w:tcW w:w="992"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326 032</w:t>
            </w:r>
          </w:p>
        </w:tc>
        <w:tc>
          <w:tcPr>
            <w:tcW w:w="851"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44 259</w:t>
            </w:r>
          </w:p>
        </w:tc>
        <w:tc>
          <w:tcPr>
            <w:tcW w:w="992"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9 373</w:t>
            </w:r>
          </w:p>
        </w:tc>
        <w:tc>
          <w:tcPr>
            <w:tcW w:w="993"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2 325</w:t>
            </w:r>
          </w:p>
        </w:tc>
        <w:tc>
          <w:tcPr>
            <w:tcW w:w="992"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14 662</w:t>
            </w:r>
          </w:p>
        </w:tc>
        <w:tc>
          <w:tcPr>
            <w:tcW w:w="993"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15 972</w:t>
            </w:r>
          </w:p>
        </w:tc>
        <w:tc>
          <w:tcPr>
            <w:tcW w:w="993"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412 623</w:t>
            </w:r>
          </w:p>
        </w:tc>
      </w:tr>
      <w:tr w:rsidR="009652C1" w:rsidRPr="00765C97" w:rsidTr="007751B8">
        <w:trPr>
          <w:trHeight w:val="255"/>
        </w:trPr>
        <w:tc>
          <w:tcPr>
            <w:tcW w:w="1522" w:type="dxa"/>
            <w:vAlign w:val="center"/>
          </w:tcPr>
          <w:p w:rsidR="009652C1" w:rsidRPr="00765C97" w:rsidRDefault="009652C1" w:rsidP="009652C1">
            <w:pPr>
              <w:adjustRightInd w:val="0"/>
              <w:rPr>
                <w:rFonts w:ascii="Arial" w:hAnsi="Arial"/>
                <w:sz w:val="20"/>
                <w:lang w:val="pl-PL"/>
              </w:rPr>
            </w:pPr>
            <w:r w:rsidRPr="00765C97">
              <w:rPr>
                <w:rFonts w:ascii="Arial" w:hAnsi="Arial"/>
                <w:sz w:val="20"/>
                <w:lang w:val="pl-PL"/>
              </w:rPr>
              <w:t>Wydatki inwestycyjne</w:t>
            </w:r>
          </w:p>
        </w:tc>
        <w:tc>
          <w:tcPr>
            <w:tcW w:w="992"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44 480</w:t>
            </w:r>
          </w:p>
        </w:tc>
        <w:tc>
          <w:tcPr>
            <w:tcW w:w="851"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17 947</w:t>
            </w:r>
          </w:p>
        </w:tc>
        <w:tc>
          <w:tcPr>
            <w:tcW w:w="992"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3 020</w:t>
            </w:r>
          </w:p>
        </w:tc>
        <w:tc>
          <w:tcPr>
            <w:tcW w:w="993"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7 100</w:t>
            </w:r>
          </w:p>
        </w:tc>
        <w:tc>
          <w:tcPr>
            <w:tcW w:w="992"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3 496</w:t>
            </w:r>
          </w:p>
        </w:tc>
        <w:tc>
          <w:tcPr>
            <w:tcW w:w="993"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19 476</w:t>
            </w:r>
          </w:p>
        </w:tc>
        <w:tc>
          <w:tcPr>
            <w:tcW w:w="993"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95 519</w:t>
            </w:r>
          </w:p>
        </w:tc>
      </w:tr>
      <w:tr w:rsidR="009652C1" w:rsidRPr="00765C97" w:rsidTr="007751B8">
        <w:trPr>
          <w:trHeight w:val="255"/>
        </w:trPr>
        <w:tc>
          <w:tcPr>
            <w:tcW w:w="1522" w:type="dxa"/>
            <w:vAlign w:val="center"/>
          </w:tcPr>
          <w:p w:rsidR="009652C1" w:rsidRPr="00765C97" w:rsidRDefault="009652C1" w:rsidP="009652C1">
            <w:pPr>
              <w:adjustRightInd w:val="0"/>
              <w:rPr>
                <w:rFonts w:ascii="Arial" w:hAnsi="Arial"/>
                <w:sz w:val="20"/>
                <w:lang w:val="pl-PL"/>
              </w:rPr>
            </w:pPr>
            <w:r w:rsidRPr="00765C97">
              <w:rPr>
                <w:rFonts w:ascii="Arial" w:hAnsi="Arial"/>
                <w:sz w:val="20"/>
                <w:lang w:val="pl-PL"/>
              </w:rPr>
              <w:t>Amortyzacja</w:t>
            </w:r>
          </w:p>
        </w:tc>
        <w:tc>
          <w:tcPr>
            <w:tcW w:w="992"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18 763</w:t>
            </w:r>
          </w:p>
        </w:tc>
        <w:tc>
          <w:tcPr>
            <w:tcW w:w="851"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18 054</w:t>
            </w:r>
          </w:p>
        </w:tc>
        <w:tc>
          <w:tcPr>
            <w:tcW w:w="992"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1 040</w:t>
            </w:r>
          </w:p>
        </w:tc>
        <w:tc>
          <w:tcPr>
            <w:tcW w:w="993"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859</w:t>
            </w:r>
          </w:p>
        </w:tc>
        <w:tc>
          <w:tcPr>
            <w:tcW w:w="992"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3 328</w:t>
            </w:r>
          </w:p>
        </w:tc>
        <w:tc>
          <w:tcPr>
            <w:tcW w:w="993"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w:t>
            </w:r>
          </w:p>
        </w:tc>
        <w:tc>
          <w:tcPr>
            <w:tcW w:w="993" w:type="dxa"/>
            <w:vAlign w:val="center"/>
          </w:tcPr>
          <w:p w:rsidR="009652C1" w:rsidRPr="00765C97" w:rsidRDefault="009652C1" w:rsidP="005D7C6A">
            <w:pPr>
              <w:jc w:val="right"/>
              <w:rPr>
                <w:rFonts w:ascii="Arial" w:hAnsi="Arial" w:cs="Arial"/>
                <w:sz w:val="18"/>
                <w:szCs w:val="18"/>
              </w:rPr>
            </w:pPr>
            <w:r w:rsidRPr="00765C97">
              <w:rPr>
                <w:rFonts w:ascii="Arial" w:hAnsi="Arial" w:cs="Arial"/>
                <w:sz w:val="18"/>
                <w:szCs w:val="18"/>
              </w:rPr>
              <w:t>42 044</w:t>
            </w:r>
          </w:p>
        </w:tc>
      </w:tr>
    </w:tbl>
    <w:p w:rsidR="009652C1" w:rsidRPr="00765C97" w:rsidRDefault="009652C1" w:rsidP="00DB120C">
      <w:pPr>
        <w:jc w:val="both"/>
        <w:rPr>
          <w:rFonts w:ascii="Arial" w:hAnsi="Arial"/>
          <w:i/>
          <w:sz w:val="16"/>
          <w:szCs w:val="16"/>
          <w:lang w:val="pl-PL"/>
        </w:rPr>
      </w:pPr>
    </w:p>
    <w:p w:rsidR="00DB120C" w:rsidRPr="00765C97" w:rsidRDefault="00DB120C" w:rsidP="00DB120C">
      <w:pPr>
        <w:jc w:val="both"/>
        <w:rPr>
          <w:rFonts w:ascii="Arial" w:hAnsi="Arial"/>
          <w:sz w:val="20"/>
          <w:lang w:val="pl-PL"/>
        </w:rPr>
      </w:pPr>
      <w:r w:rsidRPr="00765C97">
        <w:rPr>
          <w:rFonts w:ascii="Arial" w:hAnsi="Arial"/>
          <w:i/>
          <w:sz w:val="16"/>
          <w:szCs w:val="16"/>
          <w:lang w:val="pl-PL"/>
        </w:rPr>
        <w:t>*) Zobowiązania dotyczą kredytu zaciągniętego przez spółkę iMed24 S.A. na sfinansowanie zakupu sprzętu medycznego. Do 31 grudnia 2011 r. sprzęt ten nie został przyjęty do użytkowania, dlatego w segmencie nie wykazano amortyzacji.</w:t>
      </w:r>
    </w:p>
    <w:p w:rsidR="00B24DA9" w:rsidRPr="00765C97" w:rsidRDefault="009413DD" w:rsidP="004E7E0A">
      <w:pPr>
        <w:rPr>
          <w:rFonts w:ascii="Arial" w:hAnsi="Arial"/>
          <w:b/>
          <w:color w:val="000000"/>
          <w:sz w:val="20"/>
          <w:lang w:val="pl-PL"/>
        </w:rPr>
      </w:pPr>
      <w:r w:rsidRPr="00765C97">
        <w:rPr>
          <w:rFonts w:ascii="Arial" w:hAnsi="Arial"/>
          <w:color w:val="000000"/>
          <w:sz w:val="20"/>
          <w:lang w:val="pl-PL"/>
        </w:rPr>
        <w:br w:type="page"/>
      </w:r>
      <w:r w:rsidR="00B24DA9" w:rsidRPr="00765C97">
        <w:rPr>
          <w:rFonts w:ascii="Arial" w:hAnsi="Arial"/>
          <w:b/>
          <w:color w:val="000000"/>
          <w:sz w:val="20"/>
          <w:lang w:val="pl-PL"/>
        </w:rPr>
        <w:t>Rok 20</w:t>
      </w:r>
      <w:r w:rsidR="00782528" w:rsidRPr="00765C97">
        <w:rPr>
          <w:rFonts w:ascii="Arial" w:hAnsi="Arial"/>
          <w:b/>
          <w:color w:val="000000"/>
          <w:sz w:val="20"/>
          <w:lang w:val="pl-PL"/>
        </w:rPr>
        <w:t>1</w:t>
      </w:r>
      <w:r w:rsidR="00DB120C" w:rsidRPr="00765C97">
        <w:rPr>
          <w:rFonts w:ascii="Arial" w:hAnsi="Arial"/>
          <w:b/>
          <w:color w:val="000000"/>
          <w:sz w:val="20"/>
          <w:lang w:val="pl-PL"/>
        </w:rPr>
        <w:t>2</w:t>
      </w:r>
      <w:r w:rsidR="00B24DA9" w:rsidRPr="00765C97">
        <w:rPr>
          <w:rFonts w:ascii="Arial" w:hAnsi="Arial"/>
          <w:b/>
          <w:color w:val="000000"/>
          <w:sz w:val="20"/>
          <w:lang w:val="pl-PL"/>
        </w:rPr>
        <w:t xml:space="preserve"> </w:t>
      </w:r>
    </w:p>
    <w:tbl>
      <w:tblPr>
        <w:tblW w:w="8763" w:type="dxa"/>
        <w:tblInd w:w="-214" w:type="dxa"/>
        <w:tblLayout w:type="fixed"/>
        <w:tblCellMar>
          <w:left w:w="70" w:type="dxa"/>
          <w:right w:w="70" w:type="dxa"/>
        </w:tblCellMar>
        <w:tblLook w:val="0000"/>
      </w:tblPr>
      <w:tblGrid>
        <w:gridCol w:w="1985"/>
        <w:gridCol w:w="851"/>
        <w:gridCol w:w="709"/>
        <w:gridCol w:w="825"/>
        <w:gridCol w:w="928"/>
        <w:gridCol w:w="798"/>
        <w:gridCol w:w="824"/>
        <w:gridCol w:w="992"/>
        <w:gridCol w:w="851"/>
      </w:tblGrid>
      <w:tr w:rsidR="00DC5EE3" w:rsidRPr="00765C97" w:rsidTr="004E7E0A">
        <w:trPr>
          <w:cantSplit/>
          <w:trHeight w:val="255"/>
        </w:trPr>
        <w:tc>
          <w:tcPr>
            <w:tcW w:w="1985" w:type="dxa"/>
            <w:vMerge w:val="restart"/>
            <w:vAlign w:val="center"/>
          </w:tcPr>
          <w:p w:rsidR="00DC5EE3" w:rsidRPr="00765C97" w:rsidRDefault="00DC5EE3" w:rsidP="00B031D9">
            <w:pPr>
              <w:adjustRightInd w:val="0"/>
              <w:rPr>
                <w:rFonts w:ascii="Arial" w:hAnsi="Arial" w:cs="Arial"/>
                <w:b/>
                <w:sz w:val="16"/>
                <w:szCs w:val="16"/>
                <w:lang w:val="pl-PL"/>
              </w:rPr>
            </w:pPr>
            <w:r w:rsidRPr="00765C97">
              <w:rPr>
                <w:rFonts w:ascii="Arial" w:hAnsi="Arial" w:cs="Arial"/>
                <w:b/>
                <w:sz w:val="16"/>
                <w:szCs w:val="16"/>
                <w:lang w:val="pl-PL"/>
              </w:rPr>
              <w:br w:type="page"/>
              <w:t>12 miesięcy 2012</w:t>
            </w:r>
          </w:p>
        </w:tc>
        <w:tc>
          <w:tcPr>
            <w:tcW w:w="2385" w:type="dxa"/>
            <w:gridSpan w:val="3"/>
          </w:tcPr>
          <w:p w:rsidR="00DC5EE3" w:rsidRPr="00765C97" w:rsidRDefault="00DC5EE3" w:rsidP="00B031D9">
            <w:pPr>
              <w:adjustRightInd w:val="0"/>
              <w:ind w:left="-120"/>
              <w:jc w:val="center"/>
              <w:rPr>
                <w:rFonts w:ascii="Arial" w:hAnsi="Arial" w:cs="Arial"/>
                <w:b/>
                <w:sz w:val="16"/>
                <w:szCs w:val="16"/>
                <w:lang w:val="pl-PL"/>
              </w:rPr>
            </w:pPr>
            <w:r w:rsidRPr="00765C97">
              <w:rPr>
                <w:rFonts w:ascii="Arial" w:hAnsi="Arial" w:cs="Arial"/>
                <w:b/>
                <w:sz w:val="16"/>
                <w:szCs w:val="16"/>
                <w:lang w:val="pl-PL"/>
              </w:rPr>
              <w:t>Segment IT</w:t>
            </w:r>
          </w:p>
        </w:tc>
        <w:tc>
          <w:tcPr>
            <w:tcW w:w="928" w:type="dxa"/>
            <w:vMerge w:val="restart"/>
            <w:vAlign w:val="center"/>
          </w:tcPr>
          <w:p w:rsidR="00DC5EE3" w:rsidRPr="00765C97" w:rsidRDefault="00DC5EE3" w:rsidP="00DC5EE3">
            <w:pPr>
              <w:adjustRightInd w:val="0"/>
              <w:ind w:left="-70" w:right="-68"/>
              <w:jc w:val="center"/>
              <w:rPr>
                <w:rFonts w:ascii="Arial" w:hAnsi="Arial" w:cs="Arial"/>
                <w:b/>
                <w:sz w:val="16"/>
                <w:szCs w:val="16"/>
                <w:lang w:val="pl-PL"/>
              </w:rPr>
            </w:pPr>
            <w:r w:rsidRPr="00765C97">
              <w:rPr>
                <w:rFonts w:ascii="Arial" w:hAnsi="Arial" w:cs="Arial"/>
                <w:b/>
                <w:sz w:val="16"/>
                <w:szCs w:val="16"/>
                <w:lang w:val="pl-PL"/>
              </w:rPr>
              <w:t>Segment Inwestycje</w:t>
            </w:r>
          </w:p>
        </w:tc>
        <w:tc>
          <w:tcPr>
            <w:tcW w:w="798" w:type="dxa"/>
            <w:vMerge w:val="restart"/>
            <w:vAlign w:val="center"/>
          </w:tcPr>
          <w:p w:rsidR="00DC5EE3" w:rsidRPr="00765C97" w:rsidRDefault="00DC5EE3" w:rsidP="00DC5EE3">
            <w:pPr>
              <w:adjustRightInd w:val="0"/>
              <w:ind w:left="-120" w:right="-70"/>
              <w:jc w:val="center"/>
              <w:rPr>
                <w:rFonts w:ascii="Arial" w:hAnsi="Arial" w:cs="Arial"/>
                <w:b/>
                <w:sz w:val="16"/>
                <w:szCs w:val="16"/>
                <w:lang w:val="pl-PL"/>
              </w:rPr>
            </w:pPr>
            <w:r w:rsidRPr="00765C97">
              <w:rPr>
                <w:rFonts w:ascii="Arial" w:hAnsi="Arial" w:cs="Arial"/>
                <w:b/>
                <w:sz w:val="16"/>
                <w:szCs w:val="16"/>
                <w:lang w:val="pl-PL"/>
              </w:rPr>
              <w:t>Segment Sport</w:t>
            </w:r>
          </w:p>
        </w:tc>
        <w:tc>
          <w:tcPr>
            <w:tcW w:w="824" w:type="dxa"/>
            <w:vMerge w:val="restart"/>
            <w:vAlign w:val="center"/>
          </w:tcPr>
          <w:p w:rsidR="00DC5EE3" w:rsidRPr="00765C97" w:rsidRDefault="00DC5EE3" w:rsidP="00DC5EE3">
            <w:pPr>
              <w:adjustRightInd w:val="0"/>
              <w:ind w:left="-70" w:right="-70"/>
              <w:jc w:val="center"/>
              <w:rPr>
                <w:rFonts w:ascii="Arial" w:hAnsi="Arial" w:cs="Arial"/>
                <w:b/>
                <w:sz w:val="16"/>
                <w:szCs w:val="16"/>
                <w:lang w:val="pl-PL"/>
              </w:rPr>
            </w:pPr>
            <w:r w:rsidRPr="00765C97">
              <w:rPr>
                <w:rFonts w:ascii="Arial" w:hAnsi="Arial" w:cs="Arial"/>
                <w:b/>
                <w:sz w:val="16"/>
                <w:szCs w:val="16"/>
                <w:lang w:val="pl-PL"/>
              </w:rPr>
              <w:t>Segment Medycyna</w:t>
            </w:r>
          </w:p>
        </w:tc>
        <w:tc>
          <w:tcPr>
            <w:tcW w:w="992" w:type="dxa"/>
            <w:vMerge w:val="restart"/>
            <w:vAlign w:val="center"/>
          </w:tcPr>
          <w:p w:rsidR="00DC5EE3" w:rsidRPr="00765C97" w:rsidRDefault="00DC5EE3" w:rsidP="00DC5EE3">
            <w:pPr>
              <w:adjustRightInd w:val="0"/>
              <w:ind w:left="-70" w:right="-70"/>
              <w:jc w:val="center"/>
              <w:rPr>
                <w:rFonts w:ascii="Arial" w:hAnsi="Arial" w:cs="Arial"/>
                <w:b/>
                <w:sz w:val="16"/>
                <w:szCs w:val="16"/>
                <w:lang w:val="pl-PL"/>
              </w:rPr>
            </w:pPr>
            <w:r w:rsidRPr="00765C97">
              <w:rPr>
                <w:rFonts w:ascii="Arial" w:hAnsi="Arial" w:cs="Arial"/>
                <w:b/>
                <w:sz w:val="16"/>
                <w:szCs w:val="16"/>
                <w:lang w:val="pl-PL"/>
              </w:rPr>
              <w:t>Eliminacje</w:t>
            </w:r>
          </w:p>
        </w:tc>
        <w:tc>
          <w:tcPr>
            <w:tcW w:w="851" w:type="dxa"/>
            <w:vMerge w:val="restart"/>
            <w:vAlign w:val="center"/>
          </w:tcPr>
          <w:p w:rsidR="00DC5EE3" w:rsidRPr="00765C97" w:rsidRDefault="00DC5EE3" w:rsidP="00DC5EE3">
            <w:pPr>
              <w:adjustRightInd w:val="0"/>
              <w:ind w:left="-146"/>
              <w:jc w:val="center"/>
              <w:rPr>
                <w:rFonts w:ascii="Arial" w:hAnsi="Arial" w:cs="Arial"/>
                <w:b/>
                <w:sz w:val="16"/>
                <w:szCs w:val="16"/>
                <w:lang w:val="pl-PL"/>
              </w:rPr>
            </w:pPr>
            <w:r w:rsidRPr="00765C97">
              <w:rPr>
                <w:rFonts w:ascii="Arial" w:hAnsi="Arial" w:cs="Arial"/>
                <w:b/>
                <w:sz w:val="16"/>
                <w:szCs w:val="16"/>
                <w:lang w:val="pl-PL"/>
              </w:rPr>
              <w:t>Razem</w:t>
            </w:r>
          </w:p>
        </w:tc>
      </w:tr>
      <w:tr w:rsidR="00DC5EE3" w:rsidRPr="00765C97" w:rsidTr="004E7E0A">
        <w:trPr>
          <w:cantSplit/>
          <w:trHeight w:val="255"/>
        </w:trPr>
        <w:tc>
          <w:tcPr>
            <w:tcW w:w="1985" w:type="dxa"/>
            <w:vMerge/>
            <w:vAlign w:val="center"/>
          </w:tcPr>
          <w:p w:rsidR="00DC5EE3" w:rsidRPr="00765C97" w:rsidRDefault="00DC5EE3" w:rsidP="00B031D9">
            <w:pPr>
              <w:adjustRightInd w:val="0"/>
              <w:rPr>
                <w:rFonts w:ascii="Arial" w:hAnsi="Arial" w:cs="Arial"/>
                <w:b/>
                <w:sz w:val="16"/>
                <w:szCs w:val="16"/>
                <w:lang w:val="pl-PL"/>
              </w:rPr>
            </w:pPr>
          </w:p>
        </w:tc>
        <w:tc>
          <w:tcPr>
            <w:tcW w:w="851" w:type="dxa"/>
            <w:tcBorders>
              <w:bottom w:val="single" w:sz="4" w:space="0" w:color="auto"/>
            </w:tcBorders>
            <w:vAlign w:val="center"/>
          </w:tcPr>
          <w:p w:rsidR="00DC5EE3" w:rsidRPr="00765C97" w:rsidRDefault="00DC5EE3" w:rsidP="004E7E0A">
            <w:pPr>
              <w:adjustRightInd w:val="0"/>
              <w:ind w:left="-70"/>
              <w:jc w:val="center"/>
              <w:rPr>
                <w:rFonts w:ascii="Arial" w:hAnsi="Arial" w:cs="Arial"/>
                <w:b/>
                <w:sz w:val="16"/>
                <w:szCs w:val="16"/>
                <w:lang w:val="pl-PL"/>
              </w:rPr>
            </w:pPr>
            <w:r w:rsidRPr="00765C97">
              <w:rPr>
                <w:rFonts w:ascii="Arial" w:hAnsi="Arial" w:cs="Arial"/>
                <w:b/>
                <w:sz w:val="16"/>
                <w:szCs w:val="16"/>
                <w:lang w:val="pl-PL"/>
              </w:rPr>
              <w:t>Rynek polski</w:t>
            </w:r>
          </w:p>
        </w:tc>
        <w:tc>
          <w:tcPr>
            <w:tcW w:w="709" w:type="dxa"/>
            <w:tcBorders>
              <w:bottom w:val="single" w:sz="4" w:space="0" w:color="auto"/>
            </w:tcBorders>
            <w:vAlign w:val="center"/>
          </w:tcPr>
          <w:p w:rsidR="00DC5EE3" w:rsidRPr="00765C97" w:rsidRDefault="00DC5EE3" w:rsidP="00DC5EE3">
            <w:pPr>
              <w:adjustRightInd w:val="0"/>
              <w:ind w:left="-70"/>
              <w:jc w:val="center"/>
              <w:rPr>
                <w:rFonts w:ascii="Arial" w:hAnsi="Arial" w:cs="Arial"/>
                <w:b/>
                <w:sz w:val="16"/>
                <w:szCs w:val="16"/>
                <w:lang w:val="pl-PL"/>
              </w:rPr>
            </w:pPr>
            <w:r w:rsidRPr="00765C97">
              <w:rPr>
                <w:rFonts w:ascii="Arial" w:hAnsi="Arial" w:cs="Arial"/>
                <w:b/>
                <w:sz w:val="16"/>
                <w:szCs w:val="16"/>
                <w:lang w:val="pl-PL"/>
              </w:rPr>
              <w:t>Rynek DACH</w:t>
            </w:r>
          </w:p>
        </w:tc>
        <w:tc>
          <w:tcPr>
            <w:tcW w:w="825" w:type="dxa"/>
            <w:tcBorders>
              <w:bottom w:val="single" w:sz="4" w:space="0" w:color="auto"/>
            </w:tcBorders>
            <w:vAlign w:val="center"/>
          </w:tcPr>
          <w:p w:rsidR="00DC5EE3" w:rsidRPr="00765C97" w:rsidRDefault="00DC5EE3" w:rsidP="00DC5EE3">
            <w:pPr>
              <w:adjustRightInd w:val="0"/>
              <w:ind w:left="-70" w:right="-70"/>
              <w:jc w:val="center"/>
              <w:rPr>
                <w:rFonts w:ascii="Arial" w:hAnsi="Arial" w:cs="Arial"/>
                <w:b/>
                <w:sz w:val="16"/>
                <w:szCs w:val="16"/>
                <w:lang w:val="pl-PL"/>
              </w:rPr>
            </w:pPr>
            <w:r w:rsidRPr="00765C97">
              <w:rPr>
                <w:rFonts w:ascii="Arial" w:hAnsi="Arial" w:cs="Arial"/>
                <w:b/>
                <w:sz w:val="16"/>
                <w:szCs w:val="16"/>
                <w:lang w:val="pl-PL"/>
              </w:rPr>
              <w:t>Pozostałe rynki</w:t>
            </w:r>
          </w:p>
        </w:tc>
        <w:tc>
          <w:tcPr>
            <w:tcW w:w="928" w:type="dxa"/>
            <w:vMerge/>
            <w:tcBorders>
              <w:bottom w:val="single" w:sz="4" w:space="0" w:color="auto"/>
            </w:tcBorders>
          </w:tcPr>
          <w:p w:rsidR="00DC5EE3" w:rsidRPr="00765C97" w:rsidRDefault="00DC5EE3" w:rsidP="00B031D9">
            <w:pPr>
              <w:adjustRightInd w:val="0"/>
              <w:ind w:left="-120"/>
              <w:jc w:val="right"/>
              <w:rPr>
                <w:rFonts w:ascii="Arial" w:hAnsi="Arial" w:cs="Arial"/>
                <w:b/>
                <w:sz w:val="16"/>
                <w:szCs w:val="16"/>
                <w:lang w:val="pl-PL"/>
              </w:rPr>
            </w:pPr>
          </w:p>
        </w:tc>
        <w:tc>
          <w:tcPr>
            <w:tcW w:w="798" w:type="dxa"/>
            <w:vMerge/>
            <w:tcBorders>
              <w:bottom w:val="single" w:sz="4" w:space="0" w:color="auto"/>
            </w:tcBorders>
            <w:vAlign w:val="center"/>
          </w:tcPr>
          <w:p w:rsidR="00DC5EE3" w:rsidRPr="00765C97" w:rsidRDefault="00DC5EE3" w:rsidP="00B031D9">
            <w:pPr>
              <w:adjustRightInd w:val="0"/>
              <w:ind w:left="-120"/>
              <w:jc w:val="right"/>
              <w:rPr>
                <w:rFonts w:ascii="Arial" w:hAnsi="Arial" w:cs="Arial"/>
                <w:b/>
                <w:sz w:val="16"/>
                <w:szCs w:val="16"/>
                <w:lang w:val="pl-PL"/>
              </w:rPr>
            </w:pPr>
          </w:p>
        </w:tc>
        <w:tc>
          <w:tcPr>
            <w:tcW w:w="824" w:type="dxa"/>
            <w:vMerge/>
            <w:tcBorders>
              <w:bottom w:val="single" w:sz="4" w:space="0" w:color="auto"/>
            </w:tcBorders>
          </w:tcPr>
          <w:p w:rsidR="00DC5EE3" w:rsidRPr="00765C97" w:rsidRDefault="00DC5EE3" w:rsidP="00603ABE">
            <w:pPr>
              <w:adjustRightInd w:val="0"/>
              <w:ind w:left="-70" w:right="-70"/>
              <w:jc w:val="right"/>
              <w:rPr>
                <w:rFonts w:ascii="Arial" w:hAnsi="Arial" w:cs="Arial"/>
                <w:b/>
                <w:sz w:val="16"/>
                <w:szCs w:val="16"/>
                <w:lang w:val="pl-PL"/>
              </w:rPr>
            </w:pPr>
          </w:p>
        </w:tc>
        <w:tc>
          <w:tcPr>
            <w:tcW w:w="992" w:type="dxa"/>
            <w:vMerge/>
            <w:tcBorders>
              <w:bottom w:val="single" w:sz="4" w:space="0" w:color="auto"/>
            </w:tcBorders>
            <w:vAlign w:val="center"/>
          </w:tcPr>
          <w:p w:rsidR="00DC5EE3" w:rsidRPr="00765C97" w:rsidRDefault="00DC5EE3" w:rsidP="00B031D9">
            <w:pPr>
              <w:adjustRightInd w:val="0"/>
              <w:ind w:left="-70"/>
              <w:jc w:val="right"/>
              <w:rPr>
                <w:rFonts w:ascii="Arial" w:hAnsi="Arial" w:cs="Arial"/>
                <w:b/>
                <w:sz w:val="16"/>
                <w:szCs w:val="16"/>
                <w:lang w:val="pl-PL"/>
              </w:rPr>
            </w:pPr>
          </w:p>
        </w:tc>
        <w:tc>
          <w:tcPr>
            <w:tcW w:w="851" w:type="dxa"/>
            <w:vMerge/>
            <w:tcBorders>
              <w:bottom w:val="single" w:sz="4" w:space="0" w:color="auto"/>
            </w:tcBorders>
            <w:vAlign w:val="center"/>
          </w:tcPr>
          <w:p w:rsidR="00DC5EE3" w:rsidRPr="00765C97" w:rsidRDefault="00DC5EE3" w:rsidP="00B031D9">
            <w:pPr>
              <w:adjustRightInd w:val="0"/>
              <w:ind w:left="-146"/>
              <w:jc w:val="right"/>
              <w:rPr>
                <w:rFonts w:ascii="Arial" w:hAnsi="Arial" w:cs="Arial"/>
                <w:b/>
                <w:sz w:val="16"/>
                <w:szCs w:val="16"/>
                <w:lang w:val="pl-PL"/>
              </w:rPr>
            </w:pPr>
          </w:p>
        </w:tc>
      </w:tr>
      <w:tr w:rsidR="00B943CF" w:rsidRPr="00765C97" w:rsidTr="004E7E0A">
        <w:trPr>
          <w:trHeight w:val="255"/>
        </w:trPr>
        <w:tc>
          <w:tcPr>
            <w:tcW w:w="1985" w:type="dxa"/>
            <w:vAlign w:val="center"/>
          </w:tcPr>
          <w:p w:rsidR="00B943CF" w:rsidRPr="00765C97" w:rsidRDefault="00B943CF" w:rsidP="00B031D9">
            <w:pPr>
              <w:adjustRightInd w:val="0"/>
              <w:rPr>
                <w:rFonts w:ascii="Arial" w:hAnsi="Arial" w:cs="Arial"/>
                <w:sz w:val="16"/>
                <w:szCs w:val="16"/>
                <w:lang w:val="pl-PL"/>
              </w:rPr>
            </w:pPr>
            <w:r w:rsidRPr="00765C97">
              <w:rPr>
                <w:rFonts w:ascii="Arial" w:hAnsi="Arial" w:cs="Arial"/>
                <w:sz w:val="16"/>
                <w:szCs w:val="16"/>
                <w:lang w:val="pl-PL"/>
              </w:rPr>
              <w:t>Przychody segmentu– sprzedaż klientom zewnętrznym</w:t>
            </w:r>
          </w:p>
        </w:tc>
        <w:tc>
          <w:tcPr>
            <w:tcW w:w="851" w:type="dxa"/>
            <w:tcBorders>
              <w:top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584</w:t>
            </w:r>
            <w:r w:rsidR="004E7E0A" w:rsidRPr="00765C97">
              <w:rPr>
                <w:rFonts w:ascii="Arial" w:hAnsi="Arial" w:cs="Arial"/>
                <w:sz w:val="16"/>
                <w:szCs w:val="16"/>
              </w:rPr>
              <w:t xml:space="preserve"> </w:t>
            </w:r>
            <w:r w:rsidRPr="00765C97">
              <w:rPr>
                <w:rFonts w:ascii="Arial" w:hAnsi="Arial" w:cs="Arial"/>
                <w:sz w:val="16"/>
                <w:szCs w:val="16"/>
              </w:rPr>
              <w:t>990</w:t>
            </w:r>
          </w:p>
        </w:tc>
        <w:tc>
          <w:tcPr>
            <w:tcW w:w="709" w:type="dxa"/>
            <w:tcBorders>
              <w:top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223</w:t>
            </w:r>
            <w:r w:rsidR="004E7E0A" w:rsidRPr="00765C97">
              <w:rPr>
                <w:rFonts w:ascii="Arial" w:hAnsi="Arial" w:cs="Arial"/>
                <w:sz w:val="16"/>
                <w:szCs w:val="16"/>
              </w:rPr>
              <w:t xml:space="preserve"> </w:t>
            </w:r>
            <w:r w:rsidRPr="00765C97">
              <w:rPr>
                <w:rFonts w:ascii="Arial" w:hAnsi="Arial" w:cs="Arial"/>
                <w:sz w:val="16"/>
                <w:szCs w:val="16"/>
              </w:rPr>
              <w:t>524</w:t>
            </w:r>
          </w:p>
        </w:tc>
        <w:tc>
          <w:tcPr>
            <w:tcW w:w="825" w:type="dxa"/>
            <w:tcBorders>
              <w:top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76</w:t>
            </w:r>
            <w:r w:rsidR="004E7E0A" w:rsidRPr="00765C97">
              <w:rPr>
                <w:rFonts w:ascii="Arial" w:hAnsi="Arial" w:cs="Arial"/>
                <w:sz w:val="16"/>
                <w:szCs w:val="16"/>
              </w:rPr>
              <w:t xml:space="preserve"> </w:t>
            </w:r>
            <w:r w:rsidRPr="00765C97">
              <w:rPr>
                <w:rFonts w:ascii="Arial" w:hAnsi="Arial" w:cs="Arial"/>
                <w:sz w:val="16"/>
                <w:szCs w:val="16"/>
              </w:rPr>
              <w:t>120</w:t>
            </w:r>
          </w:p>
        </w:tc>
        <w:tc>
          <w:tcPr>
            <w:tcW w:w="928" w:type="dxa"/>
            <w:tcBorders>
              <w:top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3</w:t>
            </w:r>
            <w:r w:rsidR="004E7E0A" w:rsidRPr="00765C97">
              <w:rPr>
                <w:rFonts w:ascii="Arial" w:hAnsi="Arial" w:cs="Arial"/>
                <w:sz w:val="16"/>
                <w:szCs w:val="16"/>
              </w:rPr>
              <w:t xml:space="preserve"> </w:t>
            </w:r>
            <w:r w:rsidRPr="00765C97">
              <w:rPr>
                <w:rFonts w:ascii="Arial" w:hAnsi="Arial" w:cs="Arial"/>
                <w:sz w:val="16"/>
                <w:szCs w:val="16"/>
              </w:rPr>
              <w:t>157</w:t>
            </w:r>
          </w:p>
        </w:tc>
        <w:tc>
          <w:tcPr>
            <w:tcW w:w="798" w:type="dxa"/>
            <w:tcBorders>
              <w:top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12</w:t>
            </w:r>
            <w:r w:rsidR="004E7E0A" w:rsidRPr="00765C97">
              <w:rPr>
                <w:rFonts w:ascii="Arial" w:hAnsi="Arial" w:cs="Arial"/>
                <w:sz w:val="16"/>
                <w:szCs w:val="16"/>
              </w:rPr>
              <w:t xml:space="preserve"> </w:t>
            </w:r>
            <w:r w:rsidRPr="00765C97">
              <w:rPr>
                <w:rFonts w:ascii="Arial" w:hAnsi="Arial" w:cs="Arial"/>
                <w:sz w:val="16"/>
                <w:szCs w:val="16"/>
              </w:rPr>
              <w:t>205</w:t>
            </w:r>
          </w:p>
        </w:tc>
        <w:tc>
          <w:tcPr>
            <w:tcW w:w="824" w:type="dxa"/>
            <w:tcBorders>
              <w:top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9</w:t>
            </w:r>
            <w:r w:rsidR="004E7E0A" w:rsidRPr="00765C97">
              <w:rPr>
                <w:rFonts w:ascii="Arial" w:hAnsi="Arial" w:cs="Arial"/>
                <w:sz w:val="16"/>
                <w:szCs w:val="16"/>
              </w:rPr>
              <w:t xml:space="preserve"> </w:t>
            </w:r>
            <w:r w:rsidRPr="00765C97">
              <w:rPr>
                <w:rFonts w:ascii="Arial" w:hAnsi="Arial" w:cs="Arial"/>
                <w:sz w:val="16"/>
                <w:szCs w:val="16"/>
              </w:rPr>
              <w:t>172</w:t>
            </w:r>
          </w:p>
        </w:tc>
        <w:tc>
          <w:tcPr>
            <w:tcW w:w="992" w:type="dxa"/>
            <w:tcBorders>
              <w:top w:val="single" w:sz="4" w:space="0" w:color="auto"/>
            </w:tcBorders>
            <w:vAlign w:val="center"/>
          </w:tcPr>
          <w:p w:rsidR="00B943CF" w:rsidRPr="00765C97" w:rsidRDefault="004E7E0A" w:rsidP="004E7E0A">
            <w:pPr>
              <w:ind w:left="-70"/>
              <w:jc w:val="right"/>
              <w:rPr>
                <w:rFonts w:ascii="Arial" w:hAnsi="Arial" w:cs="Arial"/>
                <w:sz w:val="16"/>
                <w:szCs w:val="16"/>
              </w:rPr>
            </w:pPr>
            <w:r w:rsidRPr="00765C97">
              <w:rPr>
                <w:rFonts w:ascii="Arial" w:hAnsi="Arial" w:cs="Arial"/>
                <w:sz w:val="16"/>
                <w:szCs w:val="16"/>
              </w:rPr>
              <w:t>-</w:t>
            </w:r>
          </w:p>
        </w:tc>
        <w:tc>
          <w:tcPr>
            <w:tcW w:w="851" w:type="dxa"/>
            <w:tcBorders>
              <w:top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909</w:t>
            </w:r>
            <w:r w:rsidR="004E7E0A" w:rsidRPr="00765C97">
              <w:rPr>
                <w:rFonts w:ascii="Arial" w:hAnsi="Arial" w:cs="Arial"/>
                <w:sz w:val="16"/>
                <w:szCs w:val="16"/>
              </w:rPr>
              <w:t xml:space="preserve"> </w:t>
            </w:r>
            <w:r w:rsidRPr="00765C97">
              <w:rPr>
                <w:rFonts w:ascii="Arial" w:hAnsi="Arial" w:cs="Arial"/>
                <w:sz w:val="16"/>
                <w:szCs w:val="16"/>
              </w:rPr>
              <w:t>168</w:t>
            </w:r>
          </w:p>
        </w:tc>
      </w:tr>
      <w:tr w:rsidR="00DC5EE3" w:rsidRPr="00765C97" w:rsidTr="004E7E0A">
        <w:trPr>
          <w:trHeight w:val="255"/>
        </w:trPr>
        <w:tc>
          <w:tcPr>
            <w:tcW w:w="1985" w:type="dxa"/>
            <w:vAlign w:val="center"/>
          </w:tcPr>
          <w:p w:rsidR="00DC5EE3" w:rsidRPr="00765C97" w:rsidRDefault="00DC5EE3" w:rsidP="00B031D9">
            <w:pPr>
              <w:adjustRightInd w:val="0"/>
              <w:rPr>
                <w:rFonts w:ascii="Arial" w:hAnsi="Arial" w:cs="Arial"/>
                <w:i/>
                <w:sz w:val="16"/>
                <w:szCs w:val="16"/>
                <w:lang w:val="pl-PL"/>
              </w:rPr>
            </w:pPr>
            <w:r w:rsidRPr="00765C97">
              <w:rPr>
                <w:rFonts w:ascii="Arial" w:hAnsi="Arial" w:cs="Arial"/>
                <w:i/>
                <w:sz w:val="16"/>
                <w:szCs w:val="16"/>
                <w:lang w:val="pl-PL"/>
              </w:rPr>
              <w:t>w tym:</w:t>
            </w:r>
          </w:p>
        </w:tc>
        <w:tc>
          <w:tcPr>
            <w:tcW w:w="851" w:type="dxa"/>
            <w:vAlign w:val="center"/>
          </w:tcPr>
          <w:p w:rsidR="00DC5EE3" w:rsidRPr="00765C97" w:rsidRDefault="00DC5EE3" w:rsidP="004E7E0A">
            <w:pPr>
              <w:adjustRightInd w:val="0"/>
              <w:ind w:left="-70" w:right="-70"/>
              <w:jc w:val="right"/>
              <w:rPr>
                <w:rFonts w:ascii="Arial" w:hAnsi="Arial" w:cs="Arial"/>
                <w:i/>
                <w:sz w:val="16"/>
                <w:szCs w:val="16"/>
                <w:lang w:val="pl-PL"/>
              </w:rPr>
            </w:pPr>
          </w:p>
        </w:tc>
        <w:tc>
          <w:tcPr>
            <w:tcW w:w="709" w:type="dxa"/>
            <w:vAlign w:val="center"/>
          </w:tcPr>
          <w:p w:rsidR="00DC5EE3" w:rsidRPr="00765C97" w:rsidRDefault="00DC5EE3" w:rsidP="004E7E0A">
            <w:pPr>
              <w:adjustRightInd w:val="0"/>
              <w:ind w:left="-70" w:right="-70"/>
              <w:jc w:val="right"/>
              <w:rPr>
                <w:rFonts w:ascii="Arial" w:hAnsi="Arial" w:cs="Arial"/>
                <w:i/>
                <w:sz w:val="16"/>
                <w:szCs w:val="16"/>
                <w:lang w:val="pl-PL"/>
              </w:rPr>
            </w:pPr>
          </w:p>
        </w:tc>
        <w:tc>
          <w:tcPr>
            <w:tcW w:w="825" w:type="dxa"/>
            <w:vAlign w:val="center"/>
          </w:tcPr>
          <w:p w:rsidR="00DC5EE3" w:rsidRPr="00765C97" w:rsidRDefault="00DC5EE3" w:rsidP="004E7E0A">
            <w:pPr>
              <w:adjustRightInd w:val="0"/>
              <w:ind w:left="-70" w:right="-70"/>
              <w:jc w:val="right"/>
              <w:rPr>
                <w:rFonts w:ascii="Arial" w:hAnsi="Arial" w:cs="Arial"/>
                <w:i/>
                <w:sz w:val="16"/>
                <w:szCs w:val="16"/>
                <w:lang w:val="pl-PL"/>
              </w:rPr>
            </w:pPr>
          </w:p>
        </w:tc>
        <w:tc>
          <w:tcPr>
            <w:tcW w:w="928" w:type="dxa"/>
            <w:vAlign w:val="center"/>
          </w:tcPr>
          <w:p w:rsidR="00DC5EE3" w:rsidRPr="00765C97" w:rsidRDefault="00DC5EE3" w:rsidP="004E7E0A">
            <w:pPr>
              <w:adjustRightInd w:val="0"/>
              <w:ind w:left="-70" w:right="-70"/>
              <w:jc w:val="right"/>
              <w:rPr>
                <w:rFonts w:ascii="Arial" w:hAnsi="Arial" w:cs="Arial"/>
                <w:i/>
                <w:sz w:val="16"/>
                <w:szCs w:val="16"/>
                <w:lang w:val="pl-PL"/>
              </w:rPr>
            </w:pPr>
          </w:p>
        </w:tc>
        <w:tc>
          <w:tcPr>
            <w:tcW w:w="798" w:type="dxa"/>
            <w:vAlign w:val="center"/>
          </w:tcPr>
          <w:p w:rsidR="00DC5EE3" w:rsidRPr="00765C97" w:rsidRDefault="00DC5EE3" w:rsidP="004E7E0A">
            <w:pPr>
              <w:adjustRightInd w:val="0"/>
              <w:ind w:left="-70" w:right="-70"/>
              <w:jc w:val="right"/>
              <w:rPr>
                <w:rFonts w:ascii="Arial" w:hAnsi="Arial" w:cs="Arial"/>
                <w:i/>
                <w:sz w:val="16"/>
                <w:szCs w:val="16"/>
                <w:lang w:val="pl-PL"/>
              </w:rPr>
            </w:pPr>
          </w:p>
        </w:tc>
        <w:tc>
          <w:tcPr>
            <w:tcW w:w="824" w:type="dxa"/>
            <w:vAlign w:val="center"/>
          </w:tcPr>
          <w:p w:rsidR="00DC5EE3" w:rsidRPr="00765C97" w:rsidRDefault="00DC5EE3" w:rsidP="004E7E0A">
            <w:pPr>
              <w:ind w:left="-70" w:right="-70"/>
              <w:jc w:val="right"/>
              <w:rPr>
                <w:rFonts w:ascii="Arial" w:hAnsi="Arial" w:cs="Arial"/>
                <w:sz w:val="16"/>
                <w:szCs w:val="16"/>
              </w:rPr>
            </w:pPr>
          </w:p>
        </w:tc>
        <w:tc>
          <w:tcPr>
            <w:tcW w:w="992" w:type="dxa"/>
            <w:vAlign w:val="center"/>
          </w:tcPr>
          <w:p w:rsidR="00DC5EE3" w:rsidRPr="00765C97" w:rsidRDefault="00DC5EE3" w:rsidP="004E7E0A">
            <w:pPr>
              <w:ind w:left="-70" w:right="-70"/>
              <w:jc w:val="right"/>
              <w:rPr>
                <w:rFonts w:ascii="Arial" w:hAnsi="Arial" w:cs="Arial"/>
                <w:sz w:val="16"/>
                <w:szCs w:val="16"/>
              </w:rPr>
            </w:pPr>
          </w:p>
        </w:tc>
        <w:tc>
          <w:tcPr>
            <w:tcW w:w="851" w:type="dxa"/>
            <w:vAlign w:val="center"/>
          </w:tcPr>
          <w:p w:rsidR="00DC5EE3" w:rsidRPr="00765C97" w:rsidRDefault="00DC5EE3" w:rsidP="004E7E0A">
            <w:pPr>
              <w:adjustRightInd w:val="0"/>
              <w:ind w:left="-70" w:right="-70"/>
              <w:jc w:val="right"/>
              <w:rPr>
                <w:rFonts w:ascii="Arial" w:hAnsi="Arial" w:cs="Arial"/>
                <w:i/>
                <w:sz w:val="16"/>
                <w:szCs w:val="16"/>
                <w:lang w:val="pl-PL"/>
              </w:rPr>
            </w:pPr>
          </w:p>
        </w:tc>
      </w:tr>
      <w:tr w:rsidR="00B943CF" w:rsidRPr="00765C97" w:rsidTr="004E7E0A">
        <w:trPr>
          <w:trHeight w:val="255"/>
        </w:trPr>
        <w:tc>
          <w:tcPr>
            <w:tcW w:w="1985" w:type="dxa"/>
            <w:vAlign w:val="center"/>
          </w:tcPr>
          <w:p w:rsidR="00B943CF" w:rsidRPr="00765C97" w:rsidRDefault="00B943CF" w:rsidP="00B031D9">
            <w:pPr>
              <w:adjustRightInd w:val="0"/>
              <w:rPr>
                <w:rFonts w:ascii="Arial" w:hAnsi="Arial" w:cs="Arial"/>
                <w:i/>
                <w:sz w:val="16"/>
                <w:szCs w:val="16"/>
                <w:lang w:val="pl-PL"/>
              </w:rPr>
            </w:pPr>
            <w:r w:rsidRPr="00765C97">
              <w:rPr>
                <w:rFonts w:ascii="Arial" w:hAnsi="Arial" w:cs="Arial"/>
                <w:i/>
                <w:sz w:val="16"/>
                <w:szCs w:val="16"/>
                <w:lang w:val="pl-PL"/>
              </w:rPr>
              <w:t xml:space="preserve">  przychody ze sprzedaży:</w:t>
            </w:r>
          </w:p>
        </w:tc>
        <w:tc>
          <w:tcPr>
            <w:tcW w:w="851"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568</w:t>
            </w:r>
            <w:r w:rsidR="004E7E0A" w:rsidRPr="00765C97">
              <w:rPr>
                <w:rFonts w:ascii="Arial" w:hAnsi="Arial" w:cs="Arial"/>
                <w:i/>
                <w:iCs/>
                <w:sz w:val="16"/>
                <w:szCs w:val="16"/>
              </w:rPr>
              <w:t xml:space="preserve"> </w:t>
            </w:r>
            <w:r w:rsidRPr="00765C97">
              <w:rPr>
                <w:rFonts w:ascii="Arial" w:hAnsi="Arial" w:cs="Arial"/>
                <w:i/>
                <w:iCs/>
                <w:sz w:val="16"/>
                <w:szCs w:val="16"/>
              </w:rPr>
              <w:t>124</w:t>
            </w:r>
          </w:p>
        </w:tc>
        <w:tc>
          <w:tcPr>
            <w:tcW w:w="709"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221</w:t>
            </w:r>
            <w:r w:rsidR="004E7E0A" w:rsidRPr="00765C97">
              <w:rPr>
                <w:rFonts w:ascii="Arial" w:hAnsi="Arial" w:cs="Arial"/>
                <w:i/>
                <w:iCs/>
                <w:sz w:val="16"/>
                <w:szCs w:val="16"/>
              </w:rPr>
              <w:t xml:space="preserve"> </w:t>
            </w:r>
            <w:r w:rsidRPr="00765C97">
              <w:rPr>
                <w:rFonts w:ascii="Arial" w:hAnsi="Arial" w:cs="Arial"/>
                <w:i/>
                <w:iCs/>
                <w:sz w:val="16"/>
                <w:szCs w:val="16"/>
              </w:rPr>
              <w:t>009</w:t>
            </w:r>
          </w:p>
        </w:tc>
        <w:tc>
          <w:tcPr>
            <w:tcW w:w="825"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75</w:t>
            </w:r>
            <w:r w:rsidR="004E7E0A" w:rsidRPr="00765C97">
              <w:rPr>
                <w:rFonts w:ascii="Arial" w:hAnsi="Arial" w:cs="Arial"/>
                <w:i/>
                <w:iCs/>
                <w:sz w:val="16"/>
                <w:szCs w:val="16"/>
              </w:rPr>
              <w:t xml:space="preserve"> </w:t>
            </w:r>
            <w:r w:rsidRPr="00765C97">
              <w:rPr>
                <w:rFonts w:ascii="Arial" w:hAnsi="Arial" w:cs="Arial"/>
                <w:i/>
                <w:iCs/>
                <w:sz w:val="16"/>
                <w:szCs w:val="16"/>
              </w:rPr>
              <w:t>065</w:t>
            </w:r>
          </w:p>
        </w:tc>
        <w:tc>
          <w:tcPr>
            <w:tcW w:w="928"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342</w:t>
            </w:r>
          </w:p>
        </w:tc>
        <w:tc>
          <w:tcPr>
            <w:tcW w:w="798"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11</w:t>
            </w:r>
            <w:r w:rsidR="004E7E0A" w:rsidRPr="00765C97">
              <w:rPr>
                <w:rFonts w:ascii="Arial" w:hAnsi="Arial" w:cs="Arial"/>
                <w:i/>
                <w:iCs/>
                <w:sz w:val="16"/>
                <w:szCs w:val="16"/>
              </w:rPr>
              <w:t xml:space="preserve"> </w:t>
            </w:r>
            <w:r w:rsidRPr="00765C97">
              <w:rPr>
                <w:rFonts w:ascii="Arial" w:hAnsi="Arial" w:cs="Arial"/>
                <w:i/>
                <w:iCs/>
                <w:sz w:val="16"/>
                <w:szCs w:val="16"/>
              </w:rPr>
              <w:t>342</w:t>
            </w:r>
          </w:p>
        </w:tc>
        <w:tc>
          <w:tcPr>
            <w:tcW w:w="824"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7</w:t>
            </w:r>
            <w:r w:rsidR="004E7E0A" w:rsidRPr="00765C97">
              <w:rPr>
                <w:rFonts w:ascii="Arial" w:hAnsi="Arial" w:cs="Arial"/>
                <w:i/>
                <w:iCs/>
                <w:sz w:val="16"/>
                <w:szCs w:val="16"/>
              </w:rPr>
              <w:t xml:space="preserve"> </w:t>
            </w:r>
            <w:r w:rsidRPr="00765C97">
              <w:rPr>
                <w:rFonts w:ascii="Arial" w:hAnsi="Arial" w:cs="Arial"/>
                <w:i/>
                <w:iCs/>
                <w:sz w:val="16"/>
                <w:szCs w:val="16"/>
              </w:rPr>
              <w:t>994</w:t>
            </w:r>
          </w:p>
        </w:tc>
        <w:tc>
          <w:tcPr>
            <w:tcW w:w="992" w:type="dxa"/>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p>
        </w:tc>
        <w:tc>
          <w:tcPr>
            <w:tcW w:w="851"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883</w:t>
            </w:r>
            <w:r w:rsidR="004E7E0A" w:rsidRPr="00765C97">
              <w:rPr>
                <w:rFonts w:ascii="Arial" w:hAnsi="Arial" w:cs="Arial"/>
                <w:i/>
                <w:iCs/>
                <w:sz w:val="16"/>
                <w:szCs w:val="16"/>
              </w:rPr>
              <w:t xml:space="preserve"> </w:t>
            </w:r>
            <w:r w:rsidRPr="00765C97">
              <w:rPr>
                <w:rFonts w:ascii="Arial" w:hAnsi="Arial" w:cs="Arial"/>
                <w:i/>
                <w:iCs/>
                <w:sz w:val="16"/>
                <w:szCs w:val="16"/>
              </w:rPr>
              <w:t>876</w:t>
            </w:r>
          </w:p>
        </w:tc>
      </w:tr>
      <w:tr w:rsidR="00DC5EE3" w:rsidRPr="00765C97" w:rsidTr="004E7E0A">
        <w:trPr>
          <w:trHeight w:val="81"/>
        </w:trPr>
        <w:tc>
          <w:tcPr>
            <w:tcW w:w="1985" w:type="dxa"/>
            <w:vAlign w:val="center"/>
          </w:tcPr>
          <w:p w:rsidR="00DC5EE3" w:rsidRPr="00765C97" w:rsidRDefault="00DC5EE3" w:rsidP="00B031D9">
            <w:pPr>
              <w:adjustRightInd w:val="0"/>
              <w:ind w:left="110"/>
              <w:jc w:val="right"/>
              <w:rPr>
                <w:rFonts w:ascii="Arial" w:hAnsi="Arial" w:cs="Arial"/>
                <w:i/>
                <w:sz w:val="16"/>
                <w:szCs w:val="16"/>
                <w:lang w:val="pl-PL"/>
              </w:rPr>
            </w:pPr>
          </w:p>
        </w:tc>
        <w:tc>
          <w:tcPr>
            <w:tcW w:w="851" w:type="dxa"/>
            <w:vAlign w:val="center"/>
          </w:tcPr>
          <w:p w:rsidR="00DC5EE3" w:rsidRPr="00765C97" w:rsidRDefault="00DC5EE3" w:rsidP="004E7E0A">
            <w:pPr>
              <w:ind w:left="-70" w:right="-70"/>
              <w:jc w:val="right"/>
              <w:rPr>
                <w:rFonts w:ascii="Arial" w:hAnsi="Arial" w:cs="Arial"/>
                <w:sz w:val="16"/>
                <w:szCs w:val="16"/>
              </w:rPr>
            </w:pPr>
          </w:p>
        </w:tc>
        <w:tc>
          <w:tcPr>
            <w:tcW w:w="709" w:type="dxa"/>
            <w:vAlign w:val="center"/>
          </w:tcPr>
          <w:p w:rsidR="00DC5EE3" w:rsidRPr="00765C97" w:rsidRDefault="00DC5EE3" w:rsidP="004E7E0A">
            <w:pPr>
              <w:ind w:left="-70" w:right="-70"/>
              <w:jc w:val="right"/>
              <w:rPr>
                <w:rFonts w:ascii="Arial" w:hAnsi="Arial" w:cs="Arial"/>
                <w:sz w:val="16"/>
                <w:szCs w:val="16"/>
              </w:rPr>
            </w:pPr>
          </w:p>
        </w:tc>
        <w:tc>
          <w:tcPr>
            <w:tcW w:w="825" w:type="dxa"/>
            <w:vAlign w:val="center"/>
          </w:tcPr>
          <w:p w:rsidR="00DC5EE3" w:rsidRPr="00765C97" w:rsidRDefault="00DC5EE3" w:rsidP="004E7E0A">
            <w:pPr>
              <w:ind w:left="-70" w:right="-70"/>
              <w:jc w:val="right"/>
              <w:rPr>
                <w:rFonts w:ascii="Arial" w:hAnsi="Arial" w:cs="Arial"/>
                <w:sz w:val="16"/>
                <w:szCs w:val="16"/>
              </w:rPr>
            </w:pPr>
          </w:p>
        </w:tc>
        <w:tc>
          <w:tcPr>
            <w:tcW w:w="928" w:type="dxa"/>
            <w:vAlign w:val="center"/>
          </w:tcPr>
          <w:p w:rsidR="00DC5EE3" w:rsidRPr="00765C97" w:rsidRDefault="00DC5EE3" w:rsidP="004E7E0A">
            <w:pPr>
              <w:ind w:left="-70" w:right="-70"/>
              <w:jc w:val="right"/>
              <w:rPr>
                <w:rFonts w:ascii="Arial" w:hAnsi="Arial" w:cs="Arial"/>
                <w:sz w:val="16"/>
                <w:szCs w:val="16"/>
              </w:rPr>
            </w:pPr>
          </w:p>
        </w:tc>
        <w:tc>
          <w:tcPr>
            <w:tcW w:w="798" w:type="dxa"/>
            <w:vAlign w:val="center"/>
          </w:tcPr>
          <w:p w:rsidR="00DC5EE3" w:rsidRPr="00765C97" w:rsidRDefault="00DC5EE3" w:rsidP="004E7E0A">
            <w:pPr>
              <w:ind w:left="-70" w:right="-70"/>
              <w:jc w:val="right"/>
              <w:rPr>
                <w:rFonts w:ascii="Arial" w:hAnsi="Arial" w:cs="Arial"/>
                <w:sz w:val="16"/>
                <w:szCs w:val="16"/>
              </w:rPr>
            </w:pPr>
          </w:p>
        </w:tc>
        <w:tc>
          <w:tcPr>
            <w:tcW w:w="824" w:type="dxa"/>
            <w:vAlign w:val="center"/>
          </w:tcPr>
          <w:p w:rsidR="00DC5EE3" w:rsidRPr="00765C97" w:rsidRDefault="00DC5EE3" w:rsidP="004E7E0A">
            <w:pPr>
              <w:ind w:left="-70" w:right="-70"/>
              <w:jc w:val="right"/>
              <w:rPr>
                <w:rFonts w:ascii="Arial" w:hAnsi="Arial" w:cs="Arial"/>
                <w:sz w:val="16"/>
                <w:szCs w:val="16"/>
              </w:rPr>
            </w:pPr>
          </w:p>
        </w:tc>
        <w:tc>
          <w:tcPr>
            <w:tcW w:w="992" w:type="dxa"/>
            <w:vAlign w:val="center"/>
          </w:tcPr>
          <w:p w:rsidR="00DC5EE3" w:rsidRPr="00765C97" w:rsidRDefault="00DC5EE3" w:rsidP="004E7E0A">
            <w:pPr>
              <w:ind w:left="-70" w:right="-70"/>
              <w:jc w:val="right"/>
              <w:rPr>
                <w:rFonts w:ascii="Arial" w:hAnsi="Arial" w:cs="Arial"/>
                <w:sz w:val="16"/>
                <w:szCs w:val="16"/>
              </w:rPr>
            </w:pPr>
          </w:p>
        </w:tc>
        <w:tc>
          <w:tcPr>
            <w:tcW w:w="851" w:type="dxa"/>
            <w:vAlign w:val="center"/>
          </w:tcPr>
          <w:p w:rsidR="00DC5EE3" w:rsidRPr="00765C97" w:rsidRDefault="00DC5EE3" w:rsidP="004E7E0A">
            <w:pPr>
              <w:ind w:left="-70" w:right="-70"/>
              <w:jc w:val="right"/>
              <w:rPr>
                <w:rFonts w:ascii="Arial" w:hAnsi="Arial" w:cs="Arial"/>
                <w:sz w:val="16"/>
                <w:szCs w:val="16"/>
              </w:rPr>
            </w:pPr>
          </w:p>
        </w:tc>
      </w:tr>
      <w:tr w:rsidR="00B943CF" w:rsidRPr="00765C97" w:rsidTr="004E7E0A">
        <w:trPr>
          <w:trHeight w:val="255"/>
        </w:trPr>
        <w:tc>
          <w:tcPr>
            <w:tcW w:w="1985" w:type="dxa"/>
            <w:vAlign w:val="center"/>
          </w:tcPr>
          <w:p w:rsidR="00B943CF" w:rsidRPr="00765C97" w:rsidRDefault="00B943CF" w:rsidP="00B01332">
            <w:pPr>
              <w:adjustRightInd w:val="0"/>
              <w:ind w:left="110"/>
              <w:jc w:val="right"/>
              <w:rPr>
                <w:rFonts w:ascii="Arial" w:hAnsi="Arial" w:cs="Arial"/>
                <w:i/>
                <w:sz w:val="16"/>
                <w:szCs w:val="16"/>
                <w:lang w:val="pl-PL"/>
              </w:rPr>
            </w:pPr>
            <w:r w:rsidRPr="00765C97">
              <w:rPr>
                <w:rFonts w:ascii="Arial" w:hAnsi="Arial" w:cs="Arial"/>
                <w:i/>
                <w:sz w:val="16"/>
                <w:szCs w:val="16"/>
                <w:lang w:val="pl-PL"/>
              </w:rPr>
              <w:t xml:space="preserve"> na rzecz klientów z sektora Telekomunikacja, Media, IT </w:t>
            </w:r>
          </w:p>
        </w:tc>
        <w:tc>
          <w:tcPr>
            <w:tcW w:w="851" w:type="dxa"/>
            <w:vAlign w:val="center"/>
          </w:tcPr>
          <w:p w:rsidR="00B943CF" w:rsidRPr="00765C97" w:rsidRDefault="00B943CF" w:rsidP="004E7E0A">
            <w:pPr>
              <w:ind w:left="-70"/>
              <w:jc w:val="right"/>
              <w:rPr>
                <w:rFonts w:ascii="Arial" w:hAnsi="Arial" w:cs="Arial"/>
                <w:i/>
                <w:iCs/>
                <w:sz w:val="14"/>
                <w:szCs w:val="14"/>
              </w:rPr>
            </w:pPr>
            <w:r w:rsidRPr="00765C97">
              <w:rPr>
                <w:rFonts w:ascii="Arial" w:hAnsi="Arial" w:cs="Arial"/>
                <w:i/>
                <w:iCs/>
                <w:sz w:val="14"/>
                <w:szCs w:val="14"/>
              </w:rPr>
              <w:t>79 698</w:t>
            </w:r>
          </w:p>
        </w:tc>
        <w:tc>
          <w:tcPr>
            <w:tcW w:w="709" w:type="dxa"/>
            <w:vAlign w:val="center"/>
          </w:tcPr>
          <w:p w:rsidR="00B943CF" w:rsidRPr="00765C97" w:rsidRDefault="00B943CF" w:rsidP="004E7E0A">
            <w:pPr>
              <w:ind w:left="-70"/>
              <w:jc w:val="right"/>
              <w:rPr>
                <w:rFonts w:ascii="Arial" w:hAnsi="Arial" w:cs="Arial"/>
                <w:i/>
                <w:iCs/>
                <w:sz w:val="14"/>
                <w:szCs w:val="14"/>
              </w:rPr>
            </w:pPr>
            <w:r w:rsidRPr="00765C97">
              <w:rPr>
                <w:rFonts w:ascii="Arial" w:hAnsi="Arial" w:cs="Arial"/>
                <w:i/>
                <w:iCs/>
                <w:sz w:val="14"/>
                <w:szCs w:val="14"/>
              </w:rPr>
              <w:t>91 154</w:t>
            </w:r>
          </w:p>
        </w:tc>
        <w:tc>
          <w:tcPr>
            <w:tcW w:w="825" w:type="dxa"/>
            <w:vAlign w:val="center"/>
          </w:tcPr>
          <w:p w:rsidR="00B943CF" w:rsidRPr="00765C97" w:rsidRDefault="00B943CF" w:rsidP="004E7E0A">
            <w:pPr>
              <w:ind w:left="-70"/>
              <w:jc w:val="right"/>
              <w:rPr>
                <w:rFonts w:ascii="Arial" w:hAnsi="Arial" w:cs="Arial"/>
                <w:i/>
                <w:iCs/>
                <w:sz w:val="14"/>
                <w:szCs w:val="14"/>
              </w:rPr>
            </w:pPr>
            <w:r w:rsidRPr="00765C97">
              <w:rPr>
                <w:rFonts w:ascii="Arial" w:hAnsi="Arial" w:cs="Arial"/>
                <w:i/>
                <w:iCs/>
                <w:sz w:val="14"/>
                <w:szCs w:val="14"/>
              </w:rPr>
              <w:t>31 479</w:t>
            </w:r>
          </w:p>
        </w:tc>
        <w:tc>
          <w:tcPr>
            <w:tcW w:w="928" w:type="dxa"/>
            <w:vAlign w:val="center"/>
          </w:tcPr>
          <w:p w:rsidR="00B943CF"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w:t>
            </w:r>
          </w:p>
        </w:tc>
        <w:tc>
          <w:tcPr>
            <w:tcW w:w="798" w:type="dxa"/>
            <w:vAlign w:val="center"/>
          </w:tcPr>
          <w:p w:rsidR="00B943CF"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w:t>
            </w:r>
          </w:p>
        </w:tc>
        <w:tc>
          <w:tcPr>
            <w:tcW w:w="824" w:type="dxa"/>
            <w:vAlign w:val="center"/>
          </w:tcPr>
          <w:p w:rsidR="00B943CF"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w:t>
            </w:r>
          </w:p>
        </w:tc>
        <w:tc>
          <w:tcPr>
            <w:tcW w:w="992" w:type="dxa"/>
            <w:vAlign w:val="center"/>
          </w:tcPr>
          <w:p w:rsidR="00B943CF"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w:t>
            </w:r>
          </w:p>
        </w:tc>
        <w:tc>
          <w:tcPr>
            <w:tcW w:w="851" w:type="dxa"/>
            <w:vAlign w:val="center"/>
          </w:tcPr>
          <w:p w:rsidR="00B943CF" w:rsidRPr="00765C97" w:rsidRDefault="00B943CF" w:rsidP="004E7E0A">
            <w:pPr>
              <w:ind w:left="-70"/>
              <w:jc w:val="right"/>
              <w:rPr>
                <w:rFonts w:ascii="Arial" w:hAnsi="Arial" w:cs="Arial"/>
                <w:i/>
                <w:iCs/>
                <w:sz w:val="14"/>
                <w:szCs w:val="14"/>
              </w:rPr>
            </w:pPr>
            <w:r w:rsidRPr="00765C97">
              <w:rPr>
                <w:rFonts w:ascii="Arial" w:hAnsi="Arial" w:cs="Arial"/>
                <w:i/>
                <w:iCs/>
                <w:sz w:val="14"/>
                <w:szCs w:val="14"/>
              </w:rPr>
              <w:t>202 331</w:t>
            </w:r>
          </w:p>
        </w:tc>
      </w:tr>
      <w:tr w:rsidR="00135A9A" w:rsidRPr="00765C97" w:rsidTr="004E7E0A">
        <w:trPr>
          <w:trHeight w:val="255"/>
        </w:trPr>
        <w:tc>
          <w:tcPr>
            <w:tcW w:w="1985" w:type="dxa"/>
            <w:vAlign w:val="center"/>
          </w:tcPr>
          <w:p w:rsidR="00135A9A" w:rsidRPr="00765C97" w:rsidRDefault="00135A9A" w:rsidP="00B01332">
            <w:pPr>
              <w:adjustRightInd w:val="0"/>
              <w:ind w:left="110"/>
              <w:jc w:val="right"/>
              <w:rPr>
                <w:rFonts w:ascii="Arial" w:hAnsi="Arial" w:cs="Arial"/>
                <w:sz w:val="16"/>
                <w:szCs w:val="16"/>
                <w:lang w:val="pl-PL"/>
              </w:rPr>
            </w:pPr>
            <w:r w:rsidRPr="00765C97">
              <w:rPr>
                <w:rFonts w:ascii="Arial" w:hAnsi="Arial" w:cs="Arial"/>
                <w:i/>
                <w:sz w:val="16"/>
                <w:szCs w:val="16"/>
                <w:lang w:val="pl-PL"/>
              </w:rPr>
              <w:t>na rzecz klientów z sektora Finanse i Bankowość</w:t>
            </w:r>
          </w:p>
        </w:tc>
        <w:tc>
          <w:tcPr>
            <w:tcW w:w="851"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211 606</w:t>
            </w:r>
          </w:p>
        </w:tc>
        <w:tc>
          <w:tcPr>
            <w:tcW w:w="709"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3 223</w:t>
            </w:r>
          </w:p>
        </w:tc>
        <w:tc>
          <w:tcPr>
            <w:tcW w:w="825"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14 610</w:t>
            </w:r>
          </w:p>
        </w:tc>
        <w:tc>
          <w:tcPr>
            <w:tcW w:w="928"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798"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824"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992"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851"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229 439</w:t>
            </w:r>
          </w:p>
        </w:tc>
      </w:tr>
      <w:tr w:rsidR="00135A9A" w:rsidRPr="00765C97" w:rsidTr="004E7E0A">
        <w:trPr>
          <w:trHeight w:val="255"/>
        </w:trPr>
        <w:tc>
          <w:tcPr>
            <w:tcW w:w="1985" w:type="dxa"/>
            <w:vAlign w:val="center"/>
          </w:tcPr>
          <w:p w:rsidR="00135A9A" w:rsidRPr="00765C97" w:rsidRDefault="00135A9A" w:rsidP="00B01332">
            <w:pPr>
              <w:ind w:left="110"/>
              <w:jc w:val="right"/>
              <w:rPr>
                <w:rFonts w:ascii="Arial" w:hAnsi="Arial" w:cs="Arial"/>
                <w:sz w:val="16"/>
                <w:szCs w:val="16"/>
                <w:lang w:val="pl-PL"/>
              </w:rPr>
            </w:pPr>
            <w:r w:rsidRPr="00765C97">
              <w:rPr>
                <w:rFonts w:ascii="Arial" w:hAnsi="Arial" w:cs="Arial"/>
                <w:i/>
                <w:sz w:val="16"/>
                <w:szCs w:val="16"/>
                <w:lang w:val="pl-PL"/>
              </w:rPr>
              <w:t>na rzecz klientów z sektora Handel i Usługi</w:t>
            </w:r>
          </w:p>
        </w:tc>
        <w:tc>
          <w:tcPr>
            <w:tcW w:w="851"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37 302</w:t>
            </w:r>
          </w:p>
        </w:tc>
        <w:tc>
          <w:tcPr>
            <w:tcW w:w="709"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8 604</w:t>
            </w:r>
          </w:p>
        </w:tc>
        <w:tc>
          <w:tcPr>
            <w:tcW w:w="825"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25 709</w:t>
            </w:r>
          </w:p>
        </w:tc>
        <w:tc>
          <w:tcPr>
            <w:tcW w:w="928"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798"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824"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992"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851"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71 615</w:t>
            </w:r>
          </w:p>
        </w:tc>
      </w:tr>
      <w:tr w:rsidR="00135A9A" w:rsidRPr="00765C97" w:rsidTr="004E7E0A">
        <w:trPr>
          <w:trHeight w:val="255"/>
        </w:trPr>
        <w:tc>
          <w:tcPr>
            <w:tcW w:w="1985" w:type="dxa"/>
            <w:vAlign w:val="center"/>
          </w:tcPr>
          <w:p w:rsidR="00135A9A" w:rsidRPr="00765C97" w:rsidRDefault="00135A9A" w:rsidP="00B01332">
            <w:pPr>
              <w:ind w:left="110"/>
              <w:jc w:val="right"/>
              <w:rPr>
                <w:rFonts w:ascii="Arial" w:hAnsi="Arial" w:cs="Arial"/>
                <w:i/>
                <w:sz w:val="16"/>
                <w:szCs w:val="16"/>
                <w:lang w:val="pl-PL"/>
              </w:rPr>
            </w:pPr>
            <w:r w:rsidRPr="00765C97">
              <w:rPr>
                <w:rFonts w:ascii="Arial" w:hAnsi="Arial" w:cs="Arial"/>
                <w:i/>
                <w:sz w:val="16"/>
                <w:szCs w:val="16"/>
                <w:lang w:val="pl-PL"/>
              </w:rPr>
              <w:t>na rzecz klientów z sektora Przemysł i Utilities</w:t>
            </w:r>
          </w:p>
        </w:tc>
        <w:tc>
          <w:tcPr>
            <w:tcW w:w="851"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64 218</w:t>
            </w:r>
          </w:p>
        </w:tc>
        <w:tc>
          <w:tcPr>
            <w:tcW w:w="709"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3 252</w:t>
            </w:r>
          </w:p>
        </w:tc>
        <w:tc>
          <w:tcPr>
            <w:tcW w:w="825"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2 719</w:t>
            </w:r>
          </w:p>
        </w:tc>
        <w:tc>
          <w:tcPr>
            <w:tcW w:w="928"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798"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824"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992"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851"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70 189</w:t>
            </w:r>
          </w:p>
        </w:tc>
      </w:tr>
      <w:tr w:rsidR="00135A9A" w:rsidRPr="00765C97" w:rsidTr="004E7E0A">
        <w:trPr>
          <w:trHeight w:val="255"/>
        </w:trPr>
        <w:tc>
          <w:tcPr>
            <w:tcW w:w="1985" w:type="dxa"/>
            <w:vAlign w:val="center"/>
          </w:tcPr>
          <w:p w:rsidR="00135A9A" w:rsidRPr="00765C97" w:rsidRDefault="00135A9A" w:rsidP="00B01332">
            <w:pPr>
              <w:ind w:left="110"/>
              <w:jc w:val="right"/>
              <w:rPr>
                <w:rFonts w:ascii="Arial" w:hAnsi="Arial" w:cs="Arial"/>
                <w:sz w:val="16"/>
                <w:szCs w:val="16"/>
                <w:lang w:val="pl-PL"/>
              </w:rPr>
            </w:pPr>
            <w:r w:rsidRPr="00765C97">
              <w:rPr>
                <w:rFonts w:ascii="Arial" w:hAnsi="Arial" w:cs="Arial"/>
                <w:i/>
                <w:sz w:val="16"/>
                <w:szCs w:val="16"/>
                <w:lang w:val="pl-PL"/>
              </w:rPr>
              <w:t>na rzecz klientów z Sektora Publicznego</w:t>
            </w:r>
          </w:p>
        </w:tc>
        <w:tc>
          <w:tcPr>
            <w:tcW w:w="851"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101 175</w:t>
            </w:r>
          </w:p>
        </w:tc>
        <w:tc>
          <w:tcPr>
            <w:tcW w:w="709"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95</w:t>
            </w:r>
          </w:p>
        </w:tc>
        <w:tc>
          <w:tcPr>
            <w:tcW w:w="825"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492</w:t>
            </w:r>
          </w:p>
        </w:tc>
        <w:tc>
          <w:tcPr>
            <w:tcW w:w="928"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798"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824"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992"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851"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101 762</w:t>
            </w:r>
          </w:p>
        </w:tc>
      </w:tr>
      <w:tr w:rsidR="00135A9A" w:rsidRPr="00765C97" w:rsidTr="004E7E0A">
        <w:trPr>
          <w:trHeight w:val="255"/>
        </w:trPr>
        <w:tc>
          <w:tcPr>
            <w:tcW w:w="1985" w:type="dxa"/>
            <w:vAlign w:val="center"/>
          </w:tcPr>
          <w:p w:rsidR="00135A9A" w:rsidRPr="00765C97" w:rsidRDefault="00135A9A" w:rsidP="00B01332">
            <w:pPr>
              <w:ind w:left="110"/>
              <w:jc w:val="right"/>
              <w:rPr>
                <w:rFonts w:ascii="Arial" w:hAnsi="Arial" w:cs="Arial"/>
                <w:sz w:val="16"/>
                <w:szCs w:val="16"/>
                <w:lang w:val="pl-PL"/>
              </w:rPr>
            </w:pPr>
            <w:r w:rsidRPr="00765C97">
              <w:rPr>
                <w:rFonts w:ascii="Arial" w:hAnsi="Arial" w:cs="Arial"/>
                <w:i/>
                <w:sz w:val="16"/>
                <w:szCs w:val="16"/>
                <w:lang w:val="pl-PL"/>
              </w:rPr>
              <w:t xml:space="preserve">na rzecz Małych i Średnich Przedsiębiorstw </w:t>
            </w:r>
          </w:p>
        </w:tc>
        <w:tc>
          <w:tcPr>
            <w:tcW w:w="851"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74 049</w:t>
            </w:r>
          </w:p>
        </w:tc>
        <w:tc>
          <w:tcPr>
            <w:tcW w:w="709"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114 681</w:t>
            </w:r>
          </w:p>
        </w:tc>
        <w:tc>
          <w:tcPr>
            <w:tcW w:w="825"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w:t>
            </w:r>
          </w:p>
        </w:tc>
        <w:tc>
          <w:tcPr>
            <w:tcW w:w="928"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798"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824"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992" w:type="dxa"/>
            <w:vAlign w:val="center"/>
          </w:tcPr>
          <w:p w:rsidR="00135A9A" w:rsidRPr="00765C97" w:rsidRDefault="00135A9A" w:rsidP="00773331">
            <w:pPr>
              <w:ind w:left="-70"/>
              <w:jc w:val="right"/>
              <w:rPr>
                <w:rFonts w:ascii="Arial" w:hAnsi="Arial" w:cs="Arial"/>
                <w:i/>
                <w:iCs/>
                <w:sz w:val="14"/>
                <w:szCs w:val="14"/>
              </w:rPr>
            </w:pPr>
            <w:r w:rsidRPr="00765C97">
              <w:rPr>
                <w:rFonts w:ascii="Arial" w:hAnsi="Arial" w:cs="Arial"/>
                <w:i/>
                <w:iCs/>
                <w:sz w:val="14"/>
                <w:szCs w:val="14"/>
              </w:rPr>
              <w:t>-</w:t>
            </w:r>
          </w:p>
        </w:tc>
        <w:tc>
          <w:tcPr>
            <w:tcW w:w="851" w:type="dxa"/>
            <w:vAlign w:val="center"/>
          </w:tcPr>
          <w:p w:rsidR="00135A9A"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188 730</w:t>
            </w:r>
          </w:p>
        </w:tc>
      </w:tr>
      <w:tr w:rsidR="00B943CF" w:rsidRPr="00765C97" w:rsidTr="004E7E0A">
        <w:trPr>
          <w:trHeight w:val="255"/>
        </w:trPr>
        <w:tc>
          <w:tcPr>
            <w:tcW w:w="1985" w:type="dxa"/>
            <w:vAlign w:val="center"/>
          </w:tcPr>
          <w:p w:rsidR="00B943CF" w:rsidRPr="00765C97" w:rsidRDefault="00B943CF" w:rsidP="00B01332">
            <w:pPr>
              <w:ind w:left="110"/>
              <w:jc w:val="right"/>
              <w:rPr>
                <w:rFonts w:ascii="Arial" w:hAnsi="Arial" w:cs="Arial"/>
                <w:sz w:val="16"/>
                <w:szCs w:val="16"/>
                <w:lang w:val="pl-PL"/>
              </w:rPr>
            </w:pPr>
            <w:r w:rsidRPr="00765C97">
              <w:rPr>
                <w:rFonts w:ascii="Arial" w:hAnsi="Arial" w:cs="Arial"/>
                <w:i/>
                <w:sz w:val="16"/>
                <w:szCs w:val="16"/>
                <w:lang w:val="pl-PL"/>
              </w:rPr>
              <w:t xml:space="preserve">na rzecz pozostałych klientów </w:t>
            </w:r>
          </w:p>
        </w:tc>
        <w:tc>
          <w:tcPr>
            <w:tcW w:w="851" w:type="dxa"/>
            <w:vAlign w:val="center"/>
          </w:tcPr>
          <w:p w:rsidR="00B943CF" w:rsidRPr="00765C97" w:rsidRDefault="00B943CF" w:rsidP="004E7E0A">
            <w:pPr>
              <w:ind w:left="-70"/>
              <w:jc w:val="right"/>
              <w:rPr>
                <w:rFonts w:ascii="Arial" w:hAnsi="Arial" w:cs="Arial"/>
                <w:i/>
                <w:iCs/>
                <w:sz w:val="14"/>
                <w:szCs w:val="14"/>
              </w:rPr>
            </w:pPr>
            <w:r w:rsidRPr="00765C97">
              <w:rPr>
                <w:rFonts w:ascii="Arial" w:hAnsi="Arial" w:cs="Arial"/>
                <w:i/>
                <w:iCs/>
                <w:sz w:val="14"/>
                <w:szCs w:val="14"/>
              </w:rPr>
              <w:t>76</w:t>
            </w:r>
          </w:p>
        </w:tc>
        <w:tc>
          <w:tcPr>
            <w:tcW w:w="709" w:type="dxa"/>
            <w:vAlign w:val="center"/>
          </w:tcPr>
          <w:p w:rsidR="00B943CF"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w:t>
            </w:r>
          </w:p>
        </w:tc>
        <w:tc>
          <w:tcPr>
            <w:tcW w:w="825" w:type="dxa"/>
            <w:vAlign w:val="center"/>
          </w:tcPr>
          <w:p w:rsidR="00B943CF" w:rsidRPr="00765C97" w:rsidRDefault="00B943CF" w:rsidP="004E7E0A">
            <w:pPr>
              <w:ind w:left="-70"/>
              <w:jc w:val="right"/>
              <w:rPr>
                <w:rFonts w:ascii="Arial" w:hAnsi="Arial" w:cs="Arial"/>
                <w:i/>
                <w:iCs/>
                <w:sz w:val="14"/>
                <w:szCs w:val="14"/>
              </w:rPr>
            </w:pPr>
            <w:r w:rsidRPr="00765C97">
              <w:rPr>
                <w:rFonts w:ascii="Arial" w:hAnsi="Arial" w:cs="Arial"/>
                <w:i/>
                <w:iCs/>
                <w:sz w:val="14"/>
                <w:szCs w:val="14"/>
              </w:rPr>
              <w:t>56</w:t>
            </w:r>
          </w:p>
        </w:tc>
        <w:tc>
          <w:tcPr>
            <w:tcW w:w="928" w:type="dxa"/>
            <w:vAlign w:val="center"/>
          </w:tcPr>
          <w:p w:rsidR="00B943CF" w:rsidRPr="00765C97" w:rsidRDefault="00B943CF" w:rsidP="004E7E0A">
            <w:pPr>
              <w:ind w:left="-70"/>
              <w:jc w:val="right"/>
              <w:rPr>
                <w:rFonts w:ascii="Arial" w:hAnsi="Arial" w:cs="Arial"/>
                <w:i/>
                <w:iCs/>
                <w:sz w:val="14"/>
                <w:szCs w:val="14"/>
              </w:rPr>
            </w:pPr>
            <w:r w:rsidRPr="00765C97">
              <w:rPr>
                <w:rFonts w:ascii="Arial" w:hAnsi="Arial" w:cs="Arial"/>
                <w:i/>
                <w:iCs/>
                <w:sz w:val="14"/>
                <w:szCs w:val="14"/>
              </w:rPr>
              <w:t>342</w:t>
            </w:r>
          </w:p>
        </w:tc>
        <w:tc>
          <w:tcPr>
            <w:tcW w:w="798" w:type="dxa"/>
            <w:vAlign w:val="center"/>
          </w:tcPr>
          <w:p w:rsidR="00B943CF" w:rsidRPr="00765C97" w:rsidRDefault="00B943CF" w:rsidP="004E7E0A">
            <w:pPr>
              <w:ind w:left="-70"/>
              <w:jc w:val="right"/>
              <w:rPr>
                <w:rFonts w:ascii="Arial" w:hAnsi="Arial" w:cs="Arial"/>
                <w:i/>
                <w:iCs/>
                <w:sz w:val="14"/>
                <w:szCs w:val="14"/>
              </w:rPr>
            </w:pPr>
            <w:r w:rsidRPr="00765C97">
              <w:rPr>
                <w:rFonts w:ascii="Arial" w:hAnsi="Arial" w:cs="Arial"/>
                <w:i/>
                <w:iCs/>
                <w:sz w:val="14"/>
                <w:szCs w:val="14"/>
              </w:rPr>
              <w:t>11 342</w:t>
            </w:r>
          </w:p>
        </w:tc>
        <w:tc>
          <w:tcPr>
            <w:tcW w:w="824" w:type="dxa"/>
            <w:vAlign w:val="center"/>
          </w:tcPr>
          <w:p w:rsidR="00B943CF" w:rsidRPr="00765C97" w:rsidRDefault="00B943CF" w:rsidP="004E7E0A">
            <w:pPr>
              <w:ind w:left="-70"/>
              <w:jc w:val="right"/>
              <w:rPr>
                <w:rFonts w:ascii="Arial" w:hAnsi="Arial" w:cs="Arial"/>
                <w:i/>
                <w:iCs/>
                <w:sz w:val="14"/>
                <w:szCs w:val="14"/>
              </w:rPr>
            </w:pPr>
            <w:r w:rsidRPr="00765C97">
              <w:rPr>
                <w:rFonts w:ascii="Arial" w:hAnsi="Arial" w:cs="Arial"/>
                <w:i/>
                <w:iCs/>
                <w:sz w:val="14"/>
                <w:szCs w:val="14"/>
              </w:rPr>
              <w:t>7 994</w:t>
            </w:r>
          </w:p>
        </w:tc>
        <w:tc>
          <w:tcPr>
            <w:tcW w:w="992" w:type="dxa"/>
            <w:vAlign w:val="center"/>
          </w:tcPr>
          <w:p w:rsidR="00B943CF" w:rsidRPr="00765C97" w:rsidRDefault="00135A9A" w:rsidP="004E7E0A">
            <w:pPr>
              <w:ind w:left="-70"/>
              <w:jc w:val="right"/>
              <w:rPr>
                <w:rFonts w:ascii="Arial" w:hAnsi="Arial" w:cs="Arial"/>
                <w:i/>
                <w:iCs/>
                <w:sz w:val="14"/>
                <w:szCs w:val="14"/>
              </w:rPr>
            </w:pPr>
            <w:r w:rsidRPr="00765C97">
              <w:rPr>
                <w:rFonts w:ascii="Arial" w:hAnsi="Arial" w:cs="Arial"/>
                <w:i/>
                <w:iCs/>
                <w:sz w:val="14"/>
                <w:szCs w:val="14"/>
              </w:rPr>
              <w:t>-</w:t>
            </w:r>
          </w:p>
        </w:tc>
        <w:tc>
          <w:tcPr>
            <w:tcW w:w="851" w:type="dxa"/>
            <w:vAlign w:val="center"/>
          </w:tcPr>
          <w:p w:rsidR="00B943CF" w:rsidRPr="00765C97" w:rsidRDefault="00B943CF" w:rsidP="004E7E0A">
            <w:pPr>
              <w:ind w:left="-70"/>
              <w:jc w:val="right"/>
              <w:rPr>
                <w:rFonts w:ascii="Arial" w:hAnsi="Arial" w:cs="Arial"/>
                <w:i/>
                <w:iCs/>
                <w:sz w:val="14"/>
                <w:szCs w:val="14"/>
              </w:rPr>
            </w:pPr>
            <w:r w:rsidRPr="00765C97">
              <w:rPr>
                <w:rFonts w:ascii="Arial" w:hAnsi="Arial" w:cs="Arial"/>
                <w:i/>
                <w:iCs/>
                <w:sz w:val="14"/>
                <w:szCs w:val="14"/>
              </w:rPr>
              <w:t>19 810</w:t>
            </w:r>
          </w:p>
        </w:tc>
      </w:tr>
      <w:tr w:rsidR="00DC5EE3" w:rsidRPr="00765C97" w:rsidTr="004E7E0A">
        <w:trPr>
          <w:trHeight w:val="139"/>
        </w:trPr>
        <w:tc>
          <w:tcPr>
            <w:tcW w:w="1985" w:type="dxa"/>
            <w:vAlign w:val="center"/>
          </w:tcPr>
          <w:p w:rsidR="00DC5EE3" w:rsidRPr="00765C97" w:rsidRDefault="00DC5EE3" w:rsidP="00B031D9">
            <w:pPr>
              <w:adjustRightInd w:val="0"/>
              <w:rPr>
                <w:rFonts w:ascii="Arial" w:hAnsi="Arial" w:cs="Arial"/>
                <w:sz w:val="16"/>
                <w:szCs w:val="16"/>
                <w:lang w:val="pl-PL"/>
              </w:rPr>
            </w:pPr>
          </w:p>
        </w:tc>
        <w:tc>
          <w:tcPr>
            <w:tcW w:w="851" w:type="dxa"/>
            <w:vAlign w:val="center"/>
          </w:tcPr>
          <w:p w:rsidR="00DC5EE3" w:rsidRPr="00765C97" w:rsidRDefault="00DC5EE3" w:rsidP="004E7E0A">
            <w:pPr>
              <w:ind w:left="-70" w:right="-70"/>
              <w:jc w:val="right"/>
              <w:rPr>
                <w:rFonts w:ascii="Arial" w:hAnsi="Arial" w:cs="Arial"/>
                <w:i/>
                <w:iCs/>
                <w:sz w:val="16"/>
                <w:szCs w:val="16"/>
              </w:rPr>
            </w:pPr>
          </w:p>
        </w:tc>
        <w:tc>
          <w:tcPr>
            <w:tcW w:w="709" w:type="dxa"/>
            <w:vAlign w:val="center"/>
          </w:tcPr>
          <w:p w:rsidR="00DC5EE3" w:rsidRPr="00765C97" w:rsidRDefault="00DC5EE3" w:rsidP="004E7E0A">
            <w:pPr>
              <w:ind w:left="-70" w:right="-70"/>
              <w:jc w:val="right"/>
              <w:rPr>
                <w:rFonts w:ascii="Arial" w:hAnsi="Arial" w:cs="Arial"/>
                <w:i/>
                <w:iCs/>
                <w:sz w:val="16"/>
                <w:szCs w:val="16"/>
              </w:rPr>
            </w:pPr>
          </w:p>
        </w:tc>
        <w:tc>
          <w:tcPr>
            <w:tcW w:w="825" w:type="dxa"/>
            <w:vAlign w:val="center"/>
          </w:tcPr>
          <w:p w:rsidR="00DC5EE3" w:rsidRPr="00765C97" w:rsidRDefault="00DC5EE3" w:rsidP="004E7E0A">
            <w:pPr>
              <w:ind w:left="-70" w:right="-70"/>
              <w:jc w:val="right"/>
              <w:rPr>
                <w:rFonts w:ascii="Arial" w:hAnsi="Arial" w:cs="Arial"/>
                <w:i/>
                <w:iCs/>
                <w:sz w:val="16"/>
                <w:szCs w:val="16"/>
              </w:rPr>
            </w:pPr>
          </w:p>
        </w:tc>
        <w:tc>
          <w:tcPr>
            <w:tcW w:w="928" w:type="dxa"/>
            <w:vAlign w:val="center"/>
          </w:tcPr>
          <w:p w:rsidR="00DC5EE3" w:rsidRPr="00765C97" w:rsidRDefault="00DC5EE3" w:rsidP="004E7E0A">
            <w:pPr>
              <w:ind w:left="-70" w:right="-70"/>
              <w:jc w:val="right"/>
              <w:rPr>
                <w:rFonts w:ascii="Arial" w:hAnsi="Arial" w:cs="Arial"/>
                <w:i/>
                <w:iCs/>
                <w:sz w:val="16"/>
                <w:szCs w:val="16"/>
              </w:rPr>
            </w:pPr>
          </w:p>
        </w:tc>
        <w:tc>
          <w:tcPr>
            <w:tcW w:w="798" w:type="dxa"/>
            <w:vAlign w:val="center"/>
          </w:tcPr>
          <w:p w:rsidR="00DC5EE3" w:rsidRPr="00765C97" w:rsidRDefault="00DC5EE3" w:rsidP="004E7E0A">
            <w:pPr>
              <w:ind w:left="-70" w:right="-70"/>
              <w:jc w:val="right"/>
              <w:rPr>
                <w:rFonts w:ascii="Arial" w:hAnsi="Arial" w:cs="Arial"/>
                <w:color w:val="D8D8D8"/>
                <w:sz w:val="16"/>
                <w:szCs w:val="16"/>
              </w:rPr>
            </w:pPr>
          </w:p>
        </w:tc>
        <w:tc>
          <w:tcPr>
            <w:tcW w:w="824" w:type="dxa"/>
            <w:vAlign w:val="center"/>
          </w:tcPr>
          <w:p w:rsidR="00DC5EE3" w:rsidRPr="00765C97" w:rsidRDefault="00DC5EE3" w:rsidP="004E7E0A">
            <w:pPr>
              <w:ind w:left="-70" w:right="-70"/>
              <w:jc w:val="right"/>
              <w:rPr>
                <w:rFonts w:ascii="Arial" w:hAnsi="Arial" w:cs="Arial"/>
                <w:i/>
                <w:iCs/>
                <w:sz w:val="16"/>
                <w:szCs w:val="16"/>
              </w:rPr>
            </w:pPr>
          </w:p>
        </w:tc>
        <w:tc>
          <w:tcPr>
            <w:tcW w:w="992" w:type="dxa"/>
            <w:vAlign w:val="center"/>
          </w:tcPr>
          <w:p w:rsidR="00DC5EE3" w:rsidRPr="00765C97" w:rsidRDefault="00DC5EE3" w:rsidP="004E7E0A">
            <w:pPr>
              <w:ind w:left="-70" w:right="-70"/>
              <w:jc w:val="right"/>
              <w:rPr>
                <w:rFonts w:ascii="Arial" w:hAnsi="Arial" w:cs="Arial"/>
                <w:color w:val="D8D8D8"/>
                <w:sz w:val="16"/>
                <w:szCs w:val="16"/>
              </w:rPr>
            </w:pPr>
          </w:p>
        </w:tc>
        <w:tc>
          <w:tcPr>
            <w:tcW w:w="851" w:type="dxa"/>
            <w:vAlign w:val="center"/>
          </w:tcPr>
          <w:p w:rsidR="00DC5EE3" w:rsidRPr="00765C97" w:rsidRDefault="00DC5EE3" w:rsidP="004E7E0A">
            <w:pPr>
              <w:ind w:left="-70" w:right="-70"/>
              <w:jc w:val="right"/>
              <w:rPr>
                <w:rFonts w:ascii="Arial" w:hAnsi="Arial" w:cs="Arial"/>
                <w:i/>
                <w:iCs/>
                <w:sz w:val="16"/>
                <w:szCs w:val="16"/>
              </w:rPr>
            </w:pPr>
          </w:p>
        </w:tc>
      </w:tr>
      <w:tr w:rsidR="00B943CF" w:rsidRPr="00765C97" w:rsidTr="004E7E0A">
        <w:trPr>
          <w:trHeight w:val="255"/>
        </w:trPr>
        <w:tc>
          <w:tcPr>
            <w:tcW w:w="1985" w:type="dxa"/>
            <w:vAlign w:val="center"/>
          </w:tcPr>
          <w:p w:rsidR="00B943CF" w:rsidRPr="00765C97" w:rsidRDefault="00B943CF" w:rsidP="00B031D9">
            <w:pPr>
              <w:adjustRightInd w:val="0"/>
              <w:rPr>
                <w:rFonts w:ascii="Arial" w:hAnsi="Arial" w:cs="Arial"/>
                <w:i/>
                <w:sz w:val="16"/>
                <w:szCs w:val="16"/>
                <w:lang w:val="pl-PL"/>
              </w:rPr>
            </w:pPr>
            <w:r w:rsidRPr="00765C97">
              <w:rPr>
                <w:rFonts w:ascii="Arial" w:hAnsi="Arial" w:cs="Arial"/>
                <w:sz w:val="16"/>
                <w:szCs w:val="16"/>
                <w:lang w:val="pl-PL"/>
              </w:rPr>
              <w:t xml:space="preserve">  </w:t>
            </w:r>
            <w:r w:rsidRPr="00765C97">
              <w:rPr>
                <w:rFonts w:ascii="Arial" w:hAnsi="Arial" w:cs="Arial"/>
                <w:i/>
                <w:sz w:val="16"/>
                <w:szCs w:val="16"/>
                <w:lang w:val="pl-PL"/>
              </w:rPr>
              <w:t xml:space="preserve">pozostałe przychody operacyjne </w:t>
            </w:r>
          </w:p>
        </w:tc>
        <w:tc>
          <w:tcPr>
            <w:tcW w:w="851"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10</w:t>
            </w:r>
            <w:r w:rsidR="004E7E0A" w:rsidRPr="00765C97">
              <w:rPr>
                <w:rFonts w:ascii="Arial" w:hAnsi="Arial" w:cs="Arial"/>
                <w:i/>
                <w:iCs/>
                <w:sz w:val="16"/>
                <w:szCs w:val="16"/>
              </w:rPr>
              <w:t xml:space="preserve"> </w:t>
            </w:r>
            <w:r w:rsidRPr="00765C97">
              <w:rPr>
                <w:rFonts w:ascii="Arial" w:hAnsi="Arial" w:cs="Arial"/>
                <w:i/>
                <w:iCs/>
                <w:sz w:val="16"/>
                <w:szCs w:val="16"/>
              </w:rPr>
              <w:t>575</w:t>
            </w:r>
          </w:p>
        </w:tc>
        <w:tc>
          <w:tcPr>
            <w:tcW w:w="709"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2</w:t>
            </w:r>
            <w:r w:rsidR="00135A9A" w:rsidRPr="00765C97">
              <w:rPr>
                <w:rFonts w:ascii="Arial" w:hAnsi="Arial" w:cs="Arial"/>
                <w:i/>
                <w:iCs/>
                <w:sz w:val="16"/>
                <w:szCs w:val="16"/>
              </w:rPr>
              <w:t xml:space="preserve"> </w:t>
            </w:r>
            <w:r w:rsidRPr="00765C97">
              <w:rPr>
                <w:rFonts w:ascii="Arial" w:hAnsi="Arial" w:cs="Arial"/>
                <w:i/>
                <w:iCs/>
                <w:sz w:val="16"/>
                <w:szCs w:val="16"/>
              </w:rPr>
              <w:t>714</w:t>
            </w:r>
          </w:p>
        </w:tc>
        <w:tc>
          <w:tcPr>
            <w:tcW w:w="825"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914</w:t>
            </w:r>
          </w:p>
        </w:tc>
        <w:tc>
          <w:tcPr>
            <w:tcW w:w="928"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55</w:t>
            </w:r>
          </w:p>
        </w:tc>
        <w:tc>
          <w:tcPr>
            <w:tcW w:w="798"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863</w:t>
            </w:r>
          </w:p>
        </w:tc>
        <w:tc>
          <w:tcPr>
            <w:tcW w:w="824"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1</w:t>
            </w:r>
            <w:r w:rsidR="00135A9A" w:rsidRPr="00765C97">
              <w:rPr>
                <w:rFonts w:ascii="Arial" w:hAnsi="Arial" w:cs="Arial"/>
                <w:i/>
                <w:iCs/>
                <w:sz w:val="16"/>
                <w:szCs w:val="16"/>
              </w:rPr>
              <w:t xml:space="preserve"> </w:t>
            </w:r>
            <w:r w:rsidRPr="00765C97">
              <w:rPr>
                <w:rFonts w:ascii="Arial" w:hAnsi="Arial" w:cs="Arial"/>
                <w:i/>
                <w:iCs/>
                <w:sz w:val="16"/>
                <w:szCs w:val="16"/>
              </w:rPr>
              <w:t>178</w:t>
            </w:r>
          </w:p>
        </w:tc>
        <w:tc>
          <w:tcPr>
            <w:tcW w:w="992" w:type="dxa"/>
            <w:vAlign w:val="center"/>
          </w:tcPr>
          <w:p w:rsidR="00B943CF" w:rsidRPr="00765C97" w:rsidRDefault="00135A9A" w:rsidP="004E7E0A">
            <w:pPr>
              <w:ind w:left="-70"/>
              <w:jc w:val="right"/>
              <w:rPr>
                <w:rFonts w:ascii="Arial" w:hAnsi="Arial" w:cs="Arial"/>
                <w:i/>
                <w:iCs/>
                <w:sz w:val="16"/>
                <w:szCs w:val="16"/>
              </w:rPr>
            </w:pPr>
            <w:r w:rsidRPr="00765C97">
              <w:rPr>
                <w:rFonts w:ascii="Arial" w:hAnsi="Arial" w:cs="Arial"/>
                <w:i/>
                <w:iCs/>
                <w:sz w:val="16"/>
                <w:szCs w:val="16"/>
              </w:rPr>
              <w:t>-</w:t>
            </w:r>
          </w:p>
        </w:tc>
        <w:tc>
          <w:tcPr>
            <w:tcW w:w="851"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16</w:t>
            </w:r>
            <w:r w:rsidR="00135A9A" w:rsidRPr="00765C97">
              <w:rPr>
                <w:rFonts w:ascii="Arial" w:hAnsi="Arial" w:cs="Arial"/>
                <w:i/>
                <w:iCs/>
                <w:sz w:val="16"/>
                <w:szCs w:val="16"/>
              </w:rPr>
              <w:t xml:space="preserve"> </w:t>
            </w:r>
            <w:r w:rsidRPr="00765C97">
              <w:rPr>
                <w:rFonts w:ascii="Arial" w:hAnsi="Arial" w:cs="Arial"/>
                <w:i/>
                <w:iCs/>
                <w:sz w:val="16"/>
                <w:szCs w:val="16"/>
              </w:rPr>
              <w:t>299</w:t>
            </w:r>
          </w:p>
        </w:tc>
      </w:tr>
      <w:tr w:rsidR="00B943CF" w:rsidRPr="00765C97" w:rsidTr="004E7E0A">
        <w:trPr>
          <w:trHeight w:val="255"/>
        </w:trPr>
        <w:tc>
          <w:tcPr>
            <w:tcW w:w="1985" w:type="dxa"/>
            <w:vAlign w:val="center"/>
          </w:tcPr>
          <w:p w:rsidR="00B943CF" w:rsidRPr="00765C97" w:rsidRDefault="00B943CF" w:rsidP="00B031D9">
            <w:pPr>
              <w:adjustRightInd w:val="0"/>
              <w:rPr>
                <w:rFonts w:ascii="Arial" w:hAnsi="Arial" w:cs="Arial"/>
                <w:i/>
                <w:sz w:val="16"/>
                <w:szCs w:val="16"/>
                <w:lang w:val="pl-PL"/>
              </w:rPr>
            </w:pPr>
            <w:r w:rsidRPr="00765C97">
              <w:rPr>
                <w:rFonts w:ascii="Arial" w:hAnsi="Arial" w:cs="Arial"/>
                <w:sz w:val="16"/>
                <w:szCs w:val="16"/>
                <w:lang w:val="pl-PL"/>
              </w:rPr>
              <w:t xml:space="preserve">  </w:t>
            </w:r>
            <w:r w:rsidRPr="00765C97">
              <w:rPr>
                <w:rFonts w:ascii="Arial" w:hAnsi="Arial" w:cs="Arial"/>
                <w:i/>
                <w:sz w:val="16"/>
                <w:szCs w:val="16"/>
                <w:lang w:val="pl-PL"/>
              </w:rPr>
              <w:t>przychody finansowe</w:t>
            </w:r>
          </w:p>
        </w:tc>
        <w:tc>
          <w:tcPr>
            <w:tcW w:w="851" w:type="dxa"/>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6</w:t>
            </w:r>
            <w:r w:rsidR="004E7E0A" w:rsidRPr="00765C97">
              <w:rPr>
                <w:rFonts w:ascii="Arial" w:hAnsi="Arial" w:cs="Arial"/>
                <w:sz w:val="16"/>
                <w:szCs w:val="16"/>
              </w:rPr>
              <w:t xml:space="preserve"> </w:t>
            </w:r>
            <w:r w:rsidRPr="00765C97">
              <w:rPr>
                <w:rFonts w:ascii="Arial" w:hAnsi="Arial" w:cs="Arial"/>
                <w:sz w:val="16"/>
                <w:szCs w:val="16"/>
              </w:rPr>
              <w:t>291</w:t>
            </w:r>
          </w:p>
        </w:tc>
        <w:tc>
          <w:tcPr>
            <w:tcW w:w="709" w:type="dxa"/>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r w:rsidR="00B943CF" w:rsidRPr="00765C97">
              <w:rPr>
                <w:rFonts w:ascii="Arial" w:hAnsi="Arial" w:cs="Arial"/>
                <w:sz w:val="16"/>
                <w:szCs w:val="16"/>
              </w:rPr>
              <w:t>199</w:t>
            </w:r>
            <w:r w:rsidRPr="00765C97">
              <w:rPr>
                <w:rFonts w:ascii="Arial" w:hAnsi="Arial" w:cs="Arial"/>
                <w:sz w:val="16"/>
                <w:szCs w:val="16"/>
              </w:rPr>
              <w:t>)</w:t>
            </w:r>
          </w:p>
        </w:tc>
        <w:tc>
          <w:tcPr>
            <w:tcW w:w="825" w:type="dxa"/>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141</w:t>
            </w:r>
          </w:p>
        </w:tc>
        <w:tc>
          <w:tcPr>
            <w:tcW w:w="928" w:type="dxa"/>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2 760</w:t>
            </w:r>
          </w:p>
        </w:tc>
        <w:tc>
          <w:tcPr>
            <w:tcW w:w="798" w:type="dxa"/>
            <w:vAlign w:val="center"/>
          </w:tcPr>
          <w:p w:rsidR="00B943CF" w:rsidRPr="00765C97" w:rsidRDefault="00135A9A" w:rsidP="004E7E0A">
            <w:pPr>
              <w:ind w:left="-70"/>
              <w:jc w:val="right"/>
              <w:rPr>
                <w:rFonts w:ascii="Arial" w:hAnsi="Arial" w:cs="Arial"/>
                <w:i/>
                <w:iCs/>
                <w:sz w:val="16"/>
                <w:szCs w:val="16"/>
              </w:rPr>
            </w:pPr>
            <w:r w:rsidRPr="00765C97">
              <w:rPr>
                <w:rFonts w:ascii="Arial" w:hAnsi="Arial" w:cs="Arial"/>
                <w:i/>
                <w:iCs/>
                <w:sz w:val="16"/>
                <w:szCs w:val="16"/>
              </w:rPr>
              <w:t>-</w:t>
            </w:r>
          </w:p>
        </w:tc>
        <w:tc>
          <w:tcPr>
            <w:tcW w:w="824" w:type="dxa"/>
            <w:vAlign w:val="center"/>
          </w:tcPr>
          <w:p w:rsidR="00B943CF" w:rsidRPr="00765C97" w:rsidRDefault="00135A9A" w:rsidP="004E7E0A">
            <w:pPr>
              <w:ind w:left="-70"/>
              <w:jc w:val="right"/>
              <w:rPr>
                <w:rFonts w:ascii="Arial" w:hAnsi="Arial" w:cs="Arial"/>
                <w:i/>
                <w:iCs/>
                <w:sz w:val="16"/>
                <w:szCs w:val="16"/>
              </w:rPr>
            </w:pPr>
            <w:r w:rsidRPr="00765C97">
              <w:rPr>
                <w:rFonts w:ascii="Arial" w:hAnsi="Arial" w:cs="Arial"/>
                <w:i/>
                <w:iCs/>
                <w:sz w:val="16"/>
                <w:szCs w:val="16"/>
              </w:rPr>
              <w:t>-</w:t>
            </w:r>
          </w:p>
        </w:tc>
        <w:tc>
          <w:tcPr>
            <w:tcW w:w="992" w:type="dxa"/>
            <w:vAlign w:val="center"/>
          </w:tcPr>
          <w:p w:rsidR="00B943CF" w:rsidRPr="00765C97" w:rsidRDefault="00135A9A" w:rsidP="004E7E0A">
            <w:pPr>
              <w:ind w:left="-70"/>
              <w:jc w:val="right"/>
              <w:rPr>
                <w:rFonts w:ascii="Arial" w:hAnsi="Arial" w:cs="Arial"/>
                <w:i/>
                <w:iCs/>
                <w:sz w:val="16"/>
                <w:szCs w:val="16"/>
              </w:rPr>
            </w:pPr>
            <w:r w:rsidRPr="00765C97">
              <w:rPr>
                <w:rFonts w:ascii="Arial" w:hAnsi="Arial" w:cs="Arial"/>
                <w:i/>
                <w:iCs/>
                <w:sz w:val="16"/>
                <w:szCs w:val="16"/>
              </w:rPr>
              <w:t>-</w:t>
            </w:r>
          </w:p>
        </w:tc>
        <w:tc>
          <w:tcPr>
            <w:tcW w:w="851"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8</w:t>
            </w:r>
            <w:r w:rsidR="00135A9A" w:rsidRPr="00765C97">
              <w:rPr>
                <w:rFonts w:ascii="Arial" w:hAnsi="Arial" w:cs="Arial"/>
                <w:i/>
                <w:iCs/>
                <w:sz w:val="16"/>
                <w:szCs w:val="16"/>
              </w:rPr>
              <w:t xml:space="preserve"> </w:t>
            </w:r>
            <w:r w:rsidRPr="00765C97">
              <w:rPr>
                <w:rFonts w:ascii="Arial" w:hAnsi="Arial" w:cs="Arial"/>
                <w:i/>
                <w:iCs/>
                <w:sz w:val="16"/>
                <w:szCs w:val="16"/>
              </w:rPr>
              <w:t>993</w:t>
            </w:r>
          </w:p>
        </w:tc>
      </w:tr>
      <w:tr w:rsidR="00B943CF" w:rsidRPr="00765C97" w:rsidTr="004E7E0A">
        <w:trPr>
          <w:trHeight w:val="255"/>
        </w:trPr>
        <w:tc>
          <w:tcPr>
            <w:tcW w:w="1985" w:type="dxa"/>
            <w:vAlign w:val="center"/>
          </w:tcPr>
          <w:p w:rsidR="00B943CF" w:rsidRPr="00765C97" w:rsidRDefault="00B943CF" w:rsidP="00B031D9">
            <w:pPr>
              <w:adjustRightInd w:val="0"/>
              <w:rPr>
                <w:rFonts w:ascii="Arial" w:hAnsi="Arial" w:cs="Arial"/>
                <w:sz w:val="16"/>
                <w:szCs w:val="16"/>
                <w:lang w:val="pl-PL"/>
              </w:rPr>
            </w:pPr>
            <w:r w:rsidRPr="00765C97">
              <w:rPr>
                <w:rFonts w:ascii="Arial" w:hAnsi="Arial" w:cs="Arial"/>
                <w:sz w:val="16"/>
                <w:szCs w:val="16"/>
                <w:lang w:val="pl-PL"/>
              </w:rPr>
              <w:t>Przychody segmentu– sprzedaż pozostałym segmentom</w:t>
            </w:r>
          </w:p>
        </w:tc>
        <w:tc>
          <w:tcPr>
            <w:tcW w:w="851" w:type="dxa"/>
            <w:tcBorders>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153</w:t>
            </w:r>
            <w:r w:rsidR="004E7E0A" w:rsidRPr="00765C97">
              <w:rPr>
                <w:rFonts w:ascii="Arial" w:hAnsi="Arial" w:cs="Arial"/>
                <w:sz w:val="16"/>
                <w:szCs w:val="16"/>
              </w:rPr>
              <w:t xml:space="preserve"> </w:t>
            </w:r>
            <w:r w:rsidRPr="00765C97">
              <w:rPr>
                <w:rFonts w:ascii="Arial" w:hAnsi="Arial" w:cs="Arial"/>
                <w:sz w:val="16"/>
                <w:szCs w:val="16"/>
              </w:rPr>
              <w:t>318</w:t>
            </w:r>
          </w:p>
        </w:tc>
        <w:tc>
          <w:tcPr>
            <w:tcW w:w="709" w:type="dxa"/>
            <w:tcBorders>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13</w:t>
            </w:r>
            <w:r w:rsidR="00135A9A" w:rsidRPr="00765C97">
              <w:rPr>
                <w:rFonts w:ascii="Arial" w:hAnsi="Arial" w:cs="Arial"/>
                <w:sz w:val="16"/>
                <w:szCs w:val="16"/>
              </w:rPr>
              <w:t xml:space="preserve"> </w:t>
            </w:r>
            <w:r w:rsidRPr="00765C97">
              <w:rPr>
                <w:rFonts w:ascii="Arial" w:hAnsi="Arial" w:cs="Arial"/>
                <w:sz w:val="16"/>
                <w:szCs w:val="16"/>
              </w:rPr>
              <w:t>551</w:t>
            </w:r>
          </w:p>
        </w:tc>
        <w:tc>
          <w:tcPr>
            <w:tcW w:w="825" w:type="dxa"/>
            <w:tcBorders>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21</w:t>
            </w:r>
            <w:r w:rsidR="00135A9A" w:rsidRPr="00765C97">
              <w:rPr>
                <w:rFonts w:ascii="Arial" w:hAnsi="Arial" w:cs="Arial"/>
                <w:sz w:val="16"/>
                <w:szCs w:val="16"/>
              </w:rPr>
              <w:t xml:space="preserve"> </w:t>
            </w:r>
            <w:r w:rsidRPr="00765C97">
              <w:rPr>
                <w:rFonts w:ascii="Arial" w:hAnsi="Arial" w:cs="Arial"/>
                <w:sz w:val="16"/>
                <w:szCs w:val="16"/>
              </w:rPr>
              <w:t>995</w:t>
            </w:r>
          </w:p>
        </w:tc>
        <w:tc>
          <w:tcPr>
            <w:tcW w:w="928" w:type="dxa"/>
            <w:tcBorders>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w:t>
            </w:r>
            <w:r w:rsidR="00135A9A" w:rsidRPr="00765C97">
              <w:rPr>
                <w:rFonts w:ascii="Arial" w:hAnsi="Arial" w:cs="Arial"/>
                <w:sz w:val="16"/>
                <w:szCs w:val="16"/>
              </w:rPr>
              <w:t xml:space="preserve"> </w:t>
            </w:r>
            <w:r w:rsidRPr="00765C97">
              <w:rPr>
                <w:rFonts w:ascii="Arial" w:hAnsi="Arial" w:cs="Arial"/>
                <w:sz w:val="16"/>
                <w:szCs w:val="16"/>
              </w:rPr>
              <w:t>139</w:t>
            </w:r>
          </w:p>
        </w:tc>
        <w:tc>
          <w:tcPr>
            <w:tcW w:w="798" w:type="dxa"/>
            <w:tcBorders>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8</w:t>
            </w:r>
            <w:r w:rsidR="00135A9A" w:rsidRPr="00765C97">
              <w:rPr>
                <w:rFonts w:ascii="Arial" w:hAnsi="Arial" w:cs="Arial"/>
                <w:sz w:val="16"/>
                <w:szCs w:val="16"/>
              </w:rPr>
              <w:t xml:space="preserve"> </w:t>
            </w:r>
            <w:r w:rsidRPr="00765C97">
              <w:rPr>
                <w:rFonts w:ascii="Arial" w:hAnsi="Arial" w:cs="Arial"/>
                <w:sz w:val="16"/>
                <w:szCs w:val="16"/>
              </w:rPr>
              <w:t>473</w:t>
            </w:r>
          </w:p>
        </w:tc>
        <w:tc>
          <w:tcPr>
            <w:tcW w:w="824" w:type="dxa"/>
            <w:tcBorders>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w:t>
            </w:r>
            <w:r w:rsidR="00135A9A" w:rsidRPr="00765C97">
              <w:rPr>
                <w:rFonts w:ascii="Arial" w:hAnsi="Arial" w:cs="Arial"/>
                <w:sz w:val="16"/>
                <w:szCs w:val="16"/>
              </w:rPr>
              <w:t xml:space="preserve"> </w:t>
            </w:r>
            <w:r w:rsidRPr="00765C97">
              <w:rPr>
                <w:rFonts w:ascii="Arial" w:hAnsi="Arial" w:cs="Arial"/>
                <w:sz w:val="16"/>
                <w:szCs w:val="16"/>
              </w:rPr>
              <w:t>843</w:t>
            </w:r>
          </w:p>
        </w:tc>
        <w:tc>
          <w:tcPr>
            <w:tcW w:w="992" w:type="dxa"/>
            <w:tcBorders>
              <w:bottom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r w:rsidR="00B943CF" w:rsidRPr="00765C97">
              <w:rPr>
                <w:rFonts w:ascii="Arial" w:hAnsi="Arial" w:cs="Arial"/>
                <w:sz w:val="16"/>
                <w:szCs w:val="16"/>
              </w:rPr>
              <w:t>202</w:t>
            </w:r>
            <w:r w:rsidRPr="00765C97">
              <w:rPr>
                <w:rFonts w:ascii="Arial" w:hAnsi="Arial" w:cs="Arial"/>
                <w:sz w:val="16"/>
                <w:szCs w:val="16"/>
              </w:rPr>
              <w:t> </w:t>
            </w:r>
            <w:r w:rsidR="00B943CF" w:rsidRPr="00765C97">
              <w:rPr>
                <w:rFonts w:ascii="Arial" w:hAnsi="Arial" w:cs="Arial"/>
                <w:sz w:val="16"/>
                <w:szCs w:val="16"/>
              </w:rPr>
              <w:t>319</w:t>
            </w:r>
            <w:r w:rsidRPr="00765C97">
              <w:rPr>
                <w:rFonts w:ascii="Arial" w:hAnsi="Arial" w:cs="Arial"/>
                <w:sz w:val="16"/>
                <w:szCs w:val="16"/>
              </w:rPr>
              <w:t>)</w:t>
            </w:r>
          </w:p>
        </w:tc>
        <w:tc>
          <w:tcPr>
            <w:tcW w:w="851" w:type="dxa"/>
            <w:tcBorders>
              <w:bottom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p>
        </w:tc>
      </w:tr>
      <w:tr w:rsidR="00B943CF" w:rsidRPr="00765C97" w:rsidTr="004E7E0A">
        <w:trPr>
          <w:trHeight w:val="255"/>
        </w:trPr>
        <w:tc>
          <w:tcPr>
            <w:tcW w:w="1985" w:type="dxa"/>
            <w:vAlign w:val="center"/>
          </w:tcPr>
          <w:p w:rsidR="00B943CF" w:rsidRPr="00765C97" w:rsidRDefault="00B943CF" w:rsidP="00B031D9">
            <w:pPr>
              <w:adjustRightInd w:val="0"/>
              <w:rPr>
                <w:rFonts w:ascii="Arial" w:hAnsi="Arial" w:cs="Arial"/>
                <w:sz w:val="16"/>
                <w:szCs w:val="16"/>
                <w:lang w:val="pl-PL"/>
              </w:rPr>
            </w:pPr>
            <w:r w:rsidRPr="00765C97">
              <w:rPr>
                <w:rFonts w:ascii="Arial" w:hAnsi="Arial" w:cs="Arial"/>
                <w:sz w:val="16"/>
                <w:szCs w:val="16"/>
                <w:lang w:val="pl-PL"/>
              </w:rPr>
              <w:t>Przychody segmentu ogółem*</w:t>
            </w:r>
          </w:p>
        </w:tc>
        <w:tc>
          <w:tcPr>
            <w:tcW w:w="851"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738</w:t>
            </w:r>
            <w:r w:rsidR="004E7E0A" w:rsidRPr="00765C97">
              <w:rPr>
                <w:rFonts w:ascii="Arial" w:hAnsi="Arial" w:cs="Arial"/>
                <w:sz w:val="16"/>
                <w:szCs w:val="16"/>
              </w:rPr>
              <w:t xml:space="preserve"> </w:t>
            </w:r>
            <w:r w:rsidRPr="00765C97">
              <w:rPr>
                <w:rFonts w:ascii="Arial" w:hAnsi="Arial" w:cs="Arial"/>
                <w:sz w:val="16"/>
                <w:szCs w:val="16"/>
              </w:rPr>
              <w:t>308</w:t>
            </w:r>
          </w:p>
        </w:tc>
        <w:tc>
          <w:tcPr>
            <w:tcW w:w="709"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237</w:t>
            </w:r>
            <w:r w:rsidR="00135A9A" w:rsidRPr="00765C97">
              <w:rPr>
                <w:rFonts w:ascii="Arial" w:hAnsi="Arial" w:cs="Arial"/>
                <w:sz w:val="16"/>
                <w:szCs w:val="16"/>
              </w:rPr>
              <w:t xml:space="preserve"> </w:t>
            </w:r>
            <w:r w:rsidRPr="00765C97">
              <w:rPr>
                <w:rFonts w:ascii="Arial" w:hAnsi="Arial" w:cs="Arial"/>
                <w:sz w:val="16"/>
                <w:szCs w:val="16"/>
              </w:rPr>
              <w:t>075</w:t>
            </w:r>
          </w:p>
        </w:tc>
        <w:tc>
          <w:tcPr>
            <w:tcW w:w="825"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98</w:t>
            </w:r>
            <w:r w:rsidR="00135A9A" w:rsidRPr="00765C97">
              <w:rPr>
                <w:rFonts w:ascii="Arial" w:hAnsi="Arial" w:cs="Arial"/>
                <w:sz w:val="16"/>
                <w:szCs w:val="16"/>
              </w:rPr>
              <w:t xml:space="preserve"> </w:t>
            </w:r>
            <w:r w:rsidRPr="00765C97">
              <w:rPr>
                <w:rFonts w:ascii="Arial" w:hAnsi="Arial" w:cs="Arial"/>
                <w:sz w:val="16"/>
                <w:szCs w:val="16"/>
              </w:rPr>
              <w:t>115</w:t>
            </w:r>
          </w:p>
        </w:tc>
        <w:tc>
          <w:tcPr>
            <w:tcW w:w="928"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5</w:t>
            </w:r>
            <w:r w:rsidR="00135A9A" w:rsidRPr="00765C97">
              <w:rPr>
                <w:rFonts w:ascii="Arial" w:hAnsi="Arial" w:cs="Arial"/>
                <w:sz w:val="16"/>
                <w:szCs w:val="16"/>
              </w:rPr>
              <w:t xml:space="preserve"> </w:t>
            </w:r>
            <w:r w:rsidRPr="00765C97">
              <w:rPr>
                <w:rFonts w:ascii="Arial" w:hAnsi="Arial" w:cs="Arial"/>
                <w:sz w:val="16"/>
                <w:szCs w:val="16"/>
              </w:rPr>
              <w:t>296</w:t>
            </w:r>
          </w:p>
        </w:tc>
        <w:tc>
          <w:tcPr>
            <w:tcW w:w="798"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20</w:t>
            </w:r>
            <w:r w:rsidR="00135A9A" w:rsidRPr="00765C97">
              <w:rPr>
                <w:rFonts w:ascii="Arial" w:hAnsi="Arial" w:cs="Arial"/>
                <w:sz w:val="16"/>
                <w:szCs w:val="16"/>
              </w:rPr>
              <w:t xml:space="preserve"> </w:t>
            </w:r>
            <w:r w:rsidRPr="00765C97">
              <w:rPr>
                <w:rFonts w:ascii="Arial" w:hAnsi="Arial" w:cs="Arial"/>
                <w:sz w:val="16"/>
                <w:szCs w:val="16"/>
              </w:rPr>
              <w:t>678</w:t>
            </w:r>
          </w:p>
        </w:tc>
        <w:tc>
          <w:tcPr>
            <w:tcW w:w="824"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12</w:t>
            </w:r>
            <w:r w:rsidR="00135A9A" w:rsidRPr="00765C97">
              <w:rPr>
                <w:rFonts w:ascii="Arial" w:hAnsi="Arial" w:cs="Arial"/>
                <w:sz w:val="16"/>
                <w:szCs w:val="16"/>
              </w:rPr>
              <w:t xml:space="preserve"> </w:t>
            </w:r>
            <w:r w:rsidRPr="00765C97">
              <w:rPr>
                <w:rFonts w:ascii="Arial" w:hAnsi="Arial" w:cs="Arial"/>
                <w:sz w:val="16"/>
                <w:szCs w:val="16"/>
              </w:rPr>
              <w:t>015</w:t>
            </w:r>
          </w:p>
        </w:tc>
        <w:tc>
          <w:tcPr>
            <w:tcW w:w="992" w:type="dxa"/>
            <w:tcBorders>
              <w:top w:val="single" w:sz="4" w:space="0" w:color="auto"/>
              <w:bottom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r w:rsidR="00B943CF" w:rsidRPr="00765C97">
              <w:rPr>
                <w:rFonts w:ascii="Arial" w:hAnsi="Arial" w:cs="Arial"/>
                <w:sz w:val="16"/>
                <w:szCs w:val="16"/>
              </w:rPr>
              <w:t>202</w:t>
            </w:r>
            <w:r w:rsidRPr="00765C97">
              <w:rPr>
                <w:rFonts w:ascii="Arial" w:hAnsi="Arial" w:cs="Arial"/>
                <w:sz w:val="16"/>
                <w:szCs w:val="16"/>
              </w:rPr>
              <w:t> </w:t>
            </w:r>
            <w:r w:rsidR="00B943CF" w:rsidRPr="00765C97">
              <w:rPr>
                <w:rFonts w:ascii="Arial" w:hAnsi="Arial" w:cs="Arial"/>
                <w:sz w:val="16"/>
                <w:szCs w:val="16"/>
              </w:rPr>
              <w:t>319</w:t>
            </w:r>
            <w:r w:rsidRPr="00765C97">
              <w:rPr>
                <w:rFonts w:ascii="Arial" w:hAnsi="Arial" w:cs="Arial"/>
                <w:sz w:val="16"/>
                <w:szCs w:val="16"/>
              </w:rPr>
              <w:t>)</w:t>
            </w:r>
          </w:p>
        </w:tc>
        <w:tc>
          <w:tcPr>
            <w:tcW w:w="851"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909</w:t>
            </w:r>
            <w:r w:rsidR="00135A9A" w:rsidRPr="00765C97">
              <w:rPr>
                <w:rFonts w:ascii="Arial" w:hAnsi="Arial" w:cs="Arial"/>
                <w:sz w:val="16"/>
                <w:szCs w:val="16"/>
              </w:rPr>
              <w:t xml:space="preserve"> </w:t>
            </w:r>
            <w:r w:rsidRPr="00765C97">
              <w:rPr>
                <w:rFonts w:ascii="Arial" w:hAnsi="Arial" w:cs="Arial"/>
                <w:sz w:val="16"/>
                <w:szCs w:val="16"/>
              </w:rPr>
              <w:t>168</w:t>
            </w:r>
          </w:p>
        </w:tc>
      </w:tr>
      <w:tr w:rsidR="00B943CF" w:rsidRPr="00765C97" w:rsidTr="004E7E0A">
        <w:trPr>
          <w:trHeight w:val="255"/>
        </w:trPr>
        <w:tc>
          <w:tcPr>
            <w:tcW w:w="1985" w:type="dxa"/>
            <w:vAlign w:val="center"/>
          </w:tcPr>
          <w:p w:rsidR="00B943CF" w:rsidRPr="00765C97" w:rsidRDefault="00B943CF" w:rsidP="00B031D9">
            <w:pPr>
              <w:adjustRightInd w:val="0"/>
              <w:rPr>
                <w:rFonts w:ascii="Arial" w:hAnsi="Arial" w:cs="Arial"/>
                <w:sz w:val="16"/>
                <w:szCs w:val="16"/>
                <w:lang w:val="pl-PL"/>
              </w:rPr>
            </w:pPr>
            <w:r w:rsidRPr="00765C97">
              <w:rPr>
                <w:rFonts w:ascii="Arial" w:hAnsi="Arial" w:cs="Arial"/>
                <w:sz w:val="16"/>
                <w:szCs w:val="16"/>
                <w:lang w:val="pl-PL"/>
              </w:rPr>
              <w:t>Koszty segmentu d/t sprzedaży klientom zewnętrznym</w:t>
            </w:r>
          </w:p>
        </w:tc>
        <w:tc>
          <w:tcPr>
            <w:tcW w:w="851" w:type="dxa"/>
            <w:tcBorders>
              <w:top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535</w:t>
            </w:r>
            <w:r w:rsidR="004E7E0A" w:rsidRPr="00765C97">
              <w:rPr>
                <w:rFonts w:ascii="Arial" w:hAnsi="Arial" w:cs="Arial"/>
                <w:sz w:val="16"/>
                <w:szCs w:val="16"/>
              </w:rPr>
              <w:t xml:space="preserve"> </w:t>
            </w:r>
            <w:r w:rsidRPr="00765C97">
              <w:rPr>
                <w:rFonts w:ascii="Arial" w:hAnsi="Arial" w:cs="Arial"/>
                <w:sz w:val="16"/>
                <w:szCs w:val="16"/>
              </w:rPr>
              <w:t>191</w:t>
            </w:r>
          </w:p>
        </w:tc>
        <w:tc>
          <w:tcPr>
            <w:tcW w:w="709" w:type="dxa"/>
            <w:tcBorders>
              <w:top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220</w:t>
            </w:r>
            <w:r w:rsidR="00135A9A" w:rsidRPr="00765C97">
              <w:rPr>
                <w:rFonts w:ascii="Arial" w:hAnsi="Arial" w:cs="Arial"/>
                <w:sz w:val="16"/>
                <w:szCs w:val="16"/>
              </w:rPr>
              <w:t xml:space="preserve"> </w:t>
            </w:r>
            <w:r w:rsidRPr="00765C97">
              <w:rPr>
                <w:rFonts w:ascii="Arial" w:hAnsi="Arial" w:cs="Arial"/>
                <w:sz w:val="16"/>
                <w:szCs w:val="16"/>
              </w:rPr>
              <w:t>228</w:t>
            </w:r>
          </w:p>
        </w:tc>
        <w:tc>
          <w:tcPr>
            <w:tcW w:w="825" w:type="dxa"/>
            <w:tcBorders>
              <w:top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71</w:t>
            </w:r>
            <w:r w:rsidR="00135A9A" w:rsidRPr="00765C97">
              <w:rPr>
                <w:rFonts w:ascii="Arial" w:hAnsi="Arial" w:cs="Arial"/>
                <w:sz w:val="16"/>
                <w:szCs w:val="16"/>
              </w:rPr>
              <w:t xml:space="preserve"> </w:t>
            </w:r>
            <w:r w:rsidRPr="00765C97">
              <w:rPr>
                <w:rFonts w:ascii="Arial" w:hAnsi="Arial" w:cs="Arial"/>
                <w:sz w:val="16"/>
                <w:szCs w:val="16"/>
              </w:rPr>
              <w:t>476</w:t>
            </w:r>
          </w:p>
        </w:tc>
        <w:tc>
          <w:tcPr>
            <w:tcW w:w="928" w:type="dxa"/>
            <w:tcBorders>
              <w:top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r w:rsidR="00B943CF" w:rsidRPr="00765C97">
              <w:rPr>
                <w:rFonts w:ascii="Arial" w:hAnsi="Arial" w:cs="Arial"/>
                <w:sz w:val="16"/>
                <w:szCs w:val="16"/>
              </w:rPr>
              <w:t>563</w:t>
            </w:r>
            <w:r w:rsidRPr="00765C97">
              <w:rPr>
                <w:rFonts w:ascii="Arial" w:hAnsi="Arial" w:cs="Arial"/>
                <w:sz w:val="16"/>
                <w:szCs w:val="16"/>
              </w:rPr>
              <w:t>)</w:t>
            </w:r>
          </w:p>
        </w:tc>
        <w:tc>
          <w:tcPr>
            <w:tcW w:w="798" w:type="dxa"/>
            <w:tcBorders>
              <w:top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20</w:t>
            </w:r>
            <w:r w:rsidR="00135A9A" w:rsidRPr="00765C97">
              <w:rPr>
                <w:rFonts w:ascii="Arial" w:hAnsi="Arial" w:cs="Arial"/>
                <w:sz w:val="16"/>
                <w:szCs w:val="16"/>
              </w:rPr>
              <w:t xml:space="preserve"> </w:t>
            </w:r>
            <w:r w:rsidRPr="00765C97">
              <w:rPr>
                <w:rFonts w:ascii="Arial" w:hAnsi="Arial" w:cs="Arial"/>
                <w:sz w:val="16"/>
                <w:szCs w:val="16"/>
              </w:rPr>
              <w:t>737</w:t>
            </w:r>
          </w:p>
        </w:tc>
        <w:tc>
          <w:tcPr>
            <w:tcW w:w="824" w:type="dxa"/>
            <w:tcBorders>
              <w:top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22</w:t>
            </w:r>
            <w:r w:rsidR="00135A9A" w:rsidRPr="00765C97">
              <w:rPr>
                <w:rFonts w:ascii="Arial" w:hAnsi="Arial" w:cs="Arial"/>
                <w:sz w:val="16"/>
                <w:szCs w:val="16"/>
              </w:rPr>
              <w:t xml:space="preserve"> </w:t>
            </w:r>
            <w:r w:rsidRPr="00765C97">
              <w:rPr>
                <w:rFonts w:ascii="Arial" w:hAnsi="Arial" w:cs="Arial"/>
                <w:sz w:val="16"/>
                <w:szCs w:val="16"/>
              </w:rPr>
              <w:t>339</w:t>
            </w:r>
          </w:p>
        </w:tc>
        <w:tc>
          <w:tcPr>
            <w:tcW w:w="992" w:type="dxa"/>
            <w:tcBorders>
              <w:top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p>
        </w:tc>
        <w:tc>
          <w:tcPr>
            <w:tcW w:w="851" w:type="dxa"/>
            <w:tcBorders>
              <w:top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869</w:t>
            </w:r>
            <w:r w:rsidR="00135A9A" w:rsidRPr="00765C97">
              <w:rPr>
                <w:rFonts w:ascii="Arial" w:hAnsi="Arial" w:cs="Arial"/>
                <w:sz w:val="16"/>
                <w:szCs w:val="16"/>
              </w:rPr>
              <w:t xml:space="preserve"> </w:t>
            </w:r>
            <w:r w:rsidRPr="00765C97">
              <w:rPr>
                <w:rFonts w:ascii="Arial" w:hAnsi="Arial" w:cs="Arial"/>
                <w:sz w:val="16"/>
                <w:szCs w:val="16"/>
              </w:rPr>
              <w:t>408</w:t>
            </w:r>
          </w:p>
        </w:tc>
      </w:tr>
      <w:tr w:rsidR="00B943CF" w:rsidRPr="00765C97" w:rsidTr="004E7E0A">
        <w:trPr>
          <w:trHeight w:val="255"/>
        </w:trPr>
        <w:tc>
          <w:tcPr>
            <w:tcW w:w="1985" w:type="dxa"/>
            <w:vAlign w:val="center"/>
          </w:tcPr>
          <w:p w:rsidR="00B943CF" w:rsidRPr="00765C97" w:rsidRDefault="00B943CF" w:rsidP="00B031D9">
            <w:pPr>
              <w:adjustRightInd w:val="0"/>
              <w:rPr>
                <w:rFonts w:ascii="Arial" w:hAnsi="Arial" w:cs="Arial"/>
                <w:sz w:val="16"/>
                <w:szCs w:val="16"/>
                <w:lang w:val="pl-PL"/>
              </w:rPr>
            </w:pPr>
            <w:r w:rsidRPr="00765C97">
              <w:rPr>
                <w:rFonts w:ascii="Arial" w:hAnsi="Arial" w:cs="Arial"/>
                <w:sz w:val="16"/>
                <w:szCs w:val="16"/>
                <w:lang w:val="pl-PL"/>
              </w:rPr>
              <w:t>Koszty segmentu d/t sprzedaży pozostałym segmentom</w:t>
            </w:r>
          </w:p>
        </w:tc>
        <w:tc>
          <w:tcPr>
            <w:tcW w:w="851" w:type="dxa"/>
            <w:tcBorders>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153</w:t>
            </w:r>
            <w:r w:rsidR="004E7E0A" w:rsidRPr="00765C97">
              <w:rPr>
                <w:rFonts w:ascii="Arial" w:hAnsi="Arial" w:cs="Arial"/>
                <w:sz w:val="16"/>
                <w:szCs w:val="16"/>
              </w:rPr>
              <w:t xml:space="preserve"> </w:t>
            </w:r>
            <w:r w:rsidRPr="00765C97">
              <w:rPr>
                <w:rFonts w:ascii="Arial" w:hAnsi="Arial" w:cs="Arial"/>
                <w:sz w:val="16"/>
                <w:szCs w:val="16"/>
              </w:rPr>
              <w:t>318</w:t>
            </w:r>
          </w:p>
        </w:tc>
        <w:tc>
          <w:tcPr>
            <w:tcW w:w="709" w:type="dxa"/>
            <w:tcBorders>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13</w:t>
            </w:r>
            <w:r w:rsidR="00135A9A" w:rsidRPr="00765C97">
              <w:rPr>
                <w:rFonts w:ascii="Arial" w:hAnsi="Arial" w:cs="Arial"/>
                <w:sz w:val="16"/>
                <w:szCs w:val="16"/>
              </w:rPr>
              <w:t xml:space="preserve"> </w:t>
            </w:r>
            <w:r w:rsidRPr="00765C97">
              <w:rPr>
                <w:rFonts w:ascii="Arial" w:hAnsi="Arial" w:cs="Arial"/>
                <w:sz w:val="16"/>
                <w:szCs w:val="16"/>
              </w:rPr>
              <w:t>551</w:t>
            </w:r>
          </w:p>
        </w:tc>
        <w:tc>
          <w:tcPr>
            <w:tcW w:w="825" w:type="dxa"/>
            <w:tcBorders>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21</w:t>
            </w:r>
            <w:r w:rsidR="00135A9A" w:rsidRPr="00765C97">
              <w:rPr>
                <w:rFonts w:ascii="Arial" w:hAnsi="Arial" w:cs="Arial"/>
                <w:sz w:val="16"/>
                <w:szCs w:val="16"/>
              </w:rPr>
              <w:t xml:space="preserve"> </w:t>
            </w:r>
            <w:r w:rsidRPr="00765C97">
              <w:rPr>
                <w:rFonts w:ascii="Arial" w:hAnsi="Arial" w:cs="Arial"/>
                <w:sz w:val="16"/>
                <w:szCs w:val="16"/>
              </w:rPr>
              <w:t>995</w:t>
            </w:r>
          </w:p>
        </w:tc>
        <w:tc>
          <w:tcPr>
            <w:tcW w:w="928" w:type="dxa"/>
            <w:tcBorders>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w:t>
            </w:r>
            <w:r w:rsidR="00135A9A" w:rsidRPr="00765C97">
              <w:rPr>
                <w:rFonts w:ascii="Arial" w:hAnsi="Arial" w:cs="Arial"/>
                <w:sz w:val="16"/>
                <w:szCs w:val="16"/>
              </w:rPr>
              <w:t xml:space="preserve"> </w:t>
            </w:r>
            <w:r w:rsidRPr="00765C97">
              <w:rPr>
                <w:rFonts w:ascii="Arial" w:hAnsi="Arial" w:cs="Arial"/>
                <w:sz w:val="16"/>
                <w:szCs w:val="16"/>
              </w:rPr>
              <w:t>139</w:t>
            </w:r>
          </w:p>
        </w:tc>
        <w:tc>
          <w:tcPr>
            <w:tcW w:w="798" w:type="dxa"/>
            <w:tcBorders>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8</w:t>
            </w:r>
            <w:r w:rsidR="00135A9A" w:rsidRPr="00765C97">
              <w:rPr>
                <w:rFonts w:ascii="Arial" w:hAnsi="Arial" w:cs="Arial"/>
                <w:sz w:val="16"/>
                <w:szCs w:val="16"/>
              </w:rPr>
              <w:t xml:space="preserve"> </w:t>
            </w:r>
            <w:r w:rsidRPr="00765C97">
              <w:rPr>
                <w:rFonts w:ascii="Arial" w:hAnsi="Arial" w:cs="Arial"/>
                <w:sz w:val="16"/>
                <w:szCs w:val="16"/>
              </w:rPr>
              <w:t>473</w:t>
            </w:r>
          </w:p>
        </w:tc>
        <w:tc>
          <w:tcPr>
            <w:tcW w:w="824" w:type="dxa"/>
            <w:tcBorders>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w:t>
            </w:r>
            <w:r w:rsidR="00135A9A" w:rsidRPr="00765C97">
              <w:rPr>
                <w:rFonts w:ascii="Arial" w:hAnsi="Arial" w:cs="Arial"/>
                <w:sz w:val="16"/>
                <w:szCs w:val="16"/>
              </w:rPr>
              <w:t xml:space="preserve"> </w:t>
            </w:r>
            <w:r w:rsidRPr="00765C97">
              <w:rPr>
                <w:rFonts w:ascii="Arial" w:hAnsi="Arial" w:cs="Arial"/>
                <w:sz w:val="16"/>
                <w:szCs w:val="16"/>
              </w:rPr>
              <w:t>843</w:t>
            </w:r>
          </w:p>
        </w:tc>
        <w:tc>
          <w:tcPr>
            <w:tcW w:w="992" w:type="dxa"/>
            <w:tcBorders>
              <w:bottom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r w:rsidR="00B943CF" w:rsidRPr="00765C97">
              <w:rPr>
                <w:rFonts w:ascii="Arial" w:hAnsi="Arial" w:cs="Arial"/>
                <w:sz w:val="16"/>
                <w:szCs w:val="16"/>
              </w:rPr>
              <w:t>202</w:t>
            </w:r>
            <w:r w:rsidRPr="00765C97">
              <w:rPr>
                <w:rFonts w:ascii="Arial" w:hAnsi="Arial" w:cs="Arial"/>
                <w:sz w:val="16"/>
                <w:szCs w:val="16"/>
              </w:rPr>
              <w:t> </w:t>
            </w:r>
            <w:r w:rsidR="00B943CF" w:rsidRPr="00765C97">
              <w:rPr>
                <w:rFonts w:ascii="Arial" w:hAnsi="Arial" w:cs="Arial"/>
                <w:sz w:val="16"/>
                <w:szCs w:val="16"/>
              </w:rPr>
              <w:t>319</w:t>
            </w:r>
            <w:r w:rsidRPr="00765C97">
              <w:rPr>
                <w:rFonts w:ascii="Arial" w:hAnsi="Arial" w:cs="Arial"/>
                <w:sz w:val="16"/>
                <w:szCs w:val="16"/>
              </w:rPr>
              <w:t>)</w:t>
            </w:r>
          </w:p>
        </w:tc>
        <w:tc>
          <w:tcPr>
            <w:tcW w:w="851" w:type="dxa"/>
            <w:tcBorders>
              <w:bottom w:val="single" w:sz="4" w:space="0" w:color="auto"/>
            </w:tcBorders>
            <w:vAlign w:val="center"/>
          </w:tcPr>
          <w:p w:rsidR="00B943CF" w:rsidRPr="00765C97" w:rsidRDefault="00CE6B87" w:rsidP="004E7E0A">
            <w:pPr>
              <w:ind w:left="-70"/>
              <w:jc w:val="right"/>
              <w:rPr>
                <w:rFonts w:ascii="Arial" w:hAnsi="Arial" w:cs="Arial"/>
                <w:sz w:val="16"/>
                <w:szCs w:val="16"/>
              </w:rPr>
            </w:pPr>
            <w:r w:rsidRPr="00765C97">
              <w:rPr>
                <w:rFonts w:ascii="Arial" w:hAnsi="Arial" w:cs="Arial"/>
                <w:sz w:val="16"/>
                <w:szCs w:val="16"/>
              </w:rPr>
              <w:t>-</w:t>
            </w:r>
          </w:p>
        </w:tc>
      </w:tr>
      <w:tr w:rsidR="00B943CF" w:rsidRPr="00765C97" w:rsidTr="004E7E0A">
        <w:trPr>
          <w:trHeight w:val="255"/>
        </w:trPr>
        <w:tc>
          <w:tcPr>
            <w:tcW w:w="1985" w:type="dxa"/>
            <w:vAlign w:val="center"/>
          </w:tcPr>
          <w:p w:rsidR="00B943CF" w:rsidRPr="00765C97" w:rsidRDefault="00B943CF" w:rsidP="00B031D9">
            <w:pPr>
              <w:adjustRightInd w:val="0"/>
              <w:rPr>
                <w:rFonts w:ascii="Arial" w:hAnsi="Arial" w:cs="Arial"/>
                <w:sz w:val="16"/>
                <w:szCs w:val="16"/>
                <w:lang w:val="pl-PL"/>
              </w:rPr>
            </w:pPr>
            <w:r w:rsidRPr="00765C97">
              <w:rPr>
                <w:rFonts w:ascii="Arial" w:hAnsi="Arial" w:cs="Arial"/>
                <w:sz w:val="16"/>
                <w:szCs w:val="16"/>
                <w:lang w:val="pl-PL"/>
              </w:rPr>
              <w:t>Koszty segmentu ogółem*</w:t>
            </w:r>
          </w:p>
        </w:tc>
        <w:tc>
          <w:tcPr>
            <w:tcW w:w="851"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688</w:t>
            </w:r>
            <w:r w:rsidR="004E7E0A" w:rsidRPr="00765C97">
              <w:rPr>
                <w:rFonts w:ascii="Arial" w:hAnsi="Arial" w:cs="Arial"/>
                <w:sz w:val="16"/>
                <w:szCs w:val="16"/>
              </w:rPr>
              <w:t xml:space="preserve"> </w:t>
            </w:r>
            <w:r w:rsidRPr="00765C97">
              <w:rPr>
                <w:rFonts w:ascii="Arial" w:hAnsi="Arial" w:cs="Arial"/>
                <w:sz w:val="16"/>
                <w:szCs w:val="16"/>
              </w:rPr>
              <w:t>509</w:t>
            </w:r>
          </w:p>
        </w:tc>
        <w:tc>
          <w:tcPr>
            <w:tcW w:w="709"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233</w:t>
            </w:r>
            <w:r w:rsidR="00135A9A" w:rsidRPr="00765C97">
              <w:rPr>
                <w:rFonts w:ascii="Arial" w:hAnsi="Arial" w:cs="Arial"/>
                <w:sz w:val="16"/>
                <w:szCs w:val="16"/>
              </w:rPr>
              <w:t xml:space="preserve"> </w:t>
            </w:r>
            <w:r w:rsidRPr="00765C97">
              <w:rPr>
                <w:rFonts w:ascii="Arial" w:hAnsi="Arial" w:cs="Arial"/>
                <w:sz w:val="16"/>
                <w:szCs w:val="16"/>
              </w:rPr>
              <w:t>779</w:t>
            </w:r>
          </w:p>
        </w:tc>
        <w:tc>
          <w:tcPr>
            <w:tcW w:w="825"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93</w:t>
            </w:r>
            <w:r w:rsidR="00135A9A" w:rsidRPr="00765C97">
              <w:rPr>
                <w:rFonts w:ascii="Arial" w:hAnsi="Arial" w:cs="Arial"/>
                <w:sz w:val="16"/>
                <w:szCs w:val="16"/>
              </w:rPr>
              <w:t xml:space="preserve"> </w:t>
            </w:r>
            <w:r w:rsidRPr="00765C97">
              <w:rPr>
                <w:rFonts w:ascii="Arial" w:hAnsi="Arial" w:cs="Arial"/>
                <w:sz w:val="16"/>
                <w:szCs w:val="16"/>
              </w:rPr>
              <w:t>471</w:t>
            </w:r>
          </w:p>
        </w:tc>
        <w:tc>
          <w:tcPr>
            <w:tcW w:w="928"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1</w:t>
            </w:r>
            <w:r w:rsidR="00135A9A" w:rsidRPr="00765C97">
              <w:rPr>
                <w:rFonts w:ascii="Arial" w:hAnsi="Arial" w:cs="Arial"/>
                <w:sz w:val="16"/>
                <w:szCs w:val="16"/>
              </w:rPr>
              <w:t xml:space="preserve"> </w:t>
            </w:r>
            <w:r w:rsidRPr="00765C97">
              <w:rPr>
                <w:rFonts w:ascii="Arial" w:hAnsi="Arial" w:cs="Arial"/>
                <w:sz w:val="16"/>
                <w:szCs w:val="16"/>
              </w:rPr>
              <w:t>576</w:t>
            </w:r>
          </w:p>
        </w:tc>
        <w:tc>
          <w:tcPr>
            <w:tcW w:w="798"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29</w:t>
            </w:r>
            <w:r w:rsidR="00135A9A" w:rsidRPr="00765C97">
              <w:rPr>
                <w:rFonts w:ascii="Arial" w:hAnsi="Arial" w:cs="Arial"/>
                <w:sz w:val="16"/>
                <w:szCs w:val="16"/>
              </w:rPr>
              <w:t xml:space="preserve"> </w:t>
            </w:r>
            <w:r w:rsidRPr="00765C97">
              <w:rPr>
                <w:rFonts w:ascii="Arial" w:hAnsi="Arial" w:cs="Arial"/>
                <w:sz w:val="16"/>
                <w:szCs w:val="16"/>
              </w:rPr>
              <w:t>210</w:t>
            </w:r>
          </w:p>
        </w:tc>
        <w:tc>
          <w:tcPr>
            <w:tcW w:w="824"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25</w:t>
            </w:r>
            <w:r w:rsidR="00135A9A" w:rsidRPr="00765C97">
              <w:rPr>
                <w:rFonts w:ascii="Arial" w:hAnsi="Arial" w:cs="Arial"/>
                <w:sz w:val="16"/>
                <w:szCs w:val="16"/>
              </w:rPr>
              <w:t xml:space="preserve"> </w:t>
            </w:r>
            <w:r w:rsidRPr="00765C97">
              <w:rPr>
                <w:rFonts w:ascii="Arial" w:hAnsi="Arial" w:cs="Arial"/>
                <w:sz w:val="16"/>
                <w:szCs w:val="16"/>
              </w:rPr>
              <w:t>182</w:t>
            </w:r>
          </w:p>
        </w:tc>
        <w:tc>
          <w:tcPr>
            <w:tcW w:w="992" w:type="dxa"/>
            <w:tcBorders>
              <w:top w:val="single" w:sz="4" w:space="0" w:color="auto"/>
              <w:bottom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r w:rsidR="00B943CF" w:rsidRPr="00765C97">
              <w:rPr>
                <w:rFonts w:ascii="Arial" w:hAnsi="Arial" w:cs="Arial"/>
                <w:sz w:val="16"/>
                <w:szCs w:val="16"/>
              </w:rPr>
              <w:t>202</w:t>
            </w:r>
            <w:r w:rsidRPr="00765C97">
              <w:rPr>
                <w:rFonts w:ascii="Arial" w:hAnsi="Arial" w:cs="Arial"/>
                <w:sz w:val="16"/>
                <w:szCs w:val="16"/>
              </w:rPr>
              <w:t xml:space="preserve"> </w:t>
            </w:r>
            <w:r w:rsidR="00B943CF" w:rsidRPr="00765C97">
              <w:rPr>
                <w:rFonts w:ascii="Arial" w:hAnsi="Arial" w:cs="Arial"/>
                <w:sz w:val="16"/>
                <w:szCs w:val="16"/>
              </w:rPr>
              <w:t>319</w:t>
            </w:r>
            <w:r w:rsidRPr="00765C97">
              <w:rPr>
                <w:rFonts w:ascii="Arial" w:hAnsi="Arial" w:cs="Arial"/>
                <w:sz w:val="16"/>
                <w:szCs w:val="16"/>
              </w:rPr>
              <w:t>)</w:t>
            </w:r>
          </w:p>
        </w:tc>
        <w:tc>
          <w:tcPr>
            <w:tcW w:w="851"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869</w:t>
            </w:r>
            <w:r w:rsidR="00135A9A" w:rsidRPr="00765C97">
              <w:rPr>
                <w:rFonts w:ascii="Arial" w:hAnsi="Arial" w:cs="Arial"/>
                <w:sz w:val="16"/>
                <w:szCs w:val="16"/>
              </w:rPr>
              <w:t xml:space="preserve"> </w:t>
            </w:r>
            <w:r w:rsidRPr="00765C97">
              <w:rPr>
                <w:rFonts w:ascii="Arial" w:hAnsi="Arial" w:cs="Arial"/>
                <w:sz w:val="16"/>
                <w:szCs w:val="16"/>
              </w:rPr>
              <w:t>408</w:t>
            </w:r>
          </w:p>
        </w:tc>
      </w:tr>
      <w:tr w:rsidR="00B943CF" w:rsidRPr="00765C97" w:rsidTr="004E7E0A">
        <w:trPr>
          <w:trHeight w:val="255"/>
        </w:trPr>
        <w:tc>
          <w:tcPr>
            <w:tcW w:w="1985" w:type="dxa"/>
            <w:vAlign w:val="center"/>
          </w:tcPr>
          <w:p w:rsidR="00B943CF" w:rsidRPr="00765C97" w:rsidRDefault="00B943CF" w:rsidP="00B031D9">
            <w:pPr>
              <w:adjustRightInd w:val="0"/>
              <w:rPr>
                <w:rFonts w:ascii="Arial" w:hAnsi="Arial" w:cs="Arial"/>
                <w:sz w:val="16"/>
                <w:szCs w:val="16"/>
                <w:lang w:val="pl-PL"/>
              </w:rPr>
            </w:pPr>
            <w:r w:rsidRPr="00765C97">
              <w:rPr>
                <w:rFonts w:ascii="Arial" w:hAnsi="Arial" w:cs="Arial"/>
                <w:sz w:val="16"/>
                <w:szCs w:val="16"/>
                <w:lang w:val="pl-PL"/>
              </w:rPr>
              <w:t xml:space="preserve">Podatek bieżący </w:t>
            </w:r>
          </w:p>
        </w:tc>
        <w:tc>
          <w:tcPr>
            <w:tcW w:w="851" w:type="dxa"/>
            <w:tcBorders>
              <w:top w:val="single" w:sz="4" w:space="0" w:color="auto"/>
            </w:tcBorders>
            <w:vAlign w:val="center"/>
          </w:tcPr>
          <w:p w:rsidR="00B943CF" w:rsidRPr="00765C97" w:rsidRDefault="004E7E0A" w:rsidP="004E7E0A">
            <w:pPr>
              <w:ind w:left="-70"/>
              <w:jc w:val="right"/>
              <w:rPr>
                <w:rFonts w:ascii="Arial" w:hAnsi="Arial" w:cs="Arial"/>
                <w:sz w:val="16"/>
                <w:szCs w:val="16"/>
              </w:rPr>
            </w:pPr>
            <w:r w:rsidRPr="00765C97">
              <w:rPr>
                <w:rFonts w:ascii="Arial" w:hAnsi="Arial" w:cs="Arial"/>
                <w:sz w:val="16"/>
                <w:szCs w:val="16"/>
              </w:rPr>
              <w:t>(</w:t>
            </w:r>
            <w:r w:rsidR="00B943CF" w:rsidRPr="00765C97">
              <w:rPr>
                <w:rFonts w:ascii="Arial" w:hAnsi="Arial" w:cs="Arial"/>
                <w:sz w:val="16"/>
                <w:szCs w:val="16"/>
              </w:rPr>
              <w:t>5</w:t>
            </w:r>
            <w:r w:rsidRPr="00765C97">
              <w:rPr>
                <w:rFonts w:ascii="Arial" w:hAnsi="Arial" w:cs="Arial"/>
                <w:sz w:val="16"/>
                <w:szCs w:val="16"/>
              </w:rPr>
              <w:t> </w:t>
            </w:r>
            <w:r w:rsidR="00B943CF" w:rsidRPr="00765C97">
              <w:rPr>
                <w:rFonts w:ascii="Arial" w:hAnsi="Arial" w:cs="Arial"/>
                <w:sz w:val="16"/>
                <w:szCs w:val="16"/>
              </w:rPr>
              <w:t>977</w:t>
            </w:r>
            <w:r w:rsidRPr="00765C97">
              <w:rPr>
                <w:rFonts w:ascii="Arial" w:hAnsi="Arial" w:cs="Arial"/>
                <w:sz w:val="16"/>
                <w:szCs w:val="16"/>
              </w:rPr>
              <w:t>)</w:t>
            </w:r>
          </w:p>
        </w:tc>
        <w:tc>
          <w:tcPr>
            <w:tcW w:w="709" w:type="dxa"/>
            <w:tcBorders>
              <w:top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r w:rsidR="00B943CF" w:rsidRPr="00765C97">
              <w:rPr>
                <w:rFonts w:ascii="Arial" w:hAnsi="Arial" w:cs="Arial"/>
                <w:sz w:val="16"/>
                <w:szCs w:val="16"/>
              </w:rPr>
              <w:t>3</w:t>
            </w:r>
            <w:r w:rsidRPr="00765C97">
              <w:rPr>
                <w:rFonts w:ascii="Arial" w:hAnsi="Arial" w:cs="Arial"/>
                <w:sz w:val="16"/>
                <w:szCs w:val="16"/>
              </w:rPr>
              <w:t> </w:t>
            </w:r>
            <w:r w:rsidR="00B943CF" w:rsidRPr="00765C97">
              <w:rPr>
                <w:rFonts w:ascii="Arial" w:hAnsi="Arial" w:cs="Arial"/>
                <w:sz w:val="16"/>
                <w:szCs w:val="16"/>
              </w:rPr>
              <w:t>224</w:t>
            </w:r>
            <w:r w:rsidRPr="00765C97">
              <w:rPr>
                <w:rFonts w:ascii="Arial" w:hAnsi="Arial" w:cs="Arial"/>
                <w:sz w:val="16"/>
                <w:szCs w:val="16"/>
              </w:rPr>
              <w:t>)</w:t>
            </w:r>
          </w:p>
        </w:tc>
        <w:tc>
          <w:tcPr>
            <w:tcW w:w="825" w:type="dxa"/>
            <w:tcBorders>
              <w:top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r w:rsidR="00B943CF" w:rsidRPr="00765C97">
              <w:rPr>
                <w:rFonts w:ascii="Arial" w:hAnsi="Arial" w:cs="Arial"/>
                <w:sz w:val="16"/>
                <w:szCs w:val="16"/>
              </w:rPr>
              <w:t>2</w:t>
            </w:r>
            <w:r w:rsidRPr="00765C97">
              <w:rPr>
                <w:rFonts w:ascii="Arial" w:hAnsi="Arial" w:cs="Arial"/>
                <w:sz w:val="16"/>
                <w:szCs w:val="16"/>
              </w:rPr>
              <w:t> </w:t>
            </w:r>
            <w:r w:rsidR="00B943CF" w:rsidRPr="00765C97">
              <w:rPr>
                <w:rFonts w:ascii="Arial" w:hAnsi="Arial" w:cs="Arial"/>
                <w:sz w:val="16"/>
                <w:szCs w:val="16"/>
              </w:rPr>
              <w:t>685</w:t>
            </w:r>
            <w:r w:rsidRPr="00765C97">
              <w:rPr>
                <w:rFonts w:ascii="Arial" w:hAnsi="Arial" w:cs="Arial"/>
                <w:sz w:val="16"/>
                <w:szCs w:val="16"/>
              </w:rPr>
              <w:t>)</w:t>
            </w:r>
          </w:p>
        </w:tc>
        <w:tc>
          <w:tcPr>
            <w:tcW w:w="928" w:type="dxa"/>
            <w:tcBorders>
              <w:top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p>
        </w:tc>
        <w:tc>
          <w:tcPr>
            <w:tcW w:w="798" w:type="dxa"/>
            <w:tcBorders>
              <w:top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p>
        </w:tc>
        <w:tc>
          <w:tcPr>
            <w:tcW w:w="824" w:type="dxa"/>
            <w:tcBorders>
              <w:top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r w:rsidR="00B943CF" w:rsidRPr="00765C97">
              <w:rPr>
                <w:rFonts w:ascii="Arial" w:hAnsi="Arial" w:cs="Arial"/>
                <w:sz w:val="16"/>
                <w:szCs w:val="16"/>
              </w:rPr>
              <w:t>73</w:t>
            </w:r>
            <w:r w:rsidRPr="00765C97">
              <w:rPr>
                <w:rFonts w:ascii="Arial" w:hAnsi="Arial" w:cs="Arial"/>
                <w:sz w:val="16"/>
                <w:szCs w:val="16"/>
              </w:rPr>
              <w:t>)</w:t>
            </w:r>
          </w:p>
        </w:tc>
        <w:tc>
          <w:tcPr>
            <w:tcW w:w="992" w:type="dxa"/>
            <w:tcBorders>
              <w:top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p>
        </w:tc>
        <w:tc>
          <w:tcPr>
            <w:tcW w:w="851" w:type="dxa"/>
            <w:tcBorders>
              <w:top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r w:rsidR="00B943CF" w:rsidRPr="00765C97">
              <w:rPr>
                <w:rFonts w:ascii="Arial" w:hAnsi="Arial" w:cs="Arial"/>
                <w:sz w:val="16"/>
                <w:szCs w:val="16"/>
              </w:rPr>
              <w:t>11</w:t>
            </w:r>
            <w:r w:rsidRPr="00765C97">
              <w:rPr>
                <w:rFonts w:ascii="Arial" w:hAnsi="Arial" w:cs="Arial"/>
                <w:sz w:val="16"/>
                <w:szCs w:val="16"/>
              </w:rPr>
              <w:t> </w:t>
            </w:r>
            <w:r w:rsidR="00B943CF" w:rsidRPr="00765C97">
              <w:rPr>
                <w:rFonts w:ascii="Arial" w:hAnsi="Arial" w:cs="Arial"/>
                <w:sz w:val="16"/>
                <w:szCs w:val="16"/>
              </w:rPr>
              <w:t>959</w:t>
            </w:r>
            <w:r w:rsidRPr="00765C97">
              <w:rPr>
                <w:rFonts w:ascii="Arial" w:hAnsi="Arial" w:cs="Arial"/>
                <w:sz w:val="16"/>
                <w:szCs w:val="16"/>
              </w:rPr>
              <w:t>)</w:t>
            </w:r>
          </w:p>
        </w:tc>
      </w:tr>
      <w:tr w:rsidR="00B943CF" w:rsidRPr="00765C97" w:rsidTr="004E7E0A">
        <w:trPr>
          <w:trHeight w:val="255"/>
        </w:trPr>
        <w:tc>
          <w:tcPr>
            <w:tcW w:w="1985" w:type="dxa"/>
            <w:vAlign w:val="center"/>
          </w:tcPr>
          <w:p w:rsidR="00B943CF" w:rsidRPr="00765C97" w:rsidRDefault="00B943CF" w:rsidP="00B031D9">
            <w:pPr>
              <w:adjustRightInd w:val="0"/>
              <w:rPr>
                <w:rFonts w:ascii="Arial" w:hAnsi="Arial" w:cs="Arial"/>
                <w:sz w:val="16"/>
                <w:szCs w:val="16"/>
                <w:lang w:val="pl-PL"/>
              </w:rPr>
            </w:pPr>
            <w:r w:rsidRPr="00765C97">
              <w:rPr>
                <w:rFonts w:ascii="Arial" w:hAnsi="Arial" w:cs="Arial"/>
                <w:sz w:val="16"/>
                <w:szCs w:val="16"/>
                <w:lang w:val="pl-PL"/>
              </w:rPr>
              <w:t>Aktywa i rezerwa na podatek z tytułu ulgi inwestycyjnej i pozostałych tytułów</w:t>
            </w:r>
          </w:p>
        </w:tc>
        <w:tc>
          <w:tcPr>
            <w:tcW w:w="851" w:type="dxa"/>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6</w:t>
            </w:r>
            <w:r w:rsidR="004E7E0A" w:rsidRPr="00765C97">
              <w:rPr>
                <w:rFonts w:ascii="Arial" w:hAnsi="Arial" w:cs="Arial"/>
                <w:sz w:val="16"/>
                <w:szCs w:val="16"/>
              </w:rPr>
              <w:t xml:space="preserve"> </w:t>
            </w:r>
            <w:r w:rsidRPr="00765C97">
              <w:rPr>
                <w:rFonts w:ascii="Arial" w:hAnsi="Arial" w:cs="Arial"/>
                <w:sz w:val="16"/>
                <w:szCs w:val="16"/>
              </w:rPr>
              <w:t>495</w:t>
            </w:r>
          </w:p>
        </w:tc>
        <w:tc>
          <w:tcPr>
            <w:tcW w:w="709" w:type="dxa"/>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w:t>
            </w:r>
            <w:r w:rsidR="00135A9A" w:rsidRPr="00765C97">
              <w:rPr>
                <w:rFonts w:ascii="Arial" w:hAnsi="Arial" w:cs="Arial"/>
                <w:sz w:val="16"/>
                <w:szCs w:val="16"/>
              </w:rPr>
              <w:t xml:space="preserve"> </w:t>
            </w:r>
            <w:r w:rsidRPr="00765C97">
              <w:rPr>
                <w:rFonts w:ascii="Arial" w:hAnsi="Arial" w:cs="Arial"/>
                <w:sz w:val="16"/>
                <w:szCs w:val="16"/>
              </w:rPr>
              <w:t>687</w:t>
            </w:r>
          </w:p>
        </w:tc>
        <w:tc>
          <w:tcPr>
            <w:tcW w:w="825" w:type="dxa"/>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p>
        </w:tc>
        <w:tc>
          <w:tcPr>
            <w:tcW w:w="928" w:type="dxa"/>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p>
        </w:tc>
        <w:tc>
          <w:tcPr>
            <w:tcW w:w="798" w:type="dxa"/>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276</w:t>
            </w:r>
          </w:p>
        </w:tc>
        <w:tc>
          <w:tcPr>
            <w:tcW w:w="824" w:type="dxa"/>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16</w:t>
            </w:r>
          </w:p>
        </w:tc>
        <w:tc>
          <w:tcPr>
            <w:tcW w:w="992" w:type="dxa"/>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p>
        </w:tc>
        <w:tc>
          <w:tcPr>
            <w:tcW w:w="851" w:type="dxa"/>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9</w:t>
            </w:r>
            <w:r w:rsidR="00135A9A" w:rsidRPr="00765C97">
              <w:rPr>
                <w:rFonts w:ascii="Arial" w:hAnsi="Arial" w:cs="Arial"/>
                <w:sz w:val="16"/>
                <w:szCs w:val="16"/>
              </w:rPr>
              <w:t xml:space="preserve"> </w:t>
            </w:r>
            <w:r w:rsidRPr="00765C97">
              <w:rPr>
                <w:rFonts w:ascii="Arial" w:hAnsi="Arial" w:cs="Arial"/>
                <w:sz w:val="16"/>
                <w:szCs w:val="16"/>
              </w:rPr>
              <w:t>474</w:t>
            </w:r>
          </w:p>
        </w:tc>
      </w:tr>
      <w:tr w:rsidR="00B943CF" w:rsidRPr="00765C97" w:rsidTr="004E7E0A">
        <w:trPr>
          <w:trHeight w:val="255"/>
        </w:trPr>
        <w:tc>
          <w:tcPr>
            <w:tcW w:w="1985" w:type="dxa"/>
            <w:vAlign w:val="center"/>
          </w:tcPr>
          <w:p w:rsidR="00B943CF" w:rsidRPr="00765C97" w:rsidRDefault="00B943CF" w:rsidP="00B031D9">
            <w:pPr>
              <w:adjustRightInd w:val="0"/>
              <w:rPr>
                <w:rFonts w:ascii="Arial" w:hAnsi="Arial" w:cs="Arial"/>
                <w:sz w:val="16"/>
                <w:szCs w:val="16"/>
                <w:lang w:val="pl-PL"/>
              </w:rPr>
            </w:pPr>
            <w:r w:rsidRPr="00765C97">
              <w:rPr>
                <w:rFonts w:ascii="Arial" w:hAnsi="Arial" w:cs="Arial"/>
                <w:sz w:val="16"/>
                <w:szCs w:val="16"/>
                <w:lang w:val="pl-PL"/>
              </w:rPr>
              <w:t>Udział segmentu w wyniku jednostek wycenianych metodą prawa własności</w:t>
            </w:r>
          </w:p>
        </w:tc>
        <w:tc>
          <w:tcPr>
            <w:tcW w:w="851" w:type="dxa"/>
            <w:tcBorders>
              <w:bottom w:val="single" w:sz="4" w:space="0" w:color="auto"/>
            </w:tcBorders>
            <w:vAlign w:val="center"/>
          </w:tcPr>
          <w:p w:rsidR="00B943CF" w:rsidRPr="00765C97" w:rsidRDefault="004E7E0A" w:rsidP="004E7E0A">
            <w:pPr>
              <w:ind w:left="-70"/>
              <w:jc w:val="right"/>
              <w:rPr>
                <w:rFonts w:ascii="Arial" w:hAnsi="Arial" w:cs="Arial"/>
                <w:sz w:val="16"/>
                <w:szCs w:val="16"/>
              </w:rPr>
            </w:pPr>
            <w:r w:rsidRPr="00765C97">
              <w:rPr>
                <w:rFonts w:ascii="Arial" w:hAnsi="Arial" w:cs="Arial"/>
                <w:sz w:val="16"/>
                <w:szCs w:val="16"/>
              </w:rPr>
              <w:t>(</w:t>
            </w:r>
            <w:r w:rsidR="00B943CF" w:rsidRPr="00765C97">
              <w:rPr>
                <w:rFonts w:ascii="Arial" w:hAnsi="Arial" w:cs="Arial"/>
                <w:sz w:val="16"/>
                <w:szCs w:val="16"/>
              </w:rPr>
              <w:t>23</w:t>
            </w:r>
            <w:r w:rsidRPr="00765C97">
              <w:rPr>
                <w:rFonts w:ascii="Arial" w:hAnsi="Arial" w:cs="Arial"/>
                <w:sz w:val="16"/>
                <w:szCs w:val="16"/>
              </w:rPr>
              <w:t>)</w:t>
            </w:r>
          </w:p>
        </w:tc>
        <w:tc>
          <w:tcPr>
            <w:tcW w:w="709" w:type="dxa"/>
            <w:tcBorders>
              <w:bottom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p>
        </w:tc>
        <w:tc>
          <w:tcPr>
            <w:tcW w:w="825" w:type="dxa"/>
            <w:tcBorders>
              <w:bottom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p>
        </w:tc>
        <w:tc>
          <w:tcPr>
            <w:tcW w:w="928" w:type="dxa"/>
            <w:tcBorders>
              <w:bottom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p>
        </w:tc>
        <w:tc>
          <w:tcPr>
            <w:tcW w:w="798" w:type="dxa"/>
            <w:tcBorders>
              <w:bottom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p>
        </w:tc>
        <w:tc>
          <w:tcPr>
            <w:tcW w:w="824" w:type="dxa"/>
            <w:tcBorders>
              <w:bottom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p>
        </w:tc>
        <w:tc>
          <w:tcPr>
            <w:tcW w:w="992" w:type="dxa"/>
            <w:tcBorders>
              <w:bottom w:val="single" w:sz="4" w:space="0" w:color="auto"/>
            </w:tcBorders>
            <w:vAlign w:val="center"/>
          </w:tcPr>
          <w:p w:rsidR="00B943CF" w:rsidRPr="00765C97" w:rsidRDefault="00CE6B87" w:rsidP="004E7E0A">
            <w:pPr>
              <w:ind w:left="-70"/>
              <w:jc w:val="right"/>
              <w:rPr>
                <w:rFonts w:ascii="Arial" w:hAnsi="Arial" w:cs="Arial"/>
                <w:sz w:val="16"/>
                <w:szCs w:val="16"/>
              </w:rPr>
            </w:pPr>
            <w:r w:rsidRPr="00765C97">
              <w:rPr>
                <w:rFonts w:ascii="Arial" w:hAnsi="Arial" w:cs="Arial"/>
                <w:sz w:val="16"/>
                <w:szCs w:val="16"/>
              </w:rPr>
              <w:t>-</w:t>
            </w:r>
          </w:p>
        </w:tc>
        <w:tc>
          <w:tcPr>
            <w:tcW w:w="851" w:type="dxa"/>
            <w:tcBorders>
              <w:bottom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r w:rsidR="00B943CF" w:rsidRPr="00765C97">
              <w:rPr>
                <w:rFonts w:ascii="Arial" w:hAnsi="Arial" w:cs="Arial"/>
                <w:sz w:val="16"/>
                <w:szCs w:val="16"/>
              </w:rPr>
              <w:t>23</w:t>
            </w:r>
            <w:r w:rsidRPr="00765C97">
              <w:rPr>
                <w:rFonts w:ascii="Arial" w:hAnsi="Arial" w:cs="Arial"/>
                <w:sz w:val="16"/>
                <w:szCs w:val="16"/>
              </w:rPr>
              <w:t>)</w:t>
            </w:r>
          </w:p>
        </w:tc>
      </w:tr>
      <w:tr w:rsidR="00B943CF" w:rsidRPr="00765C97" w:rsidTr="004E7E0A">
        <w:trPr>
          <w:trHeight w:val="255"/>
        </w:trPr>
        <w:tc>
          <w:tcPr>
            <w:tcW w:w="1985" w:type="dxa"/>
            <w:vAlign w:val="center"/>
          </w:tcPr>
          <w:p w:rsidR="00B943CF" w:rsidRPr="00765C97" w:rsidRDefault="00B943CF" w:rsidP="00B031D9">
            <w:pPr>
              <w:adjustRightInd w:val="0"/>
              <w:rPr>
                <w:rFonts w:ascii="Arial" w:hAnsi="Arial" w:cs="Arial"/>
                <w:sz w:val="16"/>
                <w:szCs w:val="16"/>
                <w:lang w:val="pl-PL"/>
              </w:rPr>
            </w:pPr>
            <w:r w:rsidRPr="00765C97">
              <w:rPr>
                <w:rFonts w:ascii="Arial" w:hAnsi="Arial" w:cs="Arial"/>
                <w:sz w:val="16"/>
                <w:szCs w:val="16"/>
                <w:lang w:val="pl-PL"/>
              </w:rPr>
              <w:t>Wynik netto</w:t>
            </w:r>
          </w:p>
        </w:tc>
        <w:tc>
          <w:tcPr>
            <w:tcW w:w="851"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50</w:t>
            </w:r>
            <w:r w:rsidR="004E7E0A" w:rsidRPr="00765C97">
              <w:rPr>
                <w:rFonts w:ascii="Arial" w:hAnsi="Arial" w:cs="Arial"/>
                <w:sz w:val="16"/>
                <w:szCs w:val="16"/>
              </w:rPr>
              <w:t xml:space="preserve"> </w:t>
            </w:r>
            <w:r w:rsidRPr="00765C97">
              <w:rPr>
                <w:rFonts w:ascii="Arial" w:hAnsi="Arial" w:cs="Arial"/>
                <w:sz w:val="16"/>
                <w:szCs w:val="16"/>
              </w:rPr>
              <w:t>294</w:t>
            </w:r>
          </w:p>
        </w:tc>
        <w:tc>
          <w:tcPr>
            <w:tcW w:w="709"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2</w:t>
            </w:r>
            <w:r w:rsidR="00135A9A" w:rsidRPr="00765C97">
              <w:rPr>
                <w:rFonts w:ascii="Arial" w:hAnsi="Arial" w:cs="Arial"/>
                <w:sz w:val="16"/>
                <w:szCs w:val="16"/>
              </w:rPr>
              <w:t xml:space="preserve"> </w:t>
            </w:r>
            <w:r w:rsidRPr="00765C97">
              <w:rPr>
                <w:rFonts w:ascii="Arial" w:hAnsi="Arial" w:cs="Arial"/>
                <w:sz w:val="16"/>
                <w:szCs w:val="16"/>
              </w:rPr>
              <w:t>759</w:t>
            </w:r>
          </w:p>
        </w:tc>
        <w:tc>
          <w:tcPr>
            <w:tcW w:w="825"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1</w:t>
            </w:r>
            <w:r w:rsidR="00135A9A" w:rsidRPr="00765C97">
              <w:rPr>
                <w:rFonts w:ascii="Arial" w:hAnsi="Arial" w:cs="Arial"/>
                <w:sz w:val="16"/>
                <w:szCs w:val="16"/>
              </w:rPr>
              <w:t xml:space="preserve"> </w:t>
            </w:r>
            <w:r w:rsidRPr="00765C97">
              <w:rPr>
                <w:rFonts w:ascii="Arial" w:hAnsi="Arial" w:cs="Arial"/>
                <w:sz w:val="16"/>
                <w:szCs w:val="16"/>
              </w:rPr>
              <w:t>959</w:t>
            </w:r>
          </w:p>
        </w:tc>
        <w:tc>
          <w:tcPr>
            <w:tcW w:w="928" w:type="dxa"/>
            <w:tcBorders>
              <w:top w:val="single" w:sz="4" w:space="0" w:color="auto"/>
              <w:bottom w:val="single" w:sz="4" w:space="0" w:color="auto"/>
            </w:tcBorders>
            <w:vAlign w:val="center"/>
          </w:tcPr>
          <w:p w:rsidR="00B943CF" w:rsidRPr="00765C97" w:rsidRDefault="00B943CF" w:rsidP="004E7E0A">
            <w:pPr>
              <w:ind w:left="-70"/>
              <w:jc w:val="right"/>
              <w:rPr>
                <w:rFonts w:ascii="Arial" w:hAnsi="Arial" w:cs="Arial"/>
                <w:sz w:val="16"/>
                <w:szCs w:val="16"/>
              </w:rPr>
            </w:pPr>
            <w:r w:rsidRPr="00765C97">
              <w:rPr>
                <w:rFonts w:ascii="Arial" w:hAnsi="Arial" w:cs="Arial"/>
                <w:sz w:val="16"/>
                <w:szCs w:val="16"/>
              </w:rPr>
              <w:t>3720</w:t>
            </w:r>
          </w:p>
        </w:tc>
        <w:tc>
          <w:tcPr>
            <w:tcW w:w="798" w:type="dxa"/>
            <w:tcBorders>
              <w:top w:val="single" w:sz="4" w:space="0" w:color="auto"/>
              <w:bottom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r w:rsidR="00B943CF" w:rsidRPr="00765C97">
              <w:rPr>
                <w:rFonts w:ascii="Arial" w:hAnsi="Arial" w:cs="Arial"/>
                <w:sz w:val="16"/>
                <w:szCs w:val="16"/>
              </w:rPr>
              <w:t>8</w:t>
            </w:r>
            <w:r w:rsidRPr="00765C97">
              <w:rPr>
                <w:rFonts w:ascii="Arial" w:hAnsi="Arial" w:cs="Arial"/>
                <w:sz w:val="16"/>
                <w:szCs w:val="16"/>
              </w:rPr>
              <w:t> </w:t>
            </w:r>
            <w:r w:rsidR="00B943CF" w:rsidRPr="00765C97">
              <w:rPr>
                <w:rFonts w:ascii="Arial" w:hAnsi="Arial" w:cs="Arial"/>
                <w:sz w:val="16"/>
                <w:szCs w:val="16"/>
              </w:rPr>
              <w:t>256</w:t>
            </w:r>
            <w:r w:rsidRPr="00765C97">
              <w:rPr>
                <w:rFonts w:ascii="Arial" w:hAnsi="Arial" w:cs="Arial"/>
                <w:sz w:val="16"/>
                <w:szCs w:val="16"/>
              </w:rPr>
              <w:t>)</w:t>
            </w:r>
          </w:p>
        </w:tc>
        <w:tc>
          <w:tcPr>
            <w:tcW w:w="824" w:type="dxa"/>
            <w:tcBorders>
              <w:top w:val="single" w:sz="4" w:space="0" w:color="auto"/>
              <w:bottom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r w:rsidR="00B943CF" w:rsidRPr="00765C97">
              <w:rPr>
                <w:rFonts w:ascii="Arial" w:hAnsi="Arial" w:cs="Arial"/>
                <w:sz w:val="16"/>
                <w:szCs w:val="16"/>
              </w:rPr>
              <w:t>13</w:t>
            </w:r>
            <w:r w:rsidRPr="00765C97">
              <w:rPr>
                <w:rFonts w:ascii="Arial" w:hAnsi="Arial" w:cs="Arial"/>
                <w:sz w:val="16"/>
                <w:szCs w:val="16"/>
              </w:rPr>
              <w:t> </w:t>
            </w:r>
            <w:r w:rsidR="00B943CF" w:rsidRPr="00765C97">
              <w:rPr>
                <w:rFonts w:ascii="Arial" w:hAnsi="Arial" w:cs="Arial"/>
                <w:sz w:val="16"/>
                <w:szCs w:val="16"/>
              </w:rPr>
              <w:t>224</w:t>
            </w:r>
            <w:r w:rsidRPr="00765C97">
              <w:rPr>
                <w:rFonts w:ascii="Arial" w:hAnsi="Arial" w:cs="Arial"/>
                <w:sz w:val="16"/>
                <w:szCs w:val="16"/>
              </w:rPr>
              <w:t>)</w:t>
            </w:r>
          </w:p>
        </w:tc>
        <w:tc>
          <w:tcPr>
            <w:tcW w:w="992" w:type="dxa"/>
            <w:tcBorders>
              <w:top w:val="single" w:sz="4" w:space="0" w:color="auto"/>
              <w:bottom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p>
        </w:tc>
        <w:tc>
          <w:tcPr>
            <w:tcW w:w="851" w:type="dxa"/>
            <w:tcBorders>
              <w:top w:val="single" w:sz="4" w:space="0" w:color="auto"/>
              <w:bottom w:val="single" w:sz="4" w:space="0" w:color="auto"/>
            </w:tcBorders>
            <w:vAlign w:val="center"/>
          </w:tcPr>
          <w:p w:rsidR="00B943CF" w:rsidRPr="00765C97" w:rsidRDefault="00135A9A" w:rsidP="004E7E0A">
            <w:pPr>
              <w:ind w:left="-70"/>
              <w:jc w:val="right"/>
              <w:rPr>
                <w:rFonts w:ascii="Arial" w:hAnsi="Arial" w:cs="Arial"/>
                <w:sz w:val="16"/>
                <w:szCs w:val="16"/>
              </w:rPr>
            </w:pPr>
            <w:r w:rsidRPr="00765C97">
              <w:rPr>
                <w:rFonts w:ascii="Arial" w:hAnsi="Arial" w:cs="Arial"/>
                <w:sz w:val="16"/>
                <w:szCs w:val="16"/>
              </w:rPr>
              <w:t>(</w:t>
            </w:r>
            <w:r w:rsidR="00B943CF" w:rsidRPr="00765C97">
              <w:rPr>
                <w:rFonts w:ascii="Arial" w:hAnsi="Arial" w:cs="Arial"/>
                <w:sz w:val="16"/>
                <w:szCs w:val="16"/>
              </w:rPr>
              <w:t>37</w:t>
            </w:r>
            <w:r w:rsidRPr="00765C97">
              <w:rPr>
                <w:rFonts w:ascii="Arial" w:hAnsi="Arial" w:cs="Arial"/>
                <w:sz w:val="16"/>
                <w:szCs w:val="16"/>
              </w:rPr>
              <w:t> </w:t>
            </w:r>
            <w:r w:rsidR="00B943CF" w:rsidRPr="00765C97">
              <w:rPr>
                <w:rFonts w:ascii="Arial" w:hAnsi="Arial" w:cs="Arial"/>
                <w:sz w:val="16"/>
                <w:szCs w:val="16"/>
              </w:rPr>
              <w:t>252</w:t>
            </w:r>
            <w:r w:rsidRPr="00765C97">
              <w:rPr>
                <w:rFonts w:ascii="Arial" w:hAnsi="Arial" w:cs="Arial"/>
                <w:sz w:val="16"/>
                <w:szCs w:val="16"/>
              </w:rPr>
              <w:t>)</w:t>
            </w:r>
          </w:p>
        </w:tc>
      </w:tr>
      <w:tr w:rsidR="00B943CF" w:rsidRPr="00765C97" w:rsidTr="004E7E0A">
        <w:trPr>
          <w:trHeight w:val="255"/>
        </w:trPr>
        <w:tc>
          <w:tcPr>
            <w:tcW w:w="1985" w:type="dxa"/>
            <w:vAlign w:val="center"/>
          </w:tcPr>
          <w:p w:rsidR="00B943CF" w:rsidRPr="00765C97" w:rsidRDefault="00B943CF" w:rsidP="00B031D9">
            <w:pPr>
              <w:adjustRightInd w:val="0"/>
              <w:rPr>
                <w:rFonts w:ascii="Arial" w:hAnsi="Arial" w:cs="Arial"/>
                <w:i/>
                <w:sz w:val="16"/>
                <w:szCs w:val="16"/>
                <w:lang w:val="pl-PL"/>
              </w:rPr>
            </w:pPr>
            <w:r w:rsidRPr="00765C97">
              <w:rPr>
                <w:rFonts w:ascii="Arial" w:hAnsi="Arial" w:cs="Arial"/>
                <w:i/>
                <w:sz w:val="16"/>
                <w:szCs w:val="16"/>
                <w:lang w:val="pl-PL"/>
              </w:rPr>
              <w:t>w tym:</w:t>
            </w:r>
          </w:p>
        </w:tc>
        <w:tc>
          <w:tcPr>
            <w:tcW w:w="851" w:type="dxa"/>
            <w:tcBorders>
              <w:top w:val="single" w:sz="4" w:space="0" w:color="auto"/>
            </w:tcBorders>
            <w:vAlign w:val="center"/>
          </w:tcPr>
          <w:p w:rsidR="00B943CF" w:rsidRPr="00765C97" w:rsidRDefault="00B943CF" w:rsidP="004E7E0A">
            <w:pPr>
              <w:ind w:left="-70"/>
              <w:jc w:val="right"/>
              <w:rPr>
                <w:rFonts w:ascii="Arial" w:hAnsi="Arial" w:cs="Arial"/>
                <w:i/>
                <w:iCs/>
                <w:sz w:val="16"/>
                <w:szCs w:val="16"/>
              </w:rPr>
            </w:pPr>
          </w:p>
        </w:tc>
        <w:tc>
          <w:tcPr>
            <w:tcW w:w="709" w:type="dxa"/>
            <w:tcBorders>
              <w:top w:val="single" w:sz="4" w:space="0" w:color="auto"/>
            </w:tcBorders>
            <w:vAlign w:val="center"/>
          </w:tcPr>
          <w:p w:rsidR="00B943CF" w:rsidRPr="00765C97" w:rsidRDefault="00B943CF" w:rsidP="004E7E0A">
            <w:pPr>
              <w:ind w:left="-70"/>
              <w:jc w:val="right"/>
              <w:rPr>
                <w:rFonts w:ascii="Arial" w:hAnsi="Arial" w:cs="Arial"/>
                <w:i/>
                <w:iCs/>
                <w:sz w:val="16"/>
                <w:szCs w:val="16"/>
              </w:rPr>
            </w:pPr>
          </w:p>
        </w:tc>
        <w:tc>
          <w:tcPr>
            <w:tcW w:w="825" w:type="dxa"/>
            <w:tcBorders>
              <w:top w:val="single" w:sz="4" w:space="0" w:color="auto"/>
            </w:tcBorders>
            <w:vAlign w:val="center"/>
          </w:tcPr>
          <w:p w:rsidR="00B943CF" w:rsidRPr="00765C97" w:rsidRDefault="00B943CF" w:rsidP="004E7E0A">
            <w:pPr>
              <w:ind w:left="-70"/>
              <w:jc w:val="right"/>
              <w:rPr>
                <w:rFonts w:ascii="Arial" w:hAnsi="Arial" w:cs="Arial"/>
                <w:i/>
                <w:iCs/>
                <w:sz w:val="16"/>
                <w:szCs w:val="16"/>
              </w:rPr>
            </w:pPr>
          </w:p>
        </w:tc>
        <w:tc>
          <w:tcPr>
            <w:tcW w:w="928" w:type="dxa"/>
            <w:tcBorders>
              <w:top w:val="single" w:sz="4" w:space="0" w:color="auto"/>
            </w:tcBorders>
            <w:vAlign w:val="center"/>
          </w:tcPr>
          <w:p w:rsidR="00B943CF" w:rsidRPr="00765C97" w:rsidRDefault="00B943CF" w:rsidP="004E7E0A">
            <w:pPr>
              <w:ind w:left="-70"/>
              <w:jc w:val="right"/>
              <w:rPr>
                <w:rFonts w:ascii="Arial" w:hAnsi="Arial" w:cs="Arial"/>
                <w:i/>
                <w:iCs/>
                <w:sz w:val="16"/>
                <w:szCs w:val="16"/>
              </w:rPr>
            </w:pPr>
          </w:p>
        </w:tc>
        <w:tc>
          <w:tcPr>
            <w:tcW w:w="798" w:type="dxa"/>
            <w:tcBorders>
              <w:top w:val="single" w:sz="4" w:space="0" w:color="auto"/>
            </w:tcBorders>
            <w:vAlign w:val="center"/>
          </w:tcPr>
          <w:p w:rsidR="00B943CF" w:rsidRPr="00765C97" w:rsidRDefault="00B943CF" w:rsidP="004E7E0A">
            <w:pPr>
              <w:ind w:left="-70"/>
              <w:jc w:val="right"/>
              <w:rPr>
                <w:rFonts w:ascii="Arial" w:hAnsi="Arial" w:cs="Arial"/>
                <w:i/>
                <w:iCs/>
                <w:sz w:val="16"/>
                <w:szCs w:val="16"/>
              </w:rPr>
            </w:pPr>
          </w:p>
        </w:tc>
        <w:tc>
          <w:tcPr>
            <w:tcW w:w="824" w:type="dxa"/>
            <w:tcBorders>
              <w:top w:val="single" w:sz="4" w:space="0" w:color="auto"/>
            </w:tcBorders>
            <w:vAlign w:val="center"/>
          </w:tcPr>
          <w:p w:rsidR="00B943CF" w:rsidRPr="00765C97" w:rsidRDefault="00B943CF" w:rsidP="004E7E0A">
            <w:pPr>
              <w:ind w:left="-70"/>
              <w:jc w:val="right"/>
              <w:rPr>
                <w:rFonts w:ascii="Arial" w:hAnsi="Arial" w:cs="Arial"/>
                <w:i/>
                <w:iCs/>
                <w:sz w:val="16"/>
                <w:szCs w:val="16"/>
              </w:rPr>
            </w:pPr>
          </w:p>
        </w:tc>
        <w:tc>
          <w:tcPr>
            <w:tcW w:w="992" w:type="dxa"/>
            <w:tcBorders>
              <w:top w:val="single" w:sz="4" w:space="0" w:color="auto"/>
            </w:tcBorders>
            <w:vAlign w:val="center"/>
          </w:tcPr>
          <w:p w:rsidR="00B943CF" w:rsidRPr="00765C97" w:rsidRDefault="00B943CF" w:rsidP="004E7E0A">
            <w:pPr>
              <w:ind w:left="-70"/>
              <w:jc w:val="right"/>
              <w:rPr>
                <w:rFonts w:ascii="Arial" w:hAnsi="Arial" w:cs="Arial"/>
                <w:i/>
                <w:iCs/>
                <w:sz w:val="16"/>
                <w:szCs w:val="16"/>
              </w:rPr>
            </w:pPr>
          </w:p>
        </w:tc>
        <w:tc>
          <w:tcPr>
            <w:tcW w:w="851" w:type="dxa"/>
            <w:tcBorders>
              <w:top w:val="single" w:sz="4" w:space="0" w:color="auto"/>
            </w:tcBorders>
            <w:vAlign w:val="center"/>
          </w:tcPr>
          <w:p w:rsidR="00B943CF" w:rsidRPr="00765C97" w:rsidRDefault="00B943CF" w:rsidP="004E7E0A">
            <w:pPr>
              <w:ind w:left="-70"/>
              <w:jc w:val="right"/>
              <w:rPr>
                <w:rFonts w:ascii="Arial" w:hAnsi="Arial" w:cs="Arial"/>
                <w:i/>
                <w:iCs/>
                <w:sz w:val="16"/>
                <w:szCs w:val="16"/>
              </w:rPr>
            </w:pPr>
          </w:p>
        </w:tc>
      </w:tr>
      <w:tr w:rsidR="00B943CF" w:rsidRPr="00765C97" w:rsidTr="004E7E0A">
        <w:trPr>
          <w:trHeight w:val="255"/>
        </w:trPr>
        <w:tc>
          <w:tcPr>
            <w:tcW w:w="1985" w:type="dxa"/>
            <w:vAlign w:val="center"/>
          </w:tcPr>
          <w:p w:rsidR="00B943CF" w:rsidRPr="00765C97" w:rsidRDefault="00B943CF" w:rsidP="00B031D9">
            <w:pPr>
              <w:adjustRightInd w:val="0"/>
              <w:rPr>
                <w:rFonts w:ascii="Arial" w:hAnsi="Arial" w:cs="Arial"/>
                <w:i/>
                <w:sz w:val="16"/>
                <w:szCs w:val="16"/>
                <w:lang w:val="pl-PL"/>
              </w:rPr>
            </w:pPr>
            <w:r w:rsidRPr="00765C97">
              <w:rPr>
                <w:rFonts w:ascii="Arial" w:hAnsi="Arial" w:cs="Arial"/>
                <w:i/>
                <w:sz w:val="16"/>
                <w:szCs w:val="16"/>
                <w:lang w:val="pl-PL"/>
              </w:rPr>
              <w:t xml:space="preserve">   wynik przypadający akcjonariuszom jednostki dominującej</w:t>
            </w:r>
          </w:p>
        </w:tc>
        <w:tc>
          <w:tcPr>
            <w:tcW w:w="851"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50</w:t>
            </w:r>
            <w:r w:rsidR="004E7E0A" w:rsidRPr="00765C97">
              <w:rPr>
                <w:rFonts w:ascii="Arial" w:hAnsi="Arial" w:cs="Arial"/>
                <w:i/>
                <w:iCs/>
                <w:sz w:val="16"/>
                <w:szCs w:val="16"/>
              </w:rPr>
              <w:t xml:space="preserve"> </w:t>
            </w:r>
            <w:r w:rsidRPr="00765C97">
              <w:rPr>
                <w:rFonts w:ascii="Arial" w:hAnsi="Arial" w:cs="Arial"/>
                <w:i/>
                <w:iCs/>
                <w:sz w:val="16"/>
                <w:szCs w:val="16"/>
              </w:rPr>
              <w:t>294</w:t>
            </w:r>
          </w:p>
        </w:tc>
        <w:tc>
          <w:tcPr>
            <w:tcW w:w="709"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2</w:t>
            </w:r>
            <w:r w:rsidR="00135A9A" w:rsidRPr="00765C97">
              <w:rPr>
                <w:rFonts w:ascii="Arial" w:hAnsi="Arial" w:cs="Arial"/>
                <w:i/>
                <w:iCs/>
                <w:sz w:val="16"/>
                <w:szCs w:val="16"/>
              </w:rPr>
              <w:t xml:space="preserve"> </w:t>
            </w:r>
            <w:r w:rsidRPr="00765C97">
              <w:rPr>
                <w:rFonts w:ascii="Arial" w:hAnsi="Arial" w:cs="Arial"/>
                <w:i/>
                <w:iCs/>
                <w:sz w:val="16"/>
                <w:szCs w:val="16"/>
              </w:rPr>
              <w:t>849</w:t>
            </w:r>
          </w:p>
        </w:tc>
        <w:tc>
          <w:tcPr>
            <w:tcW w:w="825"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1</w:t>
            </w:r>
            <w:r w:rsidR="00135A9A" w:rsidRPr="00765C97">
              <w:rPr>
                <w:rFonts w:ascii="Arial" w:hAnsi="Arial" w:cs="Arial"/>
                <w:i/>
                <w:iCs/>
                <w:sz w:val="16"/>
                <w:szCs w:val="16"/>
              </w:rPr>
              <w:t xml:space="preserve"> </w:t>
            </w:r>
            <w:r w:rsidRPr="00765C97">
              <w:rPr>
                <w:rFonts w:ascii="Arial" w:hAnsi="Arial" w:cs="Arial"/>
                <w:i/>
                <w:iCs/>
                <w:sz w:val="16"/>
                <w:szCs w:val="16"/>
              </w:rPr>
              <w:t>959</w:t>
            </w:r>
          </w:p>
        </w:tc>
        <w:tc>
          <w:tcPr>
            <w:tcW w:w="928"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3</w:t>
            </w:r>
            <w:r w:rsidR="00135A9A" w:rsidRPr="00765C97">
              <w:rPr>
                <w:rFonts w:ascii="Arial" w:hAnsi="Arial" w:cs="Arial"/>
                <w:i/>
                <w:iCs/>
                <w:sz w:val="16"/>
                <w:szCs w:val="16"/>
              </w:rPr>
              <w:t xml:space="preserve"> </w:t>
            </w:r>
            <w:r w:rsidRPr="00765C97">
              <w:rPr>
                <w:rFonts w:ascii="Arial" w:hAnsi="Arial" w:cs="Arial"/>
                <w:i/>
                <w:iCs/>
                <w:sz w:val="16"/>
                <w:szCs w:val="16"/>
              </w:rPr>
              <w:t>720</w:t>
            </w:r>
          </w:p>
        </w:tc>
        <w:tc>
          <w:tcPr>
            <w:tcW w:w="798" w:type="dxa"/>
            <w:vAlign w:val="center"/>
          </w:tcPr>
          <w:p w:rsidR="00B943CF" w:rsidRPr="00765C97" w:rsidRDefault="00135A9A" w:rsidP="004E7E0A">
            <w:pPr>
              <w:ind w:left="-70"/>
              <w:jc w:val="right"/>
              <w:rPr>
                <w:rFonts w:ascii="Arial" w:hAnsi="Arial" w:cs="Arial"/>
                <w:i/>
                <w:iCs/>
                <w:sz w:val="16"/>
                <w:szCs w:val="16"/>
              </w:rPr>
            </w:pPr>
            <w:r w:rsidRPr="00765C97">
              <w:rPr>
                <w:rFonts w:ascii="Arial" w:hAnsi="Arial" w:cs="Arial"/>
                <w:i/>
                <w:iCs/>
                <w:sz w:val="16"/>
                <w:szCs w:val="16"/>
              </w:rPr>
              <w:t>(</w:t>
            </w:r>
            <w:r w:rsidR="00B943CF" w:rsidRPr="00765C97">
              <w:rPr>
                <w:rFonts w:ascii="Arial" w:hAnsi="Arial" w:cs="Arial"/>
                <w:i/>
                <w:iCs/>
                <w:sz w:val="16"/>
                <w:szCs w:val="16"/>
              </w:rPr>
              <w:t>4</w:t>
            </w:r>
            <w:r w:rsidRPr="00765C97">
              <w:rPr>
                <w:rFonts w:ascii="Arial" w:hAnsi="Arial" w:cs="Arial"/>
                <w:i/>
                <w:iCs/>
                <w:sz w:val="16"/>
                <w:szCs w:val="16"/>
              </w:rPr>
              <w:t> </w:t>
            </w:r>
            <w:r w:rsidR="00B943CF" w:rsidRPr="00765C97">
              <w:rPr>
                <w:rFonts w:ascii="Arial" w:hAnsi="Arial" w:cs="Arial"/>
                <w:i/>
                <w:iCs/>
                <w:sz w:val="16"/>
                <w:szCs w:val="16"/>
              </w:rPr>
              <w:t>938</w:t>
            </w:r>
            <w:r w:rsidRPr="00765C97">
              <w:rPr>
                <w:rFonts w:ascii="Arial" w:hAnsi="Arial" w:cs="Arial"/>
                <w:i/>
                <w:iCs/>
                <w:sz w:val="16"/>
                <w:szCs w:val="16"/>
              </w:rPr>
              <w:t>)</w:t>
            </w:r>
          </w:p>
        </w:tc>
        <w:tc>
          <w:tcPr>
            <w:tcW w:w="824" w:type="dxa"/>
            <w:vAlign w:val="center"/>
          </w:tcPr>
          <w:p w:rsidR="00B943CF" w:rsidRPr="00765C97" w:rsidRDefault="00135A9A" w:rsidP="004E7E0A">
            <w:pPr>
              <w:ind w:left="-70"/>
              <w:jc w:val="right"/>
              <w:rPr>
                <w:rFonts w:ascii="Arial" w:hAnsi="Arial" w:cs="Arial"/>
                <w:i/>
                <w:iCs/>
                <w:sz w:val="16"/>
                <w:szCs w:val="16"/>
              </w:rPr>
            </w:pPr>
            <w:r w:rsidRPr="00765C97">
              <w:rPr>
                <w:rFonts w:ascii="Arial" w:hAnsi="Arial" w:cs="Arial"/>
                <w:i/>
                <w:iCs/>
                <w:sz w:val="16"/>
                <w:szCs w:val="16"/>
              </w:rPr>
              <w:t>(</w:t>
            </w:r>
            <w:r w:rsidR="00B943CF" w:rsidRPr="00765C97">
              <w:rPr>
                <w:rFonts w:ascii="Arial" w:hAnsi="Arial" w:cs="Arial"/>
                <w:i/>
                <w:iCs/>
                <w:sz w:val="16"/>
                <w:szCs w:val="16"/>
              </w:rPr>
              <w:t>13</w:t>
            </w:r>
            <w:r w:rsidRPr="00765C97">
              <w:rPr>
                <w:rFonts w:ascii="Arial" w:hAnsi="Arial" w:cs="Arial"/>
                <w:i/>
                <w:iCs/>
                <w:sz w:val="16"/>
                <w:szCs w:val="16"/>
              </w:rPr>
              <w:t> </w:t>
            </w:r>
            <w:r w:rsidR="00B943CF" w:rsidRPr="00765C97">
              <w:rPr>
                <w:rFonts w:ascii="Arial" w:hAnsi="Arial" w:cs="Arial"/>
                <w:i/>
                <w:iCs/>
                <w:sz w:val="16"/>
                <w:szCs w:val="16"/>
              </w:rPr>
              <w:t>224</w:t>
            </w:r>
            <w:r w:rsidRPr="00765C97">
              <w:rPr>
                <w:rFonts w:ascii="Arial" w:hAnsi="Arial" w:cs="Arial"/>
                <w:i/>
                <w:iCs/>
                <w:sz w:val="16"/>
                <w:szCs w:val="16"/>
              </w:rPr>
              <w:t>)</w:t>
            </w:r>
          </w:p>
        </w:tc>
        <w:tc>
          <w:tcPr>
            <w:tcW w:w="992" w:type="dxa"/>
            <w:vAlign w:val="center"/>
          </w:tcPr>
          <w:p w:rsidR="00B943CF" w:rsidRPr="00765C97" w:rsidRDefault="00135A9A" w:rsidP="004E7E0A">
            <w:pPr>
              <w:ind w:left="-70"/>
              <w:jc w:val="right"/>
              <w:rPr>
                <w:rFonts w:ascii="Arial" w:hAnsi="Arial" w:cs="Arial"/>
                <w:i/>
                <w:iCs/>
                <w:sz w:val="16"/>
                <w:szCs w:val="16"/>
              </w:rPr>
            </w:pPr>
            <w:r w:rsidRPr="00765C97">
              <w:rPr>
                <w:rFonts w:ascii="Arial" w:hAnsi="Arial" w:cs="Arial"/>
                <w:i/>
                <w:iCs/>
                <w:sz w:val="16"/>
                <w:szCs w:val="16"/>
              </w:rPr>
              <w:t>-</w:t>
            </w:r>
          </w:p>
        </w:tc>
        <w:tc>
          <w:tcPr>
            <w:tcW w:w="851" w:type="dxa"/>
            <w:vAlign w:val="center"/>
          </w:tcPr>
          <w:p w:rsidR="00B943CF" w:rsidRPr="00765C97" w:rsidRDefault="00B943CF" w:rsidP="004E7E0A">
            <w:pPr>
              <w:ind w:left="-70"/>
              <w:jc w:val="right"/>
              <w:rPr>
                <w:rFonts w:ascii="Arial" w:hAnsi="Arial" w:cs="Arial"/>
                <w:i/>
                <w:iCs/>
                <w:sz w:val="16"/>
                <w:szCs w:val="16"/>
              </w:rPr>
            </w:pPr>
            <w:r w:rsidRPr="00765C97">
              <w:rPr>
                <w:rFonts w:ascii="Arial" w:hAnsi="Arial" w:cs="Arial"/>
                <w:i/>
                <w:iCs/>
                <w:sz w:val="16"/>
                <w:szCs w:val="16"/>
              </w:rPr>
              <w:t>40</w:t>
            </w:r>
            <w:r w:rsidR="00135A9A" w:rsidRPr="00765C97">
              <w:rPr>
                <w:rFonts w:ascii="Arial" w:hAnsi="Arial" w:cs="Arial"/>
                <w:i/>
                <w:iCs/>
                <w:sz w:val="16"/>
                <w:szCs w:val="16"/>
              </w:rPr>
              <w:t xml:space="preserve"> </w:t>
            </w:r>
            <w:r w:rsidRPr="00765C97">
              <w:rPr>
                <w:rFonts w:ascii="Arial" w:hAnsi="Arial" w:cs="Arial"/>
                <w:i/>
                <w:iCs/>
                <w:sz w:val="16"/>
                <w:szCs w:val="16"/>
              </w:rPr>
              <w:t>660</w:t>
            </w:r>
          </w:p>
        </w:tc>
      </w:tr>
      <w:tr w:rsidR="00B943CF" w:rsidRPr="00765C97" w:rsidTr="004E7E0A">
        <w:trPr>
          <w:trHeight w:val="255"/>
        </w:trPr>
        <w:tc>
          <w:tcPr>
            <w:tcW w:w="1985" w:type="dxa"/>
            <w:vAlign w:val="center"/>
          </w:tcPr>
          <w:p w:rsidR="00B943CF" w:rsidRPr="00765C97" w:rsidRDefault="00B943CF" w:rsidP="00B031D9">
            <w:pPr>
              <w:adjustRightInd w:val="0"/>
              <w:rPr>
                <w:rFonts w:ascii="Arial" w:hAnsi="Arial" w:cs="Arial"/>
                <w:i/>
                <w:sz w:val="16"/>
                <w:szCs w:val="16"/>
                <w:lang w:val="pl-PL"/>
              </w:rPr>
            </w:pPr>
            <w:r w:rsidRPr="00765C97">
              <w:rPr>
                <w:rFonts w:ascii="Arial" w:hAnsi="Arial" w:cs="Arial"/>
                <w:i/>
                <w:sz w:val="16"/>
                <w:szCs w:val="16"/>
                <w:lang w:val="pl-PL"/>
              </w:rPr>
              <w:t xml:space="preserve">   wynik przypadający udziałowcom mniejszościowym</w:t>
            </w:r>
          </w:p>
        </w:tc>
        <w:tc>
          <w:tcPr>
            <w:tcW w:w="851" w:type="dxa"/>
            <w:vAlign w:val="center"/>
          </w:tcPr>
          <w:p w:rsidR="00B943CF" w:rsidRPr="00765C97" w:rsidRDefault="004E7E0A" w:rsidP="004E7E0A">
            <w:pPr>
              <w:ind w:left="-70"/>
              <w:jc w:val="right"/>
              <w:rPr>
                <w:rFonts w:ascii="Arial" w:hAnsi="Arial" w:cs="Arial"/>
                <w:i/>
                <w:iCs/>
                <w:sz w:val="16"/>
                <w:szCs w:val="16"/>
              </w:rPr>
            </w:pPr>
            <w:r w:rsidRPr="00765C97">
              <w:rPr>
                <w:rFonts w:ascii="Arial" w:hAnsi="Arial" w:cs="Arial"/>
                <w:i/>
                <w:iCs/>
                <w:sz w:val="16"/>
                <w:szCs w:val="16"/>
              </w:rPr>
              <w:t>-</w:t>
            </w:r>
          </w:p>
        </w:tc>
        <w:tc>
          <w:tcPr>
            <w:tcW w:w="709" w:type="dxa"/>
            <w:vAlign w:val="center"/>
          </w:tcPr>
          <w:p w:rsidR="00B943CF" w:rsidRPr="00765C97" w:rsidRDefault="00135A9A" w:rsidP="004E7E0A">
            <w:pPr>
              <w:ind w:left="-70"/>
              <w:jc w:val="right"/>
              <w:rPr>
                <w:rFonts w:ascii="Arial" w:hAnsi="Arial" w:cs="Arial"/>
                <w:i/>
                <w:iCs/>
                <w:sz w:val="16"/>
                <w:szCs w:val="16"/>
              </w:rPr>
            </w:pPr>
            <w:r w:rsidRPr="00765C97">
              <w:rPr>
                <w:rFonts w:ascii="Arial" w:hAnsi="Arial" w:cs="Arial"/>
                <w:i/>
                <w:iCs/>
                <w:sz w:val="16"/>
                <w:szCs w:val="16"/>
              </w:rPr>
              <w:t>(</w:t>
            </w:r>
            <w:r w:rsidR="00B943CF" w:rsidRPr="00765C97">
              <w:rPr>
                <w:rFonts w:ascii="Arial" w:hAnsi="Arial" w:cs="Arial"/>
                <w:i/>
                <w:iCs/>
                <w:sz w:val="16"/>
                <w:szCs w:val="16"/>
              </w:rPr>
              <w:t>90</w:t>
            </w:r>
            <w:r w:rsidRPr="00765C97">
              <w:rPr>
                <w:rFonts w:ascii="Arial" w:hAnsi="Arial" w:cs="Arial"/>
                <w:i/>
                <w:iCs/>
                <w:sz w:val="16"/>
                <w:szCs w:val="16"/>
              </w:rPr>
              <w:t>)</w:t>
            </w:r>
          </w:p>
        </w:tc>
        <w:tc>
          <w:tcPr>
            <w:tcW w:w="825" w:type="dxa"/>
            <w:vAlign w:val="center"/>
          </w:tcPr>
          <w:p w:rsidR="00B943CF" w:rsidRPr="00765C97" w:rsidRDefault="00135A9A" w:rsidP="004E7E0A">
            <w:pPr>
              <w:ind w:left="-70"/>
              <w:jc w:val="right"/>
              <w:rPr>
                <w:rFonts w:ascii="Arial" w:hAnsi="Arial" w:cs="Arial"/>
                <w:i/>
                <w:iCs/>
                <w:sz w:val="16"/>
                <w:szCs w:val="16"/>
              </w:rPr>
            </w:pPr>
            <w:r w:rsidRPr="00765C97">
              <w:rPr>
                <w:rFonts w:ascii="Arial" w:hAnsi="Arial" w:cs="Arial"/>
                <w:i/>
                <w:iCs/>
                <w:sz w:val="16"/>
                <w:szCs w:val="16"/>
              </w:rPr>
              <w:t>-</w:t>
            </w:r>
          </w:p>
        </w:tc>
        <w:tc>
          <w:tcPr>
            <w:tcW w:w="928" w:type="dxa"/>
            <w:vAlign w:val="center"/>
          </w:tcPr>
          <w:p w:rsidR="00B943CF" w:rsidRPr="00765C97" w:rsidRDefault="00CE6B87" w:rsidP="004E7E0A">
            <w:pPr>
              <w:ind w:left="-70"/>
              <w:jc w:val="right"/>
              <w:rPr>
                <w:rFonts w:ascii="Arial" w:hAnsi="Arial" w:cs="Arial"/>
                <w:i/>
                <w:iCs/>
                <w:sz w:val="16"/>
                <w:szCs w:val="16"/>
              </w:rPr>
            </w:pPr>
            <w:r w:rsidRPr="00765C97">
              <w:rPr>
                <w:rFonts w:ascii="Arial" w:hAnsi="Arial" w:cs="Arial"/>
                <w:i/>
                <w:iCs/>
                <w:sz w:val="16"/>
                <w:szCs w:val="16"/>
              </w:rPr>
              <w:t>-</w:t>
            </w:r>
          </w:p>
        </w:tc>
        <w:tc>
          <w:tcPr>
            <w:tcW w:w="798" w:type="dxa"/>
            <w:vAlign w:val="center"/>
          </w:tcPr>
          <w:p w:rsidR="00B943CF" w:rsidRPr="00765C97" w:rsidRDefault="00135A9A" w:rsidP="004E7E0A">
            <w:pPr>
              <w:ind w:left="-70"/>
              <w:jc w:val="right"/>
              <w:rPr>
                <w:rFonts w:ascii="Arial" w:hAnsi="Arial" w:cs="Arial"/>
                <w:i/>
                <w:iCs/>
                <w:sz w:val="16"/>
                <w:szCs w:val="16"/>
              </w:rPr>
            </w:pPr>
            <w:r w:rsidRPr="00765C97">
              <w:rPr>
                <w:rFonts w:ascii="Arial" w:hAnsi="Arial" w:cs="Arial"/>
                <w:i/>
                <w:iCs/>
                <w:sz w:val="16"/>
                <w:szCs w:val="16"/>
              </w:rPr>
              <w:t>(</w:t>
            </w:r>
            <w:r w:rsidR="00B943CF" w:rsidRPr="00765C97">
              <w:rPr>
                <w:rFonts w:ascii="Arial" w:hAnsi="Arial" w:cs="Arial"/>
                <w:i/>
                <w:iCs/>
                <w:sz w:val="16"/>
                <w:szCs w:val="16"/>
              </w:rPr>
              <w:t>3</w:t>
            </w:r>
            <w:r w:rsidRPr="00765C97">
              <w:rPr>
                <w:rFonts w:ascii="Arial" w:hAnsi="Arial" w:cs="Arial"/>
                <w:i/>
                <w:iCs/>
                <w:sz w:val="16"/>
                <w:szCs w:val="16"/>
              </w:rPr>
              <w:t> </w:t>
            </w:r>
            <w:r w:rsidR="00B943CF" w:rsidRPr="00765C97">
              <w:rPr>
                <w:rFonts w:ascii="Arial" w:hAnsi="Arial" w:cs="Arial"/>
                <w:i/>
                <w:iCs/>
                <w:sz w:val="16"/>
                <w:szCs w:val="16"/>
              </w:rPr>
              <w:t>318</w:t>
            </w:r>
            <w:r w:rsidRPr="00765C97">
              <w:rPr>
                <w:rFonts w:ascii="Arial" w:hAnsi="Arial" w:cs="Arial"/>
                <w:i/>
                <w:iCs/>
                <w:sz w:val="16"/>
                <w:szCs w:val="16"/>
              </w:rPr>
              <w:t>)</w:t>
            </w:r>
          </w:p>
        </w:tc>
        <w:tc>
          <w:tcPr>
            <w:tcW w:w="824" w:type="dxa"/>
            <w:vAlign w:val="center"/>
          </w:tcPr>
          <w:p w:rsidR="00B943CF" w:rsidRPr="00765C97" w:rsidRDefault="00135A9A" w:rsidP="004E7E0A">
            <w:pPr>
              <w:ind w:left="-70"/>
              <w:jc w:val="right"/>
              <w:rPr>
                <w:rFonts w:ascii="Arial" w:hAnsi="Arial" w:cs="Arial"/>
                <w:i/>
                <w:iCs/>
                <w:sz w:val="16"/>
                <w:szCs w:val="16"/>
              </w:rPr>
            </w:pPr>
            <w:r w:rsidRPr="00765C97">
              <w:rPr>
                <w:rFonts w:ascii="Arial" w:hAnsi="Arial" w:cs="Arial"/>
                <w:i/>
                <w:iCs/>
                <w:sz w:val="16"/>
                <w:szCs w:val="16"/>
              </w:rPr>
              <w:t>-</w:t>
            </w:r>
          </w:p>
        </w:tc>
        <w:tc>
          <w:tcPr>
            <w:tcW w:w="992" w:type="dxa"/>
            <w:vAlign w:val="center"/>
          </w:tcPr>
          <w:p w:rsidR="00B943CF" w:rsidRPr="00765C97" w:rsidRDefault="00135A9A" w:rsidP="004E7E0A">
            <w:pPr>
              <w:ind w:left="-70"/>
              <w:jc w:val="right"/>
              <w:rPr>
                <w:rFonts w:ascii="Arial" w:hAnsi="Arial" w:cs="Arial"/>
                <w:i/>
                <w:iCs/>
                <w:sz w:val="16"/>
                <w:szCs w:val="16"/>
              </w:rPr>
            </w:pPr>
            <w:r w:rsidRPr="00765C97">
              <w:rPr>
                <w:rFonts w:ascii="Arial" w:hAnsi="Arial" w:cs="Arial"/>
                <w:i/>
                <w:iCs/>
                <w:sz w:val="16"/>
                <w:szCs w:val="16"/>
              </w:rPr>
              <w:t>-</w:t>
            </w:r>
          </w:p>
        </w:tc>
        <w:tc>
          <w:tcPr>
            <w:tcW w:w="851" w:type="dxa"/>
            <w:vAlign w:val="center"/>
          </w:tcPr>
          <w:p w:rsidR="00B943CF" w:rsidRPr="00765C97" w:rsidRDefault="00135A9A" w:rsidP="004E7E0A">
            <w:pPr>
              <w:ind w:left="-70"/>
              <w:jc w:val="right"/>
              <w:rPr>
                <w:rFonts w:ascii="Arial" w:hAnsi="Arial" w:cs="Arial"/>
                <w:i/>
                <w:iCs/>
                <w:sz w:val="16"/>
                <w:szCs w:val="16"/>
              </w:rPr>
            </w:pPr>
            <w:r w:rsidRPr="00765C97">
              <w:rPr>
                <w:rFonts w:ascii="Arial" w:hAnsi="Arial" w:cs="Arial"/>
                <w:i/>
                <w:iCs/>
                <w:sz w:val="16"/>
                <w:szCs w:val="16"/>
              </w:rPr>
              <w:t>(</w:t>
            </w:r>
            <w:r w:rsidR="00B943CF" w:rsidRPr="00765C97">
              <w:rPr>
                <w:rFonts w:ascii="Arial" w:hAnsi="Arial" w:cs="Arial"/>
                <w:i/>
                <w:iCs/>
                <w:sz w:val="16"/>
                <w:szCs w:val="16"/>
              </w:rPr>
              <w:t>3</w:t>
            </w:r>
            <w:r w:rsidRPr="00765C97">
              <w:rPr>
                <w:rFonts w:ascii="Arial" w:hAnsi="Arial" w:cs="Arial"/>
                <w:i/>
                <w:iCs/>
                <w:sz w:val="16"/>
                <w:szCs w:val="16"/>
              </w:rPr>
              <w:t> </w:t>
            </w:r>
            <w:r w:rsidR="00B943CF" w:rsidRPr="00765C97">
              <w:rPr>
                <w:rFonts w:ascii="Arial" w:hAnsi="Arial" w:cs="Arial"/>
                <w:i/>
                <w:iCs/>
                <w:sz w:val="16"/>
                <w:szCs w:val="16"/>
              </w:rPr>
              <w:t>408</w:t>
            </w:r>
            <w:r w:rsidRPr="00765C97">
              <w:rPr>
                <w:rFonts w:ascii="Arial" w:hAnsi="Arial" w:cs="Arial"/>
                <w:i/>
                <w:iCs/>
                <w:sz w:val="16"/>
                <w:szCs w:val="16"/>
              </w:rPr>
              <w:t>)</w:t>
            </w:r>
          </w:p>
        </w:tc>
      </w:tr>
    </w:tbl>
    <w:p w:rsidR="009652C1" w:rsidRPr="00765C97" w:rsidRDefault="009652C1" w:rsidP="006A2B2B">
      <w:pPr>
        <w:adjustRightInd w:val="0"/>
        <w:ind w:left="180"/>
        <w:jc w:val="both"/>
        <w:rPr>
          <w:rFonts w:ascii="Arial" w:hAnsi="Arial"/>
          <w:i/>
          <w:sz w:val="16"/>
          <w:lang w:val="pl-PL"/>
        </w:rPr>
      </w:pPr>
    </w:p>
    <w:p w:rsidR="006A2B2B" w:rsidRPr="00765C97" w:rsidRDefault="006A2B2B" w:rsidP="006A2B2B">
      <w:pPr>
        <w:adjustRightInd w:val="0"/>
        <w:ind w:left="180"/>
        <w:jc w:val="both"/>
        <w:rPr>
          <w:rFonts w:ascii="Arial" w:hAnsi="Arial"/>
          <w:i/>
          <w:sz w:val="16"/>
          <w:lang w:val="pl-PL"/>
        </w:rPr>
      </w:pPr>
      <w:r w:rsidRPr="00765C97">
        <w:rPr>
          <w:rFonts w:ascii="Arial" w:hAnsi="Arial"/>
          <w:i/>
          <w:sz w:val="16"/>
          <w:lang w:val="pl-PL"/>
        </w:rPr>
        <w:t>*) pozycje obejmują odpowiednio przychody oraz koszty z wszystkich rodzajów, które w sposób bezpośredni można przyporządkować poszczególnym segmentom,</w:t>
      </w:r>
    </w:p>
    <w:p w:rsidR="00B24DA9" w:rsidRPr="00765C97" w:rsidRDefault="00B24DA9" w:rsidP="006A2B2B">
      <w:pPr>
        <w:adjustRightInd w:val="0"/>
        <w:ind w:left="180"/>
        <w:jc w:val="both"/>
        <w:rPr>
          <w:rFonts w:ascii="Arial" w:hAnsi="Arial" w:cs="Arial"/>
          <w:sz w:val="20"/>
          <w:szCs w:val="20"/>
          <w:lang w:val="pl-PL"/>
        </w:rPr>
      </w:pPr>
    </w:p>
    <w:p w:rsidR="00F563FD" w:rsidRPr="00765C97" w:rsidRDefault="00F563FD" w:rsidP="006A2B2B">
      <w:pPr>
        <w:adjustRightInd w:val="0"/>
        <w:ind w:left="180"/>
        <w:jc w:val="both"/>
        <w:rPr>
          <w:rFonts w:ascii="Arial" w:hAnsi="Arial" w:cs="Arial"/>
          <w:sz w:val="20"/>
          <w:szCs w:val="20"/>
          <w:lang w:val="pl-PL"/>
        </w:rPr>
      </w:pPr>
    </w:p>
    <w:p w:rsidR="00F563FD" w:rsidRPr="00765C97" w:rsidRDefault="00F563FD" w:rsidP="006A2B2B">
      <w:pPr>
        <w:adjustRightInd w:val="0"/>
        <w:ind w:left="180"/>
        <w:jc w:val="both"/>
        <w:rPr>
          <w:rFonts w:ascii="Arial" w:hAnsi="Arial" w:cs="Arial"/>
          <w:sz w:val="20"/>
          <w:szCs w:val="20"/>
          <w:lang w:val="pl-PL"/>
        </w:rPr>
      </w:pPr>
    </w:p>
    <w:p w:rsidR="009652C1" w:rsidRPr="00765C97" w:rsidRDefault="009652C1" w:rsidP="006A2B2B">
      <w:pPr>
        <w:adjustRightInd w:val="0"/>
        <w:ind w:left="180"/>
        <w:jc w:val="both"/>
        <w:rPr>
          <w:rFonts w:ascii="Arial" w:hAnsi="Arial" w:cs="Arial"/>
          <w:sz w:val="20"/>
          <w:szCs w:val="20"/>
          <w:lang w:val="pl-PL"/>
        </w:rPr>
      </w:pPr>
    </w:p>
    <w:p w:rsidR="009652C1" w:rsidRPr="00765C97" w:rsidRDefault="009652C1" w:rsidP="006A2B2B">
      <w:pPr>
        <w:adjustRightInd w:val="0"/>
        <w:ind w:left="180"/>
        <w:jc w:val="both"/>
        <w:rPr>
          <w:rFonts w:ascii="Arial" w:hAnsi="Arial" w:cs="Arial"/>
          <w:sz w:val="20"/>
          <w:szCs w:val="20"/>
          <w:lang w:val="pl-PL"/>
        </w:rPr>
      </w:pPr>
    </w:p>
    <w:p w:rsidR="00F563FD" w:rsidRPr="00765C97" w:rsidRDefault="00F563FD" w:rsidP="006A2B2B">
      <w:pPr>
        <w:adjustRightInd w:val="0"/>
        <w:ind w:left="180"/>
        <w:jc w:val="both"/>
        <w:rPr>
          <w:rFonts w:ascii="Arial" w:hAnsi="Arial" w:cs="Arial"/>
          <w:sz w:val="20"/>
          <w:szCs w:val="20"/>
          <w:lang w:val="pl-PL"/>
        </w:rPr>
      </w:pPr>
    </w:p>
    <w:p w:rsidR="00B24DA9" w:rsidRPr="00765C97" w:rsidRDefault="00B24DA9" w:rsidP="00F56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Arial" w:hAnsi="Arial"/>
          <w:b/>
          <w:sz w:val="20"/>
          <w:lang w:val="pl-PL"/>
        </w:rPr>
      </w:pPr>
      <w:r w:rsidRPr="00765C97">
        <w:rPr>
          <w:rFonts w:ascii="Arial" w:hAnsi="Arial"/>
          <w:b/>
          <w:sz w:val="20"/>
          <w:lang w:val="pl-PL"/>
        </w:rPr>
        <w:t>Udział segmentów branżowych w aktywach i zobowiązaniach oraz wydatkach inwestycyjnych</w:t>
      </w:r>
    </w:p>
    <w:p w:rsidR="00B24DA9" w:rsidRPr="00765C97" w:rsidRDefault="00B24DA9" w:rsidP="00F563FD">
      <w:pPr>
        <w:adjustRightInd w:val="0"/>
        <w:jc w:val="both"/>
        <w:rPr>
          <w:rFonts w:ascii="Arial" w:hAnsi="Arial"/>
          <w:sz w:val="20"/>
          <w:lang w:val="pl-PL"/>
        </w:rPr>
      </w:pPr>
    </w:p>
    <w:p w:rsidR="00B24DA9" w:rsidRPr="00765C97" w:rsidRDefault="00B24DA9" w:rsidP="00F563FD">
      <w:pPr>
        <w:adjustRightInd w:val="0"/>
        <w:jc w:val="both"/>
        <w:rPr>
          <w:rFonts w:ascii="Arial" w:hAnsi="Arial"/>
          <w:sz w:val="20"/>
          <w:lang w:val="pl-PL"/>
        </w:rPr>
      </w:pPr>
      <w:r w:rsidRPr="00765C97">
        <w:rPr>
          <w:rFonts w:ascii="Arial" w:hAnsi="Arial"/>
          <w:sz w:val="20"/>
          <w:lang w:val="pl-PL"/>
        </w:rPr>
        <w:t>Aktywa i zobowiązania segmentów na dzień 31 grudnia 20</w:t>
      </w:r>
      <w:r w:rsidR="006A2B2B" w:rsidRPr="00765C97">
        <w:rPr>
          <w:rFonts w:ascii="Arial" w:hAnsi="Arial"/>
          <w:sz w:val="20"/>
          <w:lang w:val="pl-PL"/>
        </w:rPr>
        <w:t>1</w:t>
      </w:r>
      <w:r w:rsidR="00DB120C" w:rsidRPr="00765C97">
        <w:rPr>
          <w:rFonts w:ascii="Arial" w:hAnsi="Arial"/>
          <w:sz w:val="20"/>
          <w:lang w:val="pl-PL"/>
        </w:rPr>
        <w:t>2</w:t>
      </w:r>
      <w:r w:rsidRPr="00765C97">
        <w:rPr>
          <w:rFonts w:ascii="Arial" w:hAnsi="Arial"/>
          <w:sz w:val="20"/>
          <w:lang w:val="pl-PL"/>
        </w:rPr>
        <w:t xml:space="preserve"> r. oraz wydatki inwestycyjne i amortyzacja w okresie 12 miesięcy 20</w:t>
      </w:r>
      <w:r w:rsidR="006A2B2B" w:rsidRPr="00765C97">
        <w:rPr>
          <w:rFonts w:ascii="Arial" w:hAnsi="Arial"/>
          <w:sz w:val="20"/>
          <w:lang w:val="pl-PL"/>
        </w:rPr>
        <w:t>1</w:t>
      </w:r>
      <w:r w:rsidR="00DB120C" w:rsidRPr="00765C97">
        <w:rPr>
          <w:rFonts w:ascii="Arial" w:hAnsi="Arial"/>
          <w:sz w:val="20"/>
          <w:lang w:val="pl-PL"/>
        </w:rPr>
        <w:t>2</w:t>
      </w:r>
      <w:r w:rsidRPr="00765C97">
        <w:rPr>
          <w:rFonts w:ascii="Arial" w:hAnsi="Arial"/>
          <w:sz w:val="20"/>
          <w:lang w:val="pl-PL"/>
        </w:rPr>
        <w:t xml:space="preserve"> prze</w:t>
      </w:r>
      <w:r w:rsidR="00F563FD" w:rsidRPr="00765C97">
        <w:rPr>
          <w:rFonts w:ascii="Arial" w:hAnsi="Arial"/>
          <w:sz w:val="20"/>
          <w:lang w:val="pl-PL"/>
        </w:rPr>
        <w:t>d</w:t>
      </w:r>
      <w:r w:rsidRPr="00765C97">
        <w:rPr>
          <w:rFonts w:ascii="Arial" w:hAnsi="Arial"/>
          <w:sz w:val="20"/>
          <w:lang w:val="pl-PL"/>
        </w:rPr>
        <w:t>stawiają się następująco:</w:t>
      </w:r>
    </w:p>
    <w:p w:rsidR="00B24DA9" w:rsidRPr="00765C97" w:rsidRDefault="00B24DA9">
      <w:pPr>
        <w:adjustRightInd w:val="0"/>
        <w:rPr>
          <w:rFonts w:ascii="Arial" w:hAnsi="Arial"/>
          <w:sz w:val="20"/>
          <w:lang w:val="pl-PL"/>
        </w:rPr>
      </w:pPr>
    </w:p>
    <w:tbl>
      <w:tblPr>
        <w:tblW w:w="8483" w:type="dxa"/>
        <w:tblInd w:w="70" w:type="dxa"/>
        <w:tblLayout w:type="fixed"/>
        <w:tblCellMar>
          <w:left w:w="70" w:type="dxa"/>
          <w:right w:w="70" w:type="dxa"/>
        </w:tblCellMar>
        <w:tblLook w:val="01E0"/>
      </w:tblPr>
      <w:tblGrid>
        <w:gridCol w:w="1260"/>
        <w:gridCol w:w="1008"/>
        <w:gridCol w:w="851"/>
        <w:gridCol w:w="1150"/>
        <w:gridCol w:w="1134"/>
        <w:gridCol w:w="1134"/>
        <w:gridCol w:w="1033"/>
        <w:gridCol w:w="913"/>
      </w:tblGrid>
      <w:tr w:rsidR="00293B89" w:rsidRPr="00765C97" w:rsidTr="00293B89">
        <w:trPr>
          <w:cantSplit/>
          <w:trHeight w:val="255"/>
        </w:trPr>
        <w:tc>
          <w:tcPr>
            <w:tcW w:w="1260" w:type="dxa"/>
            <w:vAlign w:val="center"/>
          </w:tcPr>
          <w:p w:rsidR="00293B89" w:rsidRPr="00765C97" w:rsidRDefault="00293B89" w:rsidP="00B031D9">
            <w:pPr>
              <w:adjustRightInd w:val="0"/>
              <w:rPr>
                <w:rFonts w:ascii="Arial" w:hAnsi="Arial"/>
                <w:b/>
                <w:sz w:val="20"/>
                <w:lang w:val="pl-PL"/>
              </w:rPr>
            </w:pPr>
          </w:p>
        </w:tc>
        <w:tc>
          <w:tcPr>
            <w:tcW w:w="3009" w:type="dxa"/>
            <w:gridSpan w:val="3"/>
          </w:tcPr>
          <w:p w:rsidR="00293B89" w:rsidRPr="00765C97" w:rsidRDefault="00293B89" w:rsidP="00B031D9">
            <w:pPr>
              <w:adjustRightInd w:val="0"/>
              <w:ind w:right="72"/>
              <w:jc w:val="center"/>
              <w:rPr>
                <w:rFonts w:ascii="Arial" w:hAnsi="Arial"/>
                <w:b/>
                <w:sz w:val="18"/>
                <w:szCs w:val="18"/>
                <w:lang w:val="pl-PL"/>
              </w:rPr>
            </w:pPr>
            <w:r w:rsidRPr="00765C97">
              <w:rPr>
                <w:rFonts w:ascii="Arial" w:hAnsi="Arial"/>
                <w:b/>
                <w:sz w:val="18"/>
                <w:szCs w:val="18"/>
                <w:lang w:val="pl-PL"/>
              </w:rPr>
              <w:t>Segment IT</w:t>
            </w:r>
          </w:p>
        </w:tc>
        <w:tc>
          <w:tcPr>
            <w:tcW w:w="1134" w:type="dxa"/>
            <w:vMerge w:val="restart"/>
            <w:vAlign w:val="center"/>
          </w:tcPr>
          <w:p w:rsidR="00293B89" w:rsidRPr="00765C97" w:rsidRDefault="00293B89" w:rsidP="00293B89">
            <w:pPr>
              <w:adjustRightInd w:val="0"/>
              <w:ind w:left="-56" w:right="-70"/>
              <w:jc w:val="center"/>
              <w:rPr>
                <w:rFonts w:ascii="Arial" w:hAnsi="Arial"/>
                <w:b/>
                <w:sz w:val="18"/>
                <w:szCs w:val="18"/>
                <w:lang w:val="pl-PL"/>
              </w:rPr>
            </w:pPr>
            <w:r w:rsidRPr="00765C97">
              <w:rPr>
                <w:rFonts w:ascii="Arial" w:hAnsi="Arial"/>
                <w:b/>
                <w:sz w:val="18"/>
                <w:szCs w:val="18"/>
                <w:lang w:val="pl-PL"/>
              </w:rPr>
              <w:t>Segment Inwestycje</w:t>
            </w:r>
          </w:p>
        </w:tc>
        <w:tc>
          <w:tcPr>
            <w:tcW w:w="1134" w:type="dxa"/>
            <w:vMerge w:val="restart"/>
            <w:vAlign w:val="center"/>
          </w:tcPr>
          <w:p w:rsidR="00293B89" w:rsidRPr="00765C97" w:rsidRDefault="00293B89" w:rsidP="00293B89">
            <w:pPr>
              <w:adjustRightInd w:val="0"/>
              <w:ind w:left="-56" w:right="-70"/>
              <w:jc w:val="center"/>
              <w:rPr>
                <w:rFonts w:ascii="Arial" w:hAnsi="Arial"/>
                <w:b/>
                <w:sz w:val="18"/>
                <w:szCs w:val="18"/>
                <w:lang w:val="pl-PL"/>
              </w:rPr>
            </w:pPr>
            <w:r w:rsidRPr="00765C97">
              <w:rPr>
                <w:rFonts w:ascii="Arial" w:hAnsi="Arial"/>
                <w:b/>
                <w:sz w:val="18"/>
                <w:szCs w:val="18"/>
                <w:lang w:val="pl-PL"/>
              </w:rPr>
              <w:t>Segment Sport</w:t>
            </w:r>
          </w:p>
        </w:tc>
        <w:tc>
          <w:tcPr>
            <w:tcW w:w="1033" w:type="dxa"/>
            <w:vMerge w:val="restart"/>
            <w:vAlign w:val="center"/>
          </w:tcPr>
          <w:p w:rsidR="00293B89" w:rsidRPr="00765C97" w:rsidRDefault="00293B89" w:rsidP="00293B89">
            <w:pPr>
              <w:tabs>
                <w:tab w:val="right" w:pos="1332"/>
              </w:tabs>
              <w:adjustRightInd w:val="0"/>
              <w:ind w:left="-56" w:right="-70"/>
              <w:jc w:val="center"/>
              <w:rPr>
                <w:rFonts w:ascii="Arial" w:hAnsi="Arial"/>
                <w:b/>
                <w:sz w:val="18"/>
                <w:szCs w:val="18"/>
                <w:lang w:val="pl-PL"/>
              </w:rPr>
            </w:pPr>
            <w:r w:rsidRPr="00765C97">
              <w:rPr>
                <w:rFonts w:ascii="Arial" w:hAnsi="Arial"/>
                <w:b/>
                <w:sz w:val="18"/>
                <w:szCs w:val="18"/>
                <w:lang w:val="pl-PL"/>
              </w:rPr>
              <w:t>Segment Medycyna</w:t>
            </w:r>
          </w:p>
        </w:tc>
        <w:tc>
          <w:tcPr>
            <w:tcW w:w="913" w:type="dxa"/>
            <w:vMerge w:val="restart"/>
            <w:vAlign w:val="center"/>
          </w:tcPr>
          <w:p w:rsidR="00293B89" w:rsidRPr="00765C97" w:rsidRDefault="00293B89" w:rsidP="00293B89">
            <w:pPr>
              <w:tabs>
                <w:tab w:val="right" w:pos="1332"/>
              </w:tabs>
              <w:adjustRightInd w:val="0"/>
              <w:ind w:left="-56" w:right="-70"/>
              <w:jc w:val="center"/>
              <w:rPr>
                <w:rFonts w:ascii="Arial" w:hAnsi="Arial"/>
                <w:b/>
                <w:sz w:val="18"/>
                <w:szCs w:val="18"/>
                <w:lang w:val="pl-PL"/>
              </w:rPr>
            </w:pPr>
            <w:r w:rsidRPr="00765C97">
              <w:rPr>
                <w:rFonts w:ascii="Arial" w:hAnsi="Arial"/>
                <w:b/>
                <w:sz w:val="18"/>
                <w:szCs w:val="18"/>
                <w:lang w:val="pl-PL"/>
              </w:rPr>
              <w:t>Ogółem</w:t>
            </w:r>
          </w:p>
        </w:tc>
      </w:tr>
      <w:tr w:rsidR="00293B89" w:rsidRPr="00765C97" w:rsidTr="00293B89">
        <w:trPr>
          <w:cantSplit/>
          <w:trHeight w:val="255"/>
        </w:trPr>
        <w:tc>
          <w:tcPr>
            <w:tcW w:w="1260" w:type="dxa"/>
            <w:vAlign w:val="center"/>
          </w:tcPr>
          <w:p w:rsidR="00293B89" w:rsidRPr="00765C97" w:rsidRDefault="00293B89" w:rsidP="00B031D9">
            <w:pPr>
              <w:adjustRightInd w:val="0"/>
              <w:rPr>
                <w:rFonts w:ascii="Arial" w:hAnsi="Arial"/>
                <w:b/>
                <w:sz w:val="20"/>
                <w:lang w:val="pl-PL"/>
              </w:rPr>
            </w:pPr>
          </w:p>
        </w:tc>
        <w:tc>
          <w:tcPr>
            <w:tcW w:w="1008" w:type="dxa"/>
            <w:vAlign w:val="center"/>
          </w:tcPr>
          <w:p w:rsidR="00293B89" w:rsidRPr="00765C97" w:rsidRDefault="00293B89" w:rsidP="00B031D9">
            <w:pPr>
              <w:adjustRightInd w:val="0"/>
              <w:ind w:right="-70"/>
              <w:jc w:val="center"/>
              <w:rPr>
                <w:rFonts w:ascii="Arial" w:hAnsi="Arial"/>
                <w:b/>
                <w:sz w:val="18"/>
                <w:lang w:val="pl-PL"/>
              </w:rPr>
            </w:pPr>
            <w:r w:rsidRPr="00765C97">
              <w:rPr>
                <w:rFonts w:ascii="Arial" w:hAnsi="Arial"/>
                <w:b/>
                <w:sz w:val="18"/>
                <w:lang w:val="pl-PL"/>
              </w:rPr>
              <w:t>Polska</w:t>
            </w:r>
          </w:p>
        </w:tc>
        <w:tc>
          <w:tcPr>
            <w:tcW w:w="851" w:type="dxa"/>
            <w:vAlign w:val="center"/>
          </w:tcPr>
          <w:p w:rsidR="00293B89" w:rsidRPr="00765C97" w:rsidRDefault="00293B89" w:rsidP="00B031D9">
            <w:pPr>
              <w:adjustRightInd w:val="0"/>
              <w:ind w:right="-70"/>
              <w:jc w:val="center"/>
              <w:rPr>
                <w:rFonts w:ascii="Arial" w:hAnsi="Arial"/>
                <w:b/>
                <w:sz w:val="18"/>
                <w:lang w:val="pl-PL"/>
              </w:rPr>
            </w:pPr>
            <w:r w:rsidRPr="00765C97">
              <w:rPr>
                <w:rFonts w:ascii="Arial" w:hAnsi="Arial"/>
                <w:b/>
                <w:sz w:val="18"/>
                <w:lang w:val="pl-PL"/>
              </w:rPr>
              <w:t>DACH</w:t>
            </w:r>
          </w:p>
        </w:tc>
        <w:tc>
          <w:tcPr>
            <w:tcW w:w="1150" w:type="dxa"/>
            <w:vAlign w:val="center"/>
          </w:tcPr>
          <w:p w:rsidR="00293B89" w:rsidRPr="00765C97" w:rsidRDefault="00293B89" w:rsidP="00B031D9">
            <w:pPr>
              <w:adjustRightInd w:val="0"/>
              <w:ind w:right="-70"/>
              <w:jc w:val="center"/>
              <w:rPr>
                <w:rFonts w:ascii="Arial" w:hAnsi="Arial"/>
                <w:b/>
                <w:sz w:val="18"/>
                <w:lang w:val="pl-PL"/>
              </w:rPr>
            </w:pPr>
            <w:r w:rsidRPr="00765C97">
              <w:rPr>
                <w:rFonts w:ascii="Arial" w:hAnsi="Arial"/>
                <w:b/>
                <w:sz w:val="18"/>
                <w:lang w:val="pl-PL"/>
              </w:rPr>
              <w:t>Pozostałe</w:t>
            </w:r>
          </w:p>
        </w:tc>
        <w:tc>
          <w:tcPr>
            <w:tcW w:w="1134" w:type="dxa"/>
            <w:vMerge/>
            <w:vAlign w:val="center"/>
          </w:tcPr>
          <w:p w:rsidR="00293B89" w:rsidRPr="00765C97" w:rsidRDefault="00293B89" w:rsidP="00B031D9">
            <w:pPr>
              <w:adjustRightInd w:val="0"/>
              <w:ind w:left="-56" w:right="-70"/>
              <w:jc w:val="center"/>
              <w:rPr>
                <w:rFonts w:ascii="Arial" w:hAnsi="Arial"/>
                <w:b/>
                <w:sz w:val="18"/>
                <w:lang w:val="pl-PL"/>
              </w:rPr>
            </w:pPr>
          </w:p>
        </w:tc>
        <w:tc>
          <w:tcPr>
            <w:tcW w:w="1134" w:type="dxa"/>
            <w:vMerge/>
            <w:vAlign w:val="center"/>
          </w:tcPr>
          <w:p w:rsidR="00293B89" w:rsidRPr="00765C97" w:rsidRDefault="00293B89" w:rsidP="00B031D9">
            <w:pPr>
              <w:adjustRightInd w:val="0"/>
              <w:ind w:left="-56" w:right="-70"/>
              <w:jc w:val="center"/>
              <w:rPr>
                <w:rFonts w:ascii="Arial" w:hAnsi="Arial"/>
                <w:b/>
                <w:sz w:val="18"/>
                <w:lang w:val="pl-PL"/>
              </w:rPr>
            </w:pPr>
          </w:p>
        </w:tc>
        <w:tc>
          <w:tcPr>
            <w:tcW w:w="1033" w:type="dxa"/>
            <w:vMerge/>
            <w:vAlign w:val="center"/>
          </w:tcPr>
          <w:p w:rsidR="00293B89" w:rsidRPr="00765C97" w:rsidRDefault="00293B89" w:rsidP="00B031D9">
            <w:pPr>
              <w:tabs>
                <w:tab w:val="right" w:pos="1332"/>
              </w:tabs>
              <w:adjustRightInd w:val="0"/>
              <w:ind w:left="-56" w:right="-70"/>
              <w:jc w:val="center"/>
              <w:rPr>
                <w:rFonts w:ascii="Arial" w:hAnsi="Arial"/>
                <w:b/>
                <w:sz w:val="18"/>
                <w:lang w:val="pl-PL"/>
              </w:rPr>
            </w:pPr>
          </w:p>
        </w:tc>
        <w:tc>
          <w:tcPr>
            <w:tcW w:w="913" w:type="dxa"/>
            <w:vMerge/>
            <w:vAlign w:val="center"/>
          </w:tcPr>
          <w:p w:rsidR="00293B89" w:rsidRPr="00765C97" w:rsidRDefault="00293B89" w:rsidP="00B031D9">
            <w:pPr>
              <w:tabs>
                <w:tab w:val="right" w:pos="1332"/>
              </w:tabs>
              <w:adjustRightInd w:val="0"/>
              <w:ind w:left="-56" w:right="-70"/>
              <w:jc w:val="center"/>
              <w:rPr>
                <w:rFonts w:ascii="Arial" w:hAnsi="Arial"/>
                <w:b/>
                <w:sz w:val="18"/>
                <w:lang w:val="pl-PL"/>
              </w:rPr>
            </w:pPr>
          </w:p>
        </w:tc>
      </w:tr>
      <w:tr w:rsidR="00293B89" w:rsidRPr="00765C97" w:rsidTr="00293B89">
        <w:trPr>
          <w:trHeight w:val="255"/>
        </w:trPr>
        <w:tc>
          <w:tcPr>
            <w:tcW w:w="1260" w:type="dxa"/>
            <w:vAlign w:val="center"/>
          </w:tcPr>
          <w:p w:rsidR="00293B89" w:rsidRPr="00765C97" w:rsidRDefault="00293B89" w:rsidP="00B031D9">
            <w:pPr>
              <w:adjustRightInd w:val="0"/>
              <w:rPr>
                <w:rFonts w:ascii="Arial" w:hAnsi="Arial"/>
                <w:sz w:val="20"/>
                <w:lang w:val="pl-PL"/>
              </w:rPr>
            </w:pPr>
          </w:p>
        </w:tc>
        <w:tc>
          <w:tcPr>
            <w:tcW w:w="1008" w:type="dxa"/>
            <w:vAlign w:val="center"/>
          </w:tcPr>
          <w:p w:rsidR="00293B89" w:rsidRPr="00765C97" w:rsidRDefault="00293B89" w:rsidP="00B031D9">
            <w:pPr>
              <w:adjustRightInd w:val="0"/>
              <w:ind w:right="-70"/>
              <w:jc w:val="center"/>
              <w:rPr>
                <w:rFonts w:ascii="Arial" w:hAnsi="Arial"/>
                <w:sz w:val="18"/>
                <w:lang w:val="pl-PL"/>
              </w:rPr>
            </w:pPr>
          </w:p>
        </w:tc>
        <w:tc>
          <w:tcPr>
            <w:tcW w:w="851" w:type="dxa"/>
            <w:vAlign w:val="center"/>
          </w:tcPr>
          <w:p w:rsidR="00293B89" w:rsidRPr="00765C97" w:rsidRDefault="00293B89" w:rsidP="00B031D9">
            <w:pPr>
              <w:adjustRightInd w:val="0"/>
              <w:ind w:right="-70"/>
              <w:jc w:val="center"/>
              <w:rPr>
                <w:rFonts w:ascii="Arial" w:hAnsi="Arial"/>
                <w:sz w:val="18"/>
                <w:lang w:val="pl-PL"/>
              </w:rPr>
            </w:pPr>
          </w:p>
        </w:tc>
        <w:tc>
          <w:tcPr>
            <w:tcW w:w="1150" w:type="dxa"/>
            <w:vAlign w:val="center"/>
          </w:tcPr>
          <w:p w:rsidR="00293B89" w:rsidRPr="00765C97" w:rsidRDefault="00293B89" w:rsidP="00B031D9">
            <w:pPr>
              <w:adjustRightInd w:val="0"/>
              <w:ind w:right="-70"/>
              <w:jc w:val="center"/>
              <w:rPr>
                <w:rFonts w:ascii="Arial" w:hAnsi="Arial"/>
                <w:sz w:val="18"/>
                <w:lang w:val="pl-PL"/>
              </w:rPr>
            </w:pPr>
          </w:p>
        </w:tc>
        <w:tc>
          <w:tcPr>
            <w:tcW w:w="1134" w:type="dxa"/>
            <w:vAlign w:val="center"/>
          </w:tcPr>
          <w:p w:rsidR="00293B89" w:rsidRPr="00765C97" w:rsidRDefault="00293B89" w:rsidP="00B031D9">
            <w:pPr>
              <w:adjustRightInd w:val="0"/>
              <w:ind w:left="-56" w:right="-70"/>
              <w:jc w:val="center"/>
              <w:rPr>
                <w:rFonts w:ascii="Arial" w:hAnsi="Arial"/>
                <w:sz w:val="18"/>
                <w:lang w:val="pl-PL"/>
              </w:rPr>
            </w:pPr>
          </w:p>
        </w:tc>
        <w:tc>
          <w:tcPr>
            <w:tcW w:w="1134" w:type="dxa"/>
            <w:vAlign w:val="center"/>
          </w:tcPr>
          <w:p w:rsidR="00293B89" w:rsidRPr="00765C97" w:rsidRDefault="00293B89" w:rsidP="00B031D9">
            <w:pPr>
              <w:adjustRightInd w:val="0"/>
              <w:ind w:left="-56" w:right="-70"/>
              <w:jc w:val="center"/>
              <w:rPr>
                <w:rFonts w:ascii="Arial" w:hAnsi="Arial"/>
                <w:sz w:val="18"/>
                <w:lang w:val="pl-PL"/>
              </w:rPr>
            </w:pPr>
          </w:p>
        </w:tc>
        <w:tc>
          <w:tcPr>
            <w:tcW w:w="1033" w:type="dxa"/>
            <w:vAlign w:val="center"/>
          </w:tcPr>
          <w:p w:rsidR="00293B89" w:rsidRPr="00765C97" w:rsidRDefault="00293B89" w:rsidP="00B031D9">
            <w:pPr>
              <w:tabs>
                <w:tab w:val="right" w:pos="1332"/>
              </w:tabs>
              <w:adjustRightInd w:val="0"/>
              <w:ind w:left="-56" w:right="-70"/>
              <w:jc w:val="center"/>
              <w:rPr>
                <w:rFonts w:ascii="Arial" w:hAnsi="Arial"/>
                <w:sz w:val="18"/>
                <w:lang w:val="pl-PL"/>
              </w:rPr>
            </w:pPr>
          </w:p>
        </w:tc>
        <w:tc>
          <w:tcPr>
            <w:tcW w:w="913" w:type="dxa"/>
            <w:vAlign w:val="center"/>
          </w:tcPr>
          <w:p w:rsidR="00293B89" w:rsidRPr="00765C97" w:rsidRDefault="00293B89" w:rsidP="00B031D9">
            <w:pPr>
              <w:tabs>
                <w:tab w:val="right" w:pos="1332"/>
              </w:tabs>
              <w:adjustRightInd w:val="0"/>
              <w:ind w:left="-56" w:right="-70"/>
              <w:jc w:val="center"/>
              <w:rPr>
                <w:rFonts w:ascii="Arial" w:hAnsi="Arial"/>
                <w:sz w:val="18"/>
                <w:lang w:val="pl-PL"/>
              </w:rPr>
            </w:pPr>
          </w:p>
        </w:tc>
      </w:tr>
      <w:tr w:rsidR="00293B89" w:rsidRPr="00765C97" w:rsidTr="00293B89">
        <w:trPr>
          <w:trHeight w:val="255"/>
        </w:trPr>
        <w:tc>
          <w:tcPr>
            <w:tcW w:w="1260" w:type="dxa"/>
            <w:vAlign w:val="center"/>
          </w:tcPr>
          <w:p w:rsidR="00293B89" w:rsidRPr="00765C97" w:rsidRDefault="00293B89" w:rsidP="00B031D9">
            <w:pPr>
              <w:adjustRightInd w:val="0"/>
              <w:rPr>
                <w:rFonts w:ascii="Arial" w:hAnsi="Arial"/>
                <w:sz w:val="18"/>
                <w:szCs w:val="18"/>
                <w:lang w:val="pl-PL"/>
              </w:rPr>
            </w:pPr>
            <w:r w:rsidRPr="00765C97">
              <w:rPr>
                <w:rFonts w:ascii="Arial" w:hAnsi="Arial"/>
                <w:sz w:val="18"/>
                <w:szCs w:val="18"/>
                <w:lang w:val="pl-PL"/>
              </w:rPr>
              <w:t>Aktywa</w:t>
            </w:r>
          </w:p>
        </w:tc>
        <w:tc>
          <w:tcPr>
            <w:tcW w:w="1008" w:type="dxa"/>
            <w:vAlign w:val="center"/>
          </w:tcPr>
          <w:p w:rsidR="00293B89" w:rsidRPr="00765C97" w:rsidRDefault="00293B89" w:rsidP="00293B89">
            <w:pPr>
              <w:adjustRightInd w:val="0"/>
              <w:ind w:right="-70"/>
              <w:jc w:val="center"/>
              <w:rPr>
                <w:rFonts w:ascii="Arial" w:hAnsi="Arial"/>
                <w:sz w:val="18"/>
                <w:szCs w:val="18"/>
                <w:lang w:val="pl-PL"/>
              </w:rPr>
            </w:pPr>
            <w:r w:rsidRPr="00765C97">
              <w:rPr>
                <w:rFonts w:ascii="Arial" w:hAnsi="Arial"/>
                <w:sz w:val="18"/>
                <w:szCs w:val="18"/>
                <w:lang w:val="pl-PL"/>
              </w:rPr>
              <w:t>698 100</w:t>
            </w:r>
          </w:p>
        </w:tc>
        <w:tc>
          <w:tcPr>
            <w:tcW w:w="851" w:type="dxa"/>
            <w:vAlign w:val="center"/>
          </w:tcPr>
          <w:p w:rsidR="00293B89" w:rsidRPr="00765C97" w:rsidRDefault="00293B89" w:rsidP="00293B89">
            <w:pPr>
              <w:adjustRightInd w:val="0"/>
              <w:ind w:right="-70"/>
              <w:jc w:val="center"/>
              <w:rPr>
                <w:rFonts w:ascii="Arial" w:hAnsi="Arial"/>
                <w:sz w:val="18"/>
                <w:szCs w:val="18"/>
                <w:lang w:val="pl-PL"/>
              </w:rPr>
            </w:pPr>
            <w:r w:rsidRPr="00765C97">
              <w:rPr>
                <w:rFonts w:ascii="Arial" w:hAnsi="Arial"/>
                <w:sz w:val="18"/>
                <w:szCs w:val="18"/>
                <w:lang w:val="pl-PL"/>
              </w:rPr>
              <w:t>186 875</w:t>
            </w:r>
          </w:p>
        </w:tc>
        <w:tc>
          <w:tcPr>
            <w:tcW w:w="1150" w:type="dxa"/>
            <w:vAlign w:val="center"/>
          </w:tcPr>
          <w:p w:rsidR="00293B89" w:rsidRPr="00765C97" w:rsidRDefault="00293B89" w:rsidP="00293B89">
            <w:pPr>
              <w:tabs>
                <w:tab w:val="right" w:pos="1332"/>
              </w:tabs>
              <w:adjustRightInd w:val="0"/>
              <w:ind w:right="-70"/>
              <w:jc w:val="center"/>
              <w:rPr>
                <w:rFonts w:ascii="Arial" w:hAnsi="Arial"/>
                <w:sz w:val="18"/>
                <w:szCs w:val="18"/>
                <w:lang w:val="pl-PL"/>
              </w:rPr>
            </w:pPr>
            <w:r w:rsidRPr="00765C97">
              <w:rPr>
                <w:rFonts w:ascii="Arial" w:hAnsi="Arial"/>
                <w:sz w:val="18"/>
                <w:szCs w:val="18"/>
                <w:lang w:val="pl-PL"/>
              </w:rPr>
              <w:t>46 633</w:t>
            </w:r>
          </w:p>
        </w:tc>
        <w:tc>
          <w:tcPr>
            <w:tcW w:w="1134" w:type="dxa"/>
            <w:vAlign w:val="center"/>
          </w:tcPr>
          <w:p w:rsidR="00293B89" w:rsidRPr="00765C97" w:rsidRDefault="00293B89" w:rsidP="00CE6B87">
            <w:pPr>
              <w:adjustRightInd w:val="0"/>
              <w:ind w:left="-56" w:right="-70"/>
              <w:jc w:val="center"/>
              <w:rPr>
                <w:rFonts w:ascii="Arial" w:hAnsi="Arial"/>
                <w:sz w:val="18"/>
                <w:szCs w:val="18"/>
                <w:lang w:val="pl-PL"/>
              </w:rPr>
            </w:pPr>
            <w:r w:rsidRPr="00765C97">
              <w:rPr>
                <w:rFonts w:ascii="Arial" w:hAnsi="Arial"/>
                <w:sz w:val="18"/>
                <w:szCs w:val="18"/>
                <w:lang w:val="pl-PL"/>
              </w:rPr>
              <w:t>125 91</w:t>
            </w:r>
            <w:r w:rsidR="00CE6B87" w:rsidRPr="00765C97">
              <w:rPr>
                <w:rFonts w:ascii="Arial" w:hAnsi="Arial"/>
                <w:sz w:val="18"/>
                <w:szCs w:val="18"/>
                <w:lang w:val="pl-PL"/>
              </w:rPr>
              <w:t>5</w:t>
            </w:r>
          </w:p>
        </w:tc>
        <w:tc>
          <w:tcPr>
            <w:tcW w:w="1134" w:type="dxa"/>
            <w:vAlign w:val="center"/>
          </w:tcPr>
          <w:p w:rsidR="00293B89" w:rsidRPr="00765C97" w:rsidRDefault="00293B89" w:rsidP="00293B89">
            <w:pPr>
              <w:adjustRightInd w:val="0"/>
              <w:ind w:left="-56" w:right="-70"/>
              <w:jc w:val="center"/>
              <w:rPr>
                <w:rFonts w:ascii="Arial" w:hAnsi="Arial"/>
                <w:sz w:val="18"/>
                <w:szCs w:val="18"/>
                <w:lang w:val="pl-PL"/>
              </w:rPr>
            </w:pPr>
            <w:r w:rsidRPr="00765C97">
              <w:rPr>
                <w:rFonts w:ascii="Arial" w:hAnsi="Arial"/>
                <w:sz w:val="18"/>
                <w:szCs w:val="18"/>
                <w:lang w:val="pl-PL"/>
              </w:rPr>
              <w:t>47 584</w:t>
            </w:r>
          </w:p>
        </w:tc>
        <w:tc>
          <w:tcPr>
            <w:tcW w:w="1033" w:type="dxa"/>
            <w:vAlign w:val="center"/>
          </w:tcPr>
          <w:p w:rsidR="00293B89" w:rsidRPr="00765C97" w:rsidRDefault="00293B89" w:rsidP="00293B89">
            <w:pPr>
              <w:tabs>
                <w:tab w:val="right" w:pos="1332"/>
              </w:tabs>
              <w:adjustRightInd w:val="0"/>
              <w:ind w:left="-56" w:right="-70"/>
              <w:jc w:val="center"/>
              <w:rPr>
                <w:rFonts w:ascii="Arial" w:hAnsi="Arial"/>
                <w:sz w:val="18"/>
                <w:szCs w:val="18"/>
                <w:lang w:val="pl-PL"/>
              </w:rPr>
            </w:pPr>
            <w:r w:rsidRPr="00765C97">
              <w:rPr>
                <w:rFonts w:ascii="Arial" w:hAnsi="Arial"/>
                <w:sz w:val="18"/>
                <w:szCs w:val="18"/>
                <w:lang w:val="pl-PL"/>
              </w:rPr>
              <w:t>41 636</w:t>
            </w:r>
          </w:p>
        </w:tc>
        <w:tc>
          <w:tcPr>
            <w:tcW w:w="913" w:type="dxa"/>
            <w:vAlign w:val="center"/>
          </w:tcPr>
          <w:p w:rsidR="00293B89" w:rsidRPr="00765C97" w:rsidRDefault="00293B89" w:rsidP="00293B89">
            <w:pPr>
              <w:tabs>
                <w:tab w:val="right" w:pos="1332"/>
              </w:tabs>
              <w:adjustRightInd w:val="0"/>
              <w:ind w:left="-56" w:right="-70"/>
              <w:jc w:val="center"/>
              <w:rPr>
                <w:rFonts w:ascii="Arial" w:hAnsi="Arial"/>
                <w:sz w:val="18"/>
                <w:szCs w:val="18"/>
                <w:lang w:val="pl-PL"/>
              </w:rPr>
            </w:pPr>
            <w:r w:rsidRPr="00765C97">
              <w:rPr>
                <w:rFonts w:ascii="Arial" w:hAnsi="Arial"/>
                <w:sz w:val="18"/>
                <w:szCs w:val="18"/>
                <w:lang w:val="pl-PL"/>
              </w:rPr>
              <w:t>1 146 743</w:t>
            </w:r>
          </w:p>
        </w:tc>
      </w:tr>
      <w:tr w:rsidR="00293B89" w:rsidRPr="00765C97" w:rsidTr="00293B89">
        <w:trPr>
          <w:trHeight w:val="255"/>
        </w:trPr>
        <w:tc>
          <w:tcPr>
            <w:tcW w:w="1260" w:type="dxa"/>
            <w:vAlign w:val="center"/>
          </w:tcPr>
          <w:p w:rsidR="00293B89" w:rsidRPr="00765C97" w:rsidRDefault="00293B89" w:rsidP="00B031D9">
            <w:pPr>
              <w:adjustRightInd w:val="0"/>
              <w:rPr>
                <w:rFonts w:ascii="Arial" w:hAnsi="Arial"/>
                <w:sz w:val="18"/>
                <w:szCs w:val="18"/>
                <w:lang w:val="pl-PL"/>
              </w:rPr>
            </w:pPr>
            <w:r w:rsidRPr="00765C97">
              <w:rPr>
                <w:rFonts w:ascii="Arial" w:hAnsi="Arial"/>
                <w:sz w:val="18"/>
                <w:szCs w:val="18"/>
                <w:lang w:val="pl-PL"/>
              </w:rPr>
              <w:t>Zobowiązania</w:t>
            </w:r>
          </w:p>
        </w:tc>
        <w:tc>
          <w:tcPr>
            <w:tcW w:w="1008" w:type="dxa"/>
            <w:vAlign w:val="center"/>
          </w:tcPr>
          <w:p w:rsidR="00293B89" w:rsidRPr="00765C97" w:rsidRDefault="00293B89" w:rsidP="00293B89">
            <w:pPr>
              <w:tabs>
                <w:tab w:val="right" w:pos="1337"/>
              </w:tabs>
              <w:adjustRightInd w:val="0"/>
              <w:ind w:right="-70"/>
              <w:jc w:val="center"/>
              <w:rPr>
                <w:rFonts w:ascii="Arial" w:hAnsi="Arial"/>
                <w:sz w:val="18"/>
                <w:szCs w:val="18"/>
                <w:lang w:val="pl-PL"/>
              </w:rPr>
            </w:pPr>
            <w:r w:rsidRPr="00765C97">
              <w:rPr>
                <w:rFonts w:ascii="Arial" w:hAnsi="Arial"/>
                <w:sz w:val="18"/>
                <w:szCs w:val="18"/>
                <w:lang w:val="pl-PL"/>
              </w:rPr>
              <w:t>431 500</w:t>
            </w:r>
          </w:p>
        </w:tc>
        <w:tc>
          <w:tcPr>
            <w:tcW w:w="851" w:type="dxa"/>
            <w:vAlign w:val="center"/>
          </w:tcPr>
          <w:p w:rsidR="00293B89" w:rsidRPr="00765C97" w:rsidRDefault="00293B89" w:rsidP="00293B89">
            <w:pPr>
              <w:tabs>
                <w:tab w:val="right" w:pos="1337"/>
              </w:tabs>
              <w:adjustRightInd w:val="0"/>
              <w:ind w:right="-70"/>
              <w:jc w:val="center"/>
              <w:rPr>
                <w:rFonts w:ascii="Arial" w:hAnsi="Arial"/>
                <w:sz w:val="18"/>
                <w:szCs w:val="18"/>
                <w:lang w:val="pl-PL"/>
              </w:rPr>
            </w:pPr>
            <w:r w:rsidRPr="00765C97">
              <w:rPr>
                <w:rFonts w:ascii="Arial" w:hAnsi="Arial"/>
                <w:sz w:val="18"/>
                <w:szCs w:val="18"/>
                <w:lang w:val="pl-PL"/>
              </w:rPr>
              <w:t>44 983</w:t>
            </w:r>
          </w:p>
        </w:tc>
        <w:tc>
          <w:tcPr>
            <w:tcW w:w="1150" w:type="dxa"/>
            <w:vAlign w:val="center"/>
          </w:tcPr>
          <w:p w:rsidR="00293B89" w:rsidRPr="00765C97" w:rsidRDefault="00293B89" w:rsidP="00CE6B87">
            <w:pPr>
              <w:tabs>
                <w:tab w:val="right" w:pos="1332"/>
              </w:tabs>
              <w:adjustRightInd w:val="0"/>
              <w:ind w:right="-70"/>
              <w:jc w:val="center"/>
              <w:rPr>
                <w:rFonts w:ascii="Arial" w:hAnsi="Arial"/>
                <w:sz w:val="18"/>
                <w:szCs w:val="18"/>
                <w:lang w:val="pl-PL"/>
              </w:rPr>
            </w:pPr>
            <w:r w:rsidRPr="00765C97">
              <w:rPr>
                <w:rFonts w:ascii="Arial" w:hAnsi="Arial"/>
                <w:sz w:val="18"/>
                <w:szCs w:val="18"/>
                <w:lang w:val="pl-PL"/>
              </w:rPr>
              <w:t>10 09</w:t>
            </w:r>
            <w:r w:rsidR="00CE6B87" w:rsidRPr="00765C97">
              <w:rPr>
                <w:rFonts w:ascii="Arial" w:hAnsi="Arial"/>
                <w:sz w:val="18"/>
                <w:szCs w:val="18"/>
                <w:lang w:val="pl-PL"/>
              </w:rPr>
              <w:t>0</w:t>
            </w:r>
          </w:p>
        </w:tc>
        <w:tc>
          <w:tcPr>
            <w:tcW w:w="1134" w:type="dxa"/>
            <w:vAlign w:val="center"/>
          </w:tcPr>
          <w:p w:rsidR="00293B89" w:rsidRPr="00765C97" w:rsidRDefault="00293B89" w:rsidP="00293B89">
            <w:pPr>
              <w:adjustRightInd w:val="0"/>
              <w:ind w:left="-56" w:right="-70"/>
              <w:jc w:val="center"/>
              <w:rPr>
                <w:rFonts w:ascii="Arial" w:hAnsi="Arial"/>
                <w:sz w:val="18"/>
                <w:szCs w:val="18"/>
                <w:lang w:val="pl-PL"/>
              </w:rPr>
            </w:pPr>
            <w:r w:rsidRPr="00765C97">
              <w:rPr>
                <w:rFonts w:ascii="Arial" w:hAnsi="Arial"/>
                <w:sz w:val="18"/>
                <w:szCs w:val="18"/>
                <w:lang w:val="pl-PL"/>
              </w:rPr>
              <w:t>222</w:t>
            </w:r>
          </w:p>
        </w:tc>
        <w:tc>
          <w:tcPr>
            <w:tcW w:w="1134" w:type="dxa"/>
            <w:vAlign w:val="center"/>
          </w:tcPr>
          <w:p w:rsidR="00293B89" w:rsidRPr="00765C97" w:rsidRDefault="00293B89" w:rsidP="00293B89">
            <w:pPr>
              <w:adjustRightInd w:val="0"/>
              <w:ind w:left="-56" w:right="-70"/>
              <w:jc w:val="center"/>
              <w:rPr>
                <w:rFonts w:ascii="Arial" w:hAnsi="Arial"/>
                <w:sz w:val="18"/>
                <w:szCs w:val="18"/>
                <w:lang w:val="pl-PL"/>
              </w:rPr>
            </w:pPr>
            <w:r w:rsidRPr="00765C97">
              <w:rPr>
                <w:rFonts w:ascii="Arial" w:hAnsi="Arial"/>
                <w:sz w:val="18"/>
                <w:szCs w:val="18"/>
                <w:lang w:val="pl-PL"/>
              </w:rPr>
              <w:t>14 145</w:t>
            </w:r>
          </w:p>
        </w:tc>
        <w:tc>
          <w:tcPr>
            <w:tcW w:w="1033" w:type="dxa"/>
            <w:vAlign w:val="center"/>
          </w:tcPr>
          <w:p w:rsidR="00293B89" w:rsidRPr="00765C97" w:rsidRDefault="00293B89" w:rsidP="00293B89">
            <w:pPr>
              <w:tabs>
                <w:tab w:val="right" w:pos="1332"/>
              </w:tabs>
              <w:adjustRightInd w:val="0"/>
              <w:ind w:left="-56" w:right="-70"/>
              <w:jc w:val="center"/>
              <w:rPr>
                <w:rFonts w:ascii="Arial" w:hAnsi="Arial"/>
                <w:sz w:val="18"/>
                <w:szCs w:val="18"/>
                <w:lang w:val="pl-PL"/>
              </w:rPr>
            </w:pPr>
            <w:r w:rsidRPr="00765C97">
              <w:rPr>
                <w:rFonts w:ascii="Arial" w:hAnsi="Arial"/>
                <w:sz w:val="18"/>
                <w:szCs w:val="18"/>
                <w:lang w:val="pl-PL"/>
              </w:rPr>
              <w:t>20 861</w:t>
            </w:r>
          </w:p>
        </w:tc>
        <w:tc>
          <w:tcPr>
            <w:tcW w:w="913" w:type="dxa"/>
            <w:vAlign w:val="center"/>
          </w:tcPr>
          <w:p w:rsidR="00293B89" w:rsidRPr="00765C97" w:rsidRDefault="00293B89" w:rsidP="00293B89">
            <w:pPr>
              <w:tabs>
                <w:tab w:val="right" w:pos="1332"/>
              </w:tabs>
              <w:adjustRightInd w:val="0"/>
              <w:ind w:left="-56" w:right="-70"/>
              <w:jc w:val="center"/>
              <w:rPr>
                <w:rFonts w:ascii="Arial" w:hAnsi="Arial"/>
                <w:sz w:val="18"/>
                <w:szCs w:val="18"/>
                <w:lang w:val="pl-PL"/>
              </w:rPr>
            </w:pPr>
            <w:r w:rsidRPr="00765C97">
              <w:rPr>
                <w:rFonts w:ascii="Arial" w:hAnsi="Arial"/>
                <w:sz w:val="18"/>
                <w:szCs w:val="18"/>
                <w:lang w:val="pl-PL"/>
              </w:rPr>
              <w:t>521 801</w:t>
            </w:r>
          </w:p>
        </w:tc>
      </w:tr>
      <w:tr w:rsidR="00293B89" w:rsidRPr="00765C97" w:rsidTr="00293B89">
        <w:trPr>
          <w:trHeight w:val="255"/>
        </w:trPr>
        <w:tc>
          <w:tcPr>
            <w:tcW w:w="1260" w:type="dxa"/>
            <w:vAlign w:val="center"/>
          </w:tcPr>
          <w:p w:rsidR="00293B89" w:rsidRPr="00765C97" w:rsidRDefault="00293B89" w:rsidP="00B031D9">
            <w:pPr>
              <w:adjustRightInd w:val="0"/>
              <w:rPr>
                <w:rFonts w:ascii="Arial" w:hAnsi="Arial"/>
                <w:sz w:val="18"/>
                <w:szCs w:val="18"/>
                <w:lang w:val="pl-PL"/>
              </w:rPr>
            </w:pPr>
            <w:r w:rsidRPr="00765C97">
              <w:rPr>
                <w:rFonts w:ascii="Arial" w:hAnsi="Arial"/>
                <w:sz w:val="18"/>
                <w:szCs w:val="18"/>
                <w:lang w:val="pl-PL"/>
              </w:rPr>
              <w:t>Wydatki inwestycyjne</w:t>
            </w:r>
          </w:p>
        </w:tc>
        <w:tc>
          <w:tcPr>
            <w:tcW w:w="1008" w:type="dxa"/>
            <w:vAlign w:val="center"/>
          </w:tcPr>
          <w:p w:rsidR="00293B89" w:rsidRPr="00765C97" w:rsidRDefault="00293B89" w:rsidP="00293B89">
            <w:pPr>
              <w:ind w:right="-70"/>
              <w:jc w:val="center"/>
              <w:rPr>
                <w:rFonts w:ascii="Arial" w:hAnsi="Arial" w:cs="Arial"/>
                <w:sz w:val="18"/>
                <w:szCs w:val="18"/>
              </w:rPr>
            </w:pPr>
            <w:r w:rsidRPr="00765C97">
              <w:rPr>
                <w:rFonts w:ascii="Arial" w:hAnsi="Arial" w:cs="Arial"/>
                <w:sz w:val="18"/>
                <w:szCs w:val="18"/>
              </w:rPr>
              <w:t>37 609</w:t>
            </w:r>
          </w:p>
        </w:tc>
        <w:tc>
          <w:tcPr>
            <w:tcW w:w="851" w:type="dxa"/>
            <w:vAlign w:val="center"/>
          </w:tcPr>
          <w:p w:rsidR="00293B89" w:rsidRPr="00765C97" w:rsidRDefault="00293B89" w:rsidP="00293B89">
            <w:pPr>
              <w:ind w:right="-70"/>
              <w:jc w:val="center"/>
              <w:rPr>
                <w:rFonts w:ascii="Arial" w:hAnsi="Arial" w:cs="Arial"/>
                <w:sz w:val="18"/>
                <w:szCs w:val="18"/>
              </w:rPr>
            </w:pPr>
            <w:r w:rsidRPr="00765C97">
              <w:rPr>
                <w:rFonts w:ascii="Arial" w:hAnsi="Arial" w:cs="Arial"/>
                <w:sz w:val="18"/>
                <w:szCs w:val="18"/>
              </w:rPr>
              <w:t>57 951</w:t>
            </w:r>
          </w:p>
        </w:tc>
        <w:tc>
          <w:tcPr>
            <w:tcW w:w="1150" w:type="dxa"/>
            <w:vAlign w:val="center"/>
          </w:tcPr>
          <w:p w:rsidR="00293B89" w:rsidRPr="00765C97" w:rsidRDefault="00293B89" w:rsidP="00293B89">
            <w:pPr>
              <w:ind w:right="-70"/>
              <w:jc w:val="center"/>
              <w:rPr>
                <w:rFonts w:ascii="Arial" w:hAnsi="Arial" w:cs="Arial"/>
                <w:sz w:val="18"/>
                <w:szCs w:val="18"/>
              </w:rPr>
            </w:pPr>
            <w:r w:rsidRPr="00765C97">
              <w:rPr>
                <w:rFonts w:ascii="Arial" w:hAnsi="Arial" w:cs="Arial"/>
                <w:sz w:val="18"/>
                <w:szCs w:val="18"/>
              </w:rPr>
              <w:t>1 229</w:t>
            </w:r>
          </w:p>
        </w:tc>
        <w:tc>
          <w:tcPr>
            <w:tcW w:w="1134" w:type="dxa"/>
            <w:vAlign w:val="center"/>
          </w:tcPr>
          <w:p w:rsidR="00293B89" w:rsidRPr="00765C97" w:rsidRDefault="00293B89" w:rsidP="00293B89">
            <w:pPr>
              <w:ind w:right="-70"/>
              <w:jc w:val="center"/>
              <w:rPr>
                <w:rFonts w:ascii="Arial" w:hAnsi="Arial" w:cs="Arial"/>
                <w:sz w:val="18"/>
                <w:szCs w:val="18"/>
              </w:rPr>
            </w:pPr>
            <w:r w:rsidRPr="00765C97">
              <w:rPr>
                <w:rFonts w:ascii="Arial" w:hAnsi="Arial" w:cs="Arial"/>
                <w:sz w:val="18"/>
                <w:szCs w:val="18"/>
              </w:rPr>
              <w:t>22 517</w:t>
            </w:r>
          </w:p>
        </w:tc>
        <w:tc>
          <w:tcPr>
            <w:tcW w:w="1134" w:type="dxa"/>
            <w:vAlign w:val="center"/>
          </w:tcPr>
          <w:p w:rsidR="00293B89" w:rsidRPr="00765C97" w:rsidRDefault="00293B89" w:rsidP="00293B89">
            <w:pPr>
              <w:ind w:right="-70"/>
              <w:jc w:val="center"/>
              <w:rPr>
                <w:rFonts w:ascii="Arial" w:hAnsi="Arial" w:cs="Arial"/>
                <w:sz w:val="18"/>
                <w:szCs w:val="18"/>
              </w:rPr>
            </w:pPr>
            <w:r w:rsidRPr="00765C97">
              <w:rPr>
                <w:rFonts w:ascii="Arial" w:hAnsi="Arial" w:cs="Arial"/>
                <w:sz w:val="18"/>
                <w:szCs w:val="18"/>
              </w:rPr>
              <w:t>1 544</w:t>
            </w:r>
          </w:p>
        </w:tc>
        <w:tc>
          <w:tcPr>
            <w:tcW w:w="1033" w:type="dxa"/>
            <w:vAlign w:val="center"/>
          </w:tcPr>
          <w:p w:rsidR="00293B89" w:rsidRPr="00765C97" w:rsidRDefault="00293B89" w:rsidP="00CE6B87">
            <w:pPr>
              <w:ind w:right="-70"/>
              <w:jc w:val="center"/>
              <w:rPr>
                <w:rFonts w:ascii="Arial" w:hAnsi="Arial" w:cs="Arial"/>
                <w:sz w:val="18"/>
                <w:szCs w:val="18"/>
              </w:rPr>
            </w:pPr>
            <w:r w:rsidRPr="00765C97">
              <w:rPr>
                <w:rFonts w:ascii="Arial" w:hAnsi="Arial" w:cs="Arial"/>
                <w:sz w:val="18"/>
                <w:szCs w:val="18"/>
              </w:rPr>
              <w:t>1 94</w:t>
            </w:r>
            <w:r w:rsidR="00CE6B87" w:rsidRPr="00765C97">
              <w:rPr>
                <w:rFonts w:ascii="Arial" w:hAnsi="Arial" w:cs="Arial"/>
                <w:sz w:val="18"/>
                <w:szCs w:val="18"/>
              </w:rPr>
              <w:t>1</w:t>
            </w:r>
          </w:p>
        </w:tc>
        <w:tc>
          <w:tcPr>
            <w:tcW w:w="913" w:type="dxa"/>
            <w:vAlign w:val="center"/>
          </w:tcPr>
          <w:p w:rsidR="00293B89" w:rsidRPr="00765C97" w:rsidRDefault="00293B89" w:rsidP="00293B89">
            <w:pPr>
              <w:ind w:right="-70"/>
              <w:jc w:val="center"/>
              <w:rPr>
                <w:rFonts w:ascii="Arial" w:hAnsi="Arial" w:cs="Arial"/>
                <w:sz w:val="18"/>
                <w:szCs w:val="18"/>
              </w:rPr>
            </w:pPr>
            <w:r w:rsidRPr="00765C97">
              <w:rPr>
                <w:rFonts w:ascii="Arial" w:hAnsi="Arial" w:cs="Arial"/>
                <w:sz w:val="18"/>
                <w:szCs w:val="18"/>
              </w:rPr>
              <w:t>122 791</w:t>
            </w:r>
          </w:p>
        </w:tc>
      </w:tr>
      <w:tr w:rsidR="00293B89" w:rsidRPr="00765C97" w:rsidTr="00293B89">
        <w:trPr>
          <w:trHeight w:val="255"/>
        </w:trPr>
        <w:tc>
          <w:tcPr>
            <w:tcW w:w="1260" w:type="dxa"/>
            <w:vAlign w:val="center"/>
          </w:tcPr>
          <w:p w:rsidR="00293B89" w:rsidRPr="00765C97" w:rsidRDefault="00293B89" w:rsidP="00B031D9">
            <w:pPr>
              <w:adjustRightInd w:val="0"/>
              <w:rPr>
                <w:rFonts w:ascii="Arial" w:hAnsi="Arial"/>
                <w:sz w:val="18"/>
                <w:szCs w:val="18"/>
                <w:lang w:val="pl-PL"/>
              </w:rPr>
            </w:pPr>
            <w:r w:rsidRPr="00765C97">
              <w:rPr>
                <w:rFonts w:ascii="Arial" w:hAnsi="Arial"/>
                <w:sz w:val="18"/>
                <w:szCs w:val="18"/>
                <w:lang w:val="pl-PL"/>
              </w:rPr>
              <w:t>Amortyzacja</w:t>
            </w:r>
          </w:p>
        </w:tc>
        <w:tc>
          <w:tcPr>
            <w:tcW w:w="1008" w:type="dxa"/>
            <w:vAlign w:val="center"/>
          </w:tcPr>
          <w:p w:rsidR="00293B89" w:rsidRPr="00765C97" w:rsidRDefault="00293B89" w:rsidP="00293B89">
            <w:pPr>
              <w:ind w:right="-70"/>
              <w:jc w:val="center"/>
              <w:rPr>
                <w:rFonts w:ascii="Arial" w:hAnsi="Arial" w:cs="Arial"/>
                <w:sz w:val="18"/>
                <w:szCs w:val="18"/>
              </w:rPr>
            </w:pPr>
            <w:r w:rsidRPr="00765C97">
              <w:rPr>
                <w:rFonts w:ascii="Arial" w:hAnsi="Arial" w:cs="Arial"/>
                <w:sz w:val="18"/>
                <w:szCs w:val="18"/>
              </w:rPr>
              <w:t>24 788</w:t>
            </w:r>
          </w:p>
        </w:tc>
        <w:tc>
          <w:tcPr>
            <w:tcW w:w="851" w:type="dxa"/>
            <w:vAlign w:val="center"/>
          </w:tcPr>
          <w:p w:rsidR="00293B89" w:rsidRPr="00765C97" w:rsidRDefault="00293B89" w:rsidP="00293B89">
            <w:pPr>
              <w:ind w:right="-70"/>
              <w:jc w:val="center"/>
              <w:rPr>
                <w:rFonts w:ascii="Arial" w:hAnsi="Arial" w:cs="Arial"/>
                <w:sz w:val="18"/>
                <w:szCs w:val="18"/>
              </w:rPr>
            </w:pPr>
            <w:r w:rsidRPr="00765C97">
              <w:rPr>
                <w:rFonts w:ascii="Arial" w:hAnsi="Arial" w:cs="Arial"/>
                <w:sz w:val="18"/>
                <w:szCs w:val="18"/>
              </w:rPr>
              <w:t>19 765</w:t>
            </w:r>
          </w:p>
        </w:tc>
        <w:tc>
          <w:tcPr>
            <w:tcW w:w="1150" w:type="dxa"/>
            <w:vAlign w:val="center"/>
          </w:tcPr>
          <w:p w:rsidR="00293B89" w:rsidRPr="00765C97" w:rsidRDefault="00293B89" w:rsidP="00293B89">
            <w:pPr>
              <w:ind w:right="-70"/>
              <w:jc w:val="center"/>
              <w:rPr>
                <w:rFonts w:ascii="Arial" w:hAnsi="Arial" w:cs="Arial"/>
                <w:sz w:val="18"/>
                <w:szCs w:val="18"/>
              </w:rPr>
            </w:pPr>
            <w:r w:rsidRPr="00765C97">
              <w:rPr>
                <w:rFonts w:ascii="Arial" w:hAnsi="Arial" w:cs="Arial"/>
                <w:sz w:val="18"/>
                <w:szCs w:val="18"/>
              </w:rPr>
              <w:t>923</w:t>
            </w:r>
          </w:p>
        </w:tc>
        <w:tc>
          <w:tcPr>
            <w:tcW w:w="1134" w:type="dxa"/>
            <w:vAlign w:val="center"/>
          </w:tcPr>
          <w:p w:rsidR="00293B89" w:rsidRPr="00765C97" w:rsidRDefault="00293B89" w:rsidP="00293B89">
            <w:pPr>
              <w:ind w:right="-70"/>
              <w:jc w:val="center"/>
              <w:rPr>
                <w:rFonts w:ascii="Arial" w:hAnsi="Arial" w:cs="Arial"/>
                <w:sz w:val="18"/>
                <w:szCs w:val="18"/>
              </w:rPr>
            </w:pPr>
            <w:r w:rsidRPr="00765C97">
              <w:rPr>
                <w:rFonts w:ascii="Arial" w:hAnsi="Arial" w:cs="Arial"/>
                <w:sz w:val="18"/>
                <w:szCs w:val="18"/>
              </w:rPr>
              <w:t>837</w:t>
            </w:r>
          </w:p>
        </w:tc>
        <w:tc>
          <w:tcPr>
            <w:tcW w:w="1134" w:type="dxa"/>
            <w:vAlign w:val="center"/>
          </w:tcPr>
          <w:p w:rsidR="00293B89" w:rsidRPr="00765C97" w:rsidRDefault="00293B89" w:rsidP="00CE6B87">
            <w:pPr>
              <w:ind w:right="-70"/>
              <w:jc w:val="center"/>
              <w:rPr>
                <w:rFonts w:ascii="Arial" w:hAnsi="Arial" w:cs="Arial"/>
                <w:sz w:val="18"/>
                <w:szCs w:val="18"/>
              </w:rPr>
            </w:pPr>
            <w:r w:rsidRPr="00765C97">
              <w:rPr>
                <w:rFonts w:ascii="Arial" w:hAnsi="Arial" w:cs="Arial"/>
                <w:sz w:val="18"/>
                <w:szCs w:val="18"/>
              </w:rPr>
              <w:t>2 61</w:t>
            </w:r>
            <w:r w:rsidR="00CE6B87" w:rsidRPr="00765C97">
              <w:rPr>
                <w:rFonts w:ascii="Arial" w:hAnsi="Arial" w:cs="Arial"/>
                <w:sz w:val="18"/>
                <w:szCs w:val="18"/>
              </w:rPr>
              <w:t>0</w:t>
            </w:r>
          </w:p>
        </w:tc>
        <w:tc>
          <w:tcPr>
            <w:tcW w:w="1033" w:type="dxa"/>
            <w:vAlign w:val="center"/>
          </w:tcPr>
          <w:p w:rsidR="00293B89" w:rsidRPr="00765C97" w:rsidRDefault="00293B89" w:rsidP="00293B89">
            <w:pPr>
              <w:ind w:right="-70"/>
              <w:jc w:val="center"/>
              <w:rPr>
                <w:rFonts w:ascii="Arial" w:hAnsi="Arial" w:cs="Arial"/>
                <w:sz w:val="18"/>
                <w:szCs w:val="18"/>
              </w:rPr>
            </w:pPr>
            <w:r w:rsidRPr="00765C97">
              <w:rPr>
                <w:rFonts w:ascii="Arial" w:hAnsi="Arial" w:cs="Arial"/>
                <w:sz w:val="18"/>
                <w:szCs w:val="18"/>
              </w:rPr>
              <w:t>4 403</w:t>
            </w:r>
          </w:p>
        </w:tc>
        <w:tc>
          <w:tcPr>
            <w:tcW w:w="913" w:type="dxa"/>
            <w:vAlign w:val="center"/>
          </w:tcPr>
          <w:p w:rsidR="00293B89" w:rsidRPr="00765C97" w:rsidRDefault="00293B89" w:rsidP="00293B89">
            <w:pPr>
              <w:ind w:right="-70"/>
              <w:jc w:val="center"/>
              <w:rPr>
                <w:rFonts w:ascii="Arial" w:hAnsi="Arial" w:cs="Arial"/>
                <w:sz w:val="18"/>
                <w:szCs w:val="18"/>
              </w:rPr>
            </w:pPr>
            <w:r w:rsidRPr="00765C97">
              <w:rPr>
                <w:rFonts w:ascii="Arial" w:hAnsi="Arial" w:cs="Arial"/>
                <w:sz w:val="18"/>
                <w:szCs w:val="18"/>
              </w:rPr>
              <w:t>53 326</w:t>
            </w:r>
          </w:p>
        </w:tc>
      </w:tr>
    </w:tbl>
    <w:p w:rsidR="00B24DA9" w:rsidRPr="00765C97" w:rsidRDefault="00B24DA9">
      <w:pPr>
        <w:adjustRightInd w:val="0"/>
        <w:ind w:left="180"/>
        <w:jc w:val="both"/>
        <w:rPr>
          <w:rFonts w:ascii="Arial" w:hAnsi="Arial"/>
          <w:sz w:val="20"/>
          <w:lang w:val="pl-PL"/>
        </w:rPr>
      </w:pPr>
    </w:p>
    <w:p w:rsidR="00706C22" w:rsidRPr="00765C97" w:rsidRDefault="00121641" w:rsidP="00706C22">
      <w:pPr>
        <w:jc w:val="both"/>
        <w:rPr>
          <w:b/>
          <w:bCs/>
          <w:color w:val="FF0000"/>
          <w:sz w:val="16"/>
          <w:szCs w:val="16"/>
          <w:lang w:val="pl-PL" w:eastAsia="pl-PL"/>
        </w:rPr>
      </w:pPr>
      <w:r w:rsidRPr="00765C97">
        <w:rPr>
          <w:rFonts w:ascii="Arial" w:hAnsi="Arial"/>
          <w:sz w:val="20"/>
          <w:lang w:val="pl-PL"/>
        </w:rPr>
        <w:t>Ze względu na geograficzny podział działalności Grupa Comarch wyróżnia następujące segmenty rynku: Polska, Rejon DACH (Niemcy, Austria, Szwajcaria), Europa – pozostałe kraje, Ameryka, Pozostałe kraje. Segment Sport, Segment Inwestycje i Segment Medycyna prowadzą działalność wyłącznie na terenie Polski. Ze względu na to, że jedynie Segment IT prowadzi działalność poza krajem i jednocześnie ponoszone w Segmencie IT koszty w znacznej mierze są wspólne dla sprzedaży eksportowej oraz krajowej nie jest celowe ustalanie wyniku odrębnie dla działalności eksportowej i krajowej.</w:t>
      </w:r>
    </w:p>
    <w:p w:rsidR="00B24DA9" w:rsidRPr="00765C97" w:rsidRDefault="00B24DA9">
      <w:pPr>
        <w:adjustRightInd w:val="0"/>
        <w:ind w:left="180"/>
        <w:jc w:val="both"/>
        <w:rPr>
          <w:rFonts w:ascii="Arial" w:hAnsi="Arial"/>
          <w:sz w:val="20"/>
          <w:lang w:val="pl-PL"/>
        </w:rPr>
      </w:pPr>
    </w:p>
    <w:p w:rsidR="00B24DA9" w:rsidRPr="00765C97" w:rsidRDefault="00B24DA9">
      <w:pPr>
        <w:adjustRightInd w:val="0"/>
        <w:ind w:left="180"/>
        <w:jc w:val="both"/>
        <w:rPr>
          <w:rFonts w:ascii="Arial" w:hAnsi="Arial"/>
          <w:b/>
          <w:sz w:val="20"/>
          <w:lang w:val="pl-PL"/>
        </w:rPr>
      </w:pPr>
      <w:r w:rsidRPr="00765C97">
        <w:rPr>
          <w:rFonts w:ascii="Arial" w:hAnsi="Arial"/>
          <w:b/>
          <w:sz w:val="20"/>
          <w:lang w:val="pl-PL"/>
        </w:rPr>
        <w:t>Przychody ze sprzedaży – według lokalizacji rynków</w:t>
      </w:r>
    </w:p>
    <w:p w:rsidR="00043391" w:rsidRPr="00765C97" w:rsidRDefault="00043391">
      <w:pPr>
        <w:adjustRightInd w:val="0"/>
        <w:ind w:left="180"/>
        <w:jc w:val="both"/>
        <w:rPr>
          <w:rFonts w:ascii="Arial" w:hAnsi="Arial"/>
          <w:b/>
          <w:sz w:val="20"/>
          <w:lang w:val="pl-PL"/>
        </w:rPr>
      </w:pPr>
    </w:p>
    <w:tbl>
      <w:tblPr>
        <w:tblW w:w="8183" w:type="dxa"/>
        <w:tblInd w:w="250" w:type="dxa"/>
        <w:tblLayout w:type="fixed"/>
        <w:tblCellMar>
          <w:left w:w="70" w:type="dxa"/>
          <w:right w:w="70" w:type="dxa"/>
        </w:tblCellMar>
        <w:tblLook w:val="01E0"/>
      </w:tblPr>
      <w:tblGrid>
        <w:gridCol w:w="2230"/>
        <w:gridCol w:w="1984"/>
        <w:gridCol w:w="850"/>
        <w:gridCol w:w="2126"/>
        <w:gridCol w:w="993"/>
      </w:tblGrid>
      <w:tr w:rsidR="00B031D9" w:rsidRPr="00765C97">
        <w:trPr>
          <w:trHeight w:val="255"/>
        </w:trPr>
        <w:tc>
          <w:tcPr>
            <w:tcW w:w="2230" w:type="dxa"/>
          </w:tcPr>
          <w:p w:rsidR="00B031D9" w:rsidRPr="00765C97" w:rsidRDefault="00B031D9">
            <w:pPr>
              <w:adjustRightInd w:val="0"/>
              <w:rPr>
                <w:rFonts w:ascii="Arial" w:hAnsi="Arial"/>
                <w:b/>
                <w:sz w:val="20"/>
                <w:lang w:val="pl-PL"/>
              </w:rPr>
            </w:pPr>
          </w:p>
        </w:tc>
        <w:tc>
          <w:tcPr>
            <w:tcW w:w="1984" w:type="dxa"/>
            <w:vAlign w:val="center"/>
          </w:tcPr>
          <w:p w:rsidR="00B031D9" w:rsidRPr="00765C97" w:rsidRDefault="00B031D9" w:rsidP="00DB120C">
            <w:pPr>
              <w:adjustRightInd w:val="0"/>
              <w:ind w:right="71"/>
              <w:jc w:val="right"/>
              <w:rPr>
                <w:rFonts w:ascii="Arial" w:hAnsi="Arial"/>
                <w:b/>
                <w:sz w:val="20"/>
                <w:lang w:val="pl-PL"/>
              </w:rPr>
            </w:pPr>
            <w:r w:rsidRPr="00765C97">
              <w:rPr>
                <w:rFonts w:ascii="Arial" w:hAnsi="Arial"/>
                <w:b/>
                <w:sz w:val="20"/>
                <w:lang w:val="pl-PL"/>
              </w:rPr>
              <w:t>12 miesięcy 201</w:t>
            </w:r>
            <w:r w:rsidR="00DB120C" w:rsidRPr="00765C97">
              <w:rPr>
                <w:rFonts w:ascii="Arial" w:hAnsi="Arial"/>
                <w:b/>
                <w:sz w:val="20"/>
                <w:lang w:val="pl-PL"/>
              </w:rPr>
              <w:t>2</w:t>
            </w:r>
          </w:p>
        </w:tc>
        <w:tc>
          <w:tcPr>
            <w:tcW w:w="850" w:type="dxa"/>
            <w:vAlign w:val="center"/>
          </w:tcPr>
          <w:p w:rsidR="00B031D9" w:rsidRPr="00765C97" w:rsidRDefault="00B031D9" w:rsidP="0029330F">
            <w:pPr>
              <w:adjustRightInd w:val="0"/>
              <w:ind w:right="71"/>
              <w:jc w:val="right"/>
              <w:rPr>
                <w:rFonts w:ascii="Arial" w:hAnsi="Arial"/>
                <w:b/>
                <w:sz w:val="20"/>
                <w:lang w:val="pl-PL"/>
              </w:rPr>
            </w:pPr>
            <w:r w:rsidRPr="00765C97">
              <w:rPr>
                <w:rFonts w:ascii="Arial" w:hAnsi="Arial"/>
                <w:b/>
                <w:sz w:val="20"/>
                <w:lang w:val="pl-PL"/>
              </w:rPr>
              <w:t>%</w:t>
            </w:r>
          </w:p>
        </w:tc>
        <w:tc>
          <w:tcPr>
            <w:tcW w:w="2126" w:type="dxa"/>
            <w:vAlign w:val="center"/>
          </w:tcPr>
          <w:p w:rsidR="00B031D9" w:rsidRPr="00765C97" w:rsidRDefault="00DB120C" w:rsidP="00B031D9">
            <w:pPr>
              <w:adjustRightInd w:val="0"/>
              <w:ind w:right="71"/>
              <w:jc w:val="right"/>
              <w:rPr>
                <w:rFonts w:ascii="Arial" w:hAnsi="Arial"/>
                <w:b/>
                <w:sz w:val="20"/>
                <w:lang w:val="pl-PL"/>
              </w:rPr>
            </w:pPr>
            <w:r w:rsidRPr="00765C97">
              <w:rPr>
                <w:rFonts w:ascii="Arial" w:hAnsi="Arial"/>
                <w:b/>
                <w:sz w:val="20"/>
                <w:lang w:val="pl-PL"/>
              </w:rPr>
              <w:t>12 miesięcy 2011</w:t>
            </w:r>
          </w:p>
        </w:tc>
        <w:tc>
          <w:tcPr>
            <w:tcW w:w="993" w:type="dxa"/>
            <w:vAlign w:val="center"/>
          </w:tcPr>
          <w:p w:rsidR="00B031D9" w:rsidRPr="00765C97" w:rsidRDefault="00B031D9" w:rsidP="00B031D9">
            <w:pPr>
              <w:adjustRightInd w:val="0"/>
              <w:ind w:right="71"/>
              <w:jc w:val="right"/>
              <w:rPr>
                <w:rFonts w:ascii="Arial" w:hAnsi="Arial"/>
                <w:b/>
                <w:sz w:val="20"/>
                <w:lang w:val="pl-PL"/>
              </w:rPr>
            </w:pPr>
            <w:r w:rsidRPr="00765C97">
              <w:rPr>
                <w:rFonts w:ascii="Arial" w:hAnsi="Arial"/>
                <w:b/>
                <w:sz w:val="20"/>
                <w:lang w:val="pl-PL"/>
              </w:rPr>
              <w:t>%</w:t>
            </w:r>
          </w:p>
        </w:tc>
      </w:tr>
      <w:tr w:rsidR="00B031D9" w:rsidRPr="00765C97">
        <w:trPr>
          <w:trHeight w:val="255"/>
        </w:trPr>
        <w:tc>
          <w:tcPr>
            <w:tcW w:w="2230" w:type="dxa"/>
            <w:vAlign w:val="center"/>
          </w:tcPr>
          <w:p w:rsidR="00B031D9" w:rsidRPr="00765C97" w:rsidRDefault="00B031D9">
            <w:pPr>
              <w:adjustRightInd w:val="0"/>
              <w:rPr>
                <w:rFonts w:ascii="Arial" w:hAnsi="Arial"/>
                <w:sz w:val="20"/>
                <w:lang w:val="pl-PL"/>
              </w:rPr>
            </w:pPr>
          </w:p>
        </w:tc>
        <w:tc>
          <w:tcPr>
            <w:tcW w:w="1984" w:type="dxa"/>
            <w:vAlign w:val="center"/>
          </w:tcPr>
          <w:p w:rsidR="00B031D9" w:rsidRPr="00765C97" w:rsidRDefault="00B031D9" w:rsidP="0029330F">
            <w:pPr>
              <w:adjustRightInd w:val="0"/>
              <w:ind w:right="71"/>
              <w:jc w:val="right"/>
              <w:rPr>
                <w:rFonts w:ascii="Arial" w:hAnsi="Arial"/>
                <w:sz w:val="20"/>
                <w:lang w:val="pl-PL"/>
              </w:rPr>
            </w:pPr>
          </w:p>
        </w:tc>
        <w:tc>
          <w:tcPr>
            <w:tcW w:w="850" w:type="dxa"/>
            <w:vAlign w:val="center"/>
          </w:tcPr>
          <w:p w:rsidR="00B031D9" w:rsidRPr="00765C97" w:rsidRDefault="00B031D9" w:rsidP="0029330F">
            <w:pPr>
              <w:ind w:right="71"/>
              <w:jc w:val="right"/>
              <w:rPr>
                <w:rFonts w:ascii="Arial" w:hAnsi="Arial" w:cs="Arial"/>
                <w:sz w:val="20"/>
                <w:szCs w:val="20"/>
              </w:rPr>
            </w:pPr>
          </w:p>
        </w:tc>
        <w:tc>
          <w:tcPr>
            <w:tcW w:w="2126" w:type="dxa"/>
            <w:vAlign w:val="center"/>
          </w:tcPr>
          <w:p w:rsidR="00B031D9" w:rsidRPr="00765C97" w:rsidRDefault="00B031D9" w:rsidP="00B031D9">
            <w:pPr>
              <w:adjustRightInd w:val="0"/>
              <w:ind w:right="71"/>
              <w:jc w:val="right"/>
              <w:rPr>
                <w:rFonts w:ascii="Arial" w:hAnsi="Arial"/>
                <w:sz w:val="20"/>
                <w:lang w:val="pl-PL"/>
              </w:rPr>
            </w:pPr>
          </w:p>
        </w:tc>
        <w:tc>
          <w:tcPr>
            <w:tcW w:w="993" w:type="dxa"/>
            <w:vAlign w:val="center"/>
          </w:tcPr>
          <w:p w:rsidR="00B031D9" w:rsidRPr="00765C97" w:rsidRDefault="00B031D9" w:rsidP="00B031D9">
            <w:pPr>
              <w:ind w:right="71"/>
              <w:jc w:val="right"/>
              <w:rPr>
                <w:rFonts w:ascii="Arial" w:hAnsi="Arial" w:cs="Arial"/>
                <w:sz w:val="20"/>
                <w:szCs w:val="20"/>
              </w:rPr>
            </w:pPr>
          </w:p>
        </w:tc>
      </w:tr>
      <w:tr w:rsidR="00CE6B87" w:rsidRPr="00765C97">
        <w:trPr>
          <w:trHeight w:val="255"/>
        </w:trPr>
        <w:tc>
          <w:tcPr>
            <w:tcW w:w="2230" w:type="dxa"/>
            <w:vAlign w:val="center"/>
          </w:tcPr>
          <w:p w:rsidR="00CE6B87" w:rsidRPr="00765C97" w:rsidRDefault="00CE6B87" w:rsidP="00D21DD5">
            <w:pPr>
              <w:rPr>
                <w:rFonts w:ascii="Arial" w:hAnsi="Arial"/>
                <w:sz w:val="20"/>
                <w:lang w:val="pl-PL"/>
              </w:rPr>
            </w:pPr>
            <w:r w:rsidRPr="00765C97">
              <w:rPr>
                <w:rFonts w:ascii="Arial" w:hAnsi="Arial"/>
                <w:sz w:val="20"/>
                <w:lang w:val="pl-PL"/>
              </w:rPr>
              <w:t>Kraj /Polska/</w:t>
            </w:r>
          </w:p>
        </w:tc>
        <w:tc>
          <w:tcPr>
            <w:tcW w:w="1984" w:type="dxa"/>
            <w:vAlign w:val="center"/>
          </w:tcPr>
          <w:p w:rsidR="00CE6B87" w:rsidRPr="00765C97" w:rsidRDefault="00CE6B87">
            <w:pPr>
              <w:jc w:val="right"/>
              <w:rPr>
                <w:rFonts w:ascii="Arial" w:hAnsi="Arial" w:cs="Arial"/>
                <w:sz w:val="20"/>
                <w:szCs w:val="20"/>
              </w:rPr>
            </w:pPr>
            <w:r w:rsidRPr="00765C97">
              <w:rPr>
                <w:rFonts w:ascii="Arial" w:hAnsi="Arial" w:cs="Arial"/>
                <w:sz w:val="20"/>
                <w:szCs w:val="20"/>
              </w:rPr>
              <w:t>587 801</w:t>
            </w:r>
          </w:p>
        </w:tc>
        <w:tc>
          <w:tcPr>
            <w:tcW w:w="850" w:type="dxa"/>
            <w:vAlign w:val="center"/>
          </w:tcPr>
          <w:p w:rsidR="00CE6B87" w:rsidRPr="00765C97" w:rsidRDefault="00CE6B87">
            <w:pPr>
              <w:jc w:val="right"/>
              <w:rPr>
                <w:rFonts w:ascii="Arial" w:hAnsi="Arial" w:cs="Arial"/>
                <w:sz w:val="20"/>
                <w:szCs w:val="20"/>
              </w:rPr>
            </w:pPr>
            <w:r w:rsidRPr="00765C97">
              <w:rPr>
                <w:rFonts w:ascii="Arial" w:hAnsi="Arial" w:cs="Arial"/>
                <w:sz w:val="20"/>
                <w:szCs w:val="20"/>
              </w:rPr>
              <w:t>66,5%</w:t>
            </w:r>
          </w:p>
        </w:tc>
        <w:tc>
          <w:tcPr>
            <w:tcW w:w="2126" w:type="dxa"/>
            <w:vAlign w:val="center"/>
          </w:tcPr>
          <w:p w:rsidR="00CE6B87" w:rsidRPr="00765C97" w:rsidRDefault="00CE6B87" w:rsidP="00DB120C">
            <w:pPr>
              <w:jc w:val="right"/>
              <w:rPr>
                <w:rFonts w:ascii="Arial" w:hAnsi="Arial" w:cs="Arial"/>
                <w:sz w:val="20"/>
                <w:szCs w:val="20"/>
              </w:rPr>
            </w:pPr>
            <w:r w:rsidRPr="00765C97">
              <w:rPr>
                <w:rFonts w:ascii="Arial" w:hAnsi="Arial" w:cs="Arial"/>
                <w:sz w:val="20"/>
                <w:szCs w:val="20"/>
              </w:rPr>
              <w:t>499 911</w:t>
            </w:r>
          </w:p>
        </w:tc>
        <w:tc>
          <w:tcPr>
            <w:tcW w:w="993" w:type="dxa"/>
            <w:vAlign w:val="center"/>
          </w:tcPr>
          <w:p w:rsidR="00CE6B87" w:rsidRPr="00765C97" w:rsidRDefault="00CE6B87" w:rsidP="00DB120C">
            <w:pPr>
              <w:jc w:val="right"/>
              <w:rPr>
                <w:rFonts w:ascii="Arial" w:hAnsi="Arial" w:cs="Arial"/>
                <w:sz w:val="20"/>
                <w:szCs w:val="20"/>
              </w:rPr>
            </w:pPr>
            <w:r w:rsidRPr="00765C97">
              <w:rPr>
                <w:rFonts w:ascii="Arial" w:hAnsi="Arial" w:cs="Arial"/>
                <w:sz w:val="20"/>
                <w:szCs w:val="20"/>
              </w:rPr>
              <w:t>63,6%</w:t>
            </w:r>
          </w:p>
        </w:tc>
      </w:tr>
      <w:tr w:rsidR="00CE6B87" w:rsidRPr="00765C97">
        <w:trPr>
          <w:trHeight w:val="255"/>
        </w:trPr>
        <w:tc>
          <w:tcPr>
            <w:tcW w:w="2230" w:type="dxa"/>
            <w:vAlign w:val="center"/>
          </w:tcPr>
          <w:p w:rsidR="00CE6B87" w:rsidRPr="00765C97" w:rsidRDefault="00CE6B87" w:rsidP="00D21DD5">
            <w:pPr>
              <w:rPr>
                <w:rFonts w:ascii="Arial" w:hAnsi="Arial"/>
                <w:sz w:val="20"/>
                <w:lang w:val="pl-PL"/>
              </w:rPr>
            </w:pPr>
            <w:r w:rsidRPr="00765C97">
              <w:rPr>
                <w:rFonts w:ascii="Arial" w:hAnsi="Arial"/>
                <w:sz w:val="20"/>
                <w:lang w:val="pl-PL"/>
              </w:rPr>
              <w:t>Rejon DACH</w:t>
            </w:r>
          </w:p>
        </w:tc>
        <w:tc>
          <w:tcPr>
            <w:tcW w:w="1984" w:type="dxa"/>
            <w:vAlign w:val="center"/>
          </w:tcPr>
          <w:p w:rsidR="00CE6B87" w:rsidRPr="00765C97" w:rsidRDefault="00CE6B87">
            <w:pPr>
              <w:jc w:val="right"/>
              <w:rPr>
                <w:rFonts w:ascii="Arial" w:hAnsi="Arial" w:cs="Arial"/>
                <w:sz w:val="20"/>
                <w:szCs w:val="20"/>
              </w:rPr>
            </w:pPr>
            <w:r w:rsidRPr="00765C97">
              <w:rPr>
                <w:rFonts w:ascii="Arial" w:hAnsi="Arial" w:cs="Arial"/>
                <w:sz w:val="20"/>
                <w:szCs w:val="20"/>
              </w:rPr>
              <w:t>221 010</w:t>
            </w:r>
          </w:p>
        </w:tc>
        <w:tc>
          <w:tcPr>
            <w:tcW w:w="850" w:type="dxa"/>
            <w:vAlign w:val="center"/>
          </w:tcPr>
          <w:p w:rsidR="00CE6B87" w:rsidRPr="00765C97" w:rsidRDefault="00CE6B87">
            <w:pPr>
              <w:jc w:val="right"/>
              <w:rPr>
                <w:rFonts w:ascii="Arial" w:hAnsi="Arial" w:cs="Arial"/>
                <w:sz w:val="20"/>
                <w:szCs w:val="20"/>
              </w:rPr>
            </w:pPr>
            <w:r w:rsidRPr="00765C97">
              <w:rPr>
                <w:rFonts w:ascii="Arial" w:hAnsi="Arial" w:cs="Arial"/>
                <w:sz w:val="20"/>
                <w:szCs w:val="20"/>
              </w:rPr>
              <w:t>25,0%</w:t>
            </w:r>
          </w:p>
        </w:tc>
        <w:tc>
          <w:tcPr>
            <w:tcW w:w="2126" w:type="dxa"/>
            <w:vAlign w:val="center"/>
          </w:tcPr>
          <w:p w:rsidR="00CE6B87" w:rsidRPr="00765C97" w:rsidRDefault="00CE6B87" w:rsidP="00DB120C">
            <w:pPr>
              <w:jc w:val="right"/>
              <w:rPr>
                <w:rFonts w:ascii="Arial" w:hAnsi="Arial" w:cs="Arial"/>
                <w:sz w:val="20"/>
                <w:szCs w:val="20"/>
              </w:rPr>
            </w:pPr>
            <w:r w:rsidRPr="00765C97">
              <w:rPr>
                <w:rFonts w:ascii="Arial" w:hAnsi="Arial" w:cs="Arial"/>
                <w:sz w:val="20"/>
                <w:szCs w:val="20"/>
              </w:rPr>
              <w:t>213 630</w:t>
            </w:r>
          </w:p>
        </w:tc>
        <w:tc>
          <w:tcPr>
            <w:tcW w:w="993" w:type="dxa"/>
            <w:vAlign w:val="center"/>
          </w:tcPr>
          <w:p w:rsidR="00CE6B87" w:rsidRPr="00765C97" w:rsidRDefault="00CE6B87" w:rsidP="00DB120C">
            <w:pPr>
              <w:jc w:val="right"/>
              <w:rPr>
                <w:rFonts w:ascii="Arial" w:hAnsi="Arial" w:cs="Arial"/>
                <w:sz w:val="20"/>
                <w:szCs w:val="20"/>
              </w:rPr>
            </w:pPr>
            <w:r w:rsidRPr="00765C97">
              <w:rPr>
                <w:rFonts w:ascii="Arial" w:hAnsi="Arial" w:cs="Arial"/>
                <w:sz w:val="20"/>
                <w:szCs w:val="20"/>
              </w:rPr>
              <w:t>27,2%</w:t>
            </w:r>
          </w:p>
        </w:tc>
      </w:tr>
      <w:tr w:rsidR="00CE6B87" w:rsidRPr="00765C97">
        <w:trPr>
          <w:trHeight w:val="255"/>
        </w:trPr>
        <w:tc>
          <w:tcPr>
            <w:tcW w:w="2230" w:type="dxa"/>
            <w:vAlign w:val="center"/>
          </w:tcPr>
          <w:p w:rsidR="00CE6B87" w:rsidRPr="00765C97" w:rsidRDefault="00CE6B87" w:rsidP="00D21DD5">
            <w:pPr>
              <w:rPr>
                <w:rFonts w:ascii="Arial" w:hAnsi="Arial"/>
                <w:sz w:val="20"/>
                <w:lang w:val="pl-PL"/>
              </w:rPr>
            </w:pPr>
            <w:r w:rsidRPr="00765C97">
              <w:rPr>
                <w:rFonts w:ascii="Arial" w:hAnsi="Arial"/>
                <w:sz w:val="20"/>
                <w:lang w:val="pl-PL"/>
              </w:rPr>
              <w:t>Europa - pozostałe</w:t>
            </w:r>
          </w:p>
        </w:tc>
        <w:tc>
          <w:tcPr>
            <w:tcW w:w="1984" w:type="dxa"/>
            <w:vAlign w:val="center"/>
          </w:tcPr>
          <w:p w:rsidR="00CE6B87" w:rsidRPr="00765C97" w:rsidRDefault="00CE6B87">
            <w:pPr>
              <w:jc w:val="right"/>
              <w:rPr>
                <w:rFonts w:ascii="Arial" w:hAnsi="Arial" w:cs="Arial"/>
                <w:sz w:val="20"/>
                <w:szCs w:val="20"/>
              </w:rPr>
            </w:pPr>
            <w:r w:rsidRPr="00765C97">
              <w:rPr>
                <w:rFonts w:ascii="Arial" w:hAnsi="Arial" w:cs="Arial"/>
                <w:sz w:val="20"/>
                <w:szCs w:val="20"/>
              </w:rPr>
              <w:t>42 613</w:t>
            </w:r>
          </w:p>
        </w:tc>
        <w:tc>
          <w:tcPr>
            <w:tcW w:w="850" w:type="dxa"/>
            <w:vAlign w:val="center"/>
          </w:tcPr>
          <w:p w:rsidR="00CE6B87" w:rsidRPr="00765C97" w:rsidRDefault="00CE6B87">
            <w:pPr>
              <w:jc w:val="right"/>
              <w:rPr>
                <w:rFonts w:ascii="Arial" w:hAnsi="Arial" w:cs="Arial"/>
                <w:sz w:val="20"/>
                <w:szCs w:val="20"/>
              </w:rPr>
            </w:pPr>
            <w:r w:rsidRPr="00765C97">
              <w:rPr>
                <w:rFonts w:ascii="Arial" w:hAnsi="Arial" w:cs="Arial"/>
                <w:sz w:val="20"/>
                <w:szCs w:val="20"/>
              </w:rPr>
              <w:t>4,8%</w:t>
            </w:r>
          </w:p>
        </w:tc>
        <w:tc>
          <w:tcPr>
            <w:tcW w:w="2126" w:type="dxa"/>
            <w:vAlign w:val="center"/>
          </w:tcPr>
          <w:p w:rsidR="00CE6B87" w:rsidRPr="00765C97" w:rsidRDefault="00CE6B87" w:rsidP="00DB120C">
            <w:pPr>
              <w:jc w:val="right"/>
              <w:rPr>
                <w:rFonts w:ascii="Arial" w:hAnsi="Arial" w:cs="Arial"/>
                <w:sz w:val="20"/>
                <w:szCs w:val="20"/>
              </w:rPr>
            </w:pPr>
            <w:r w:rsidRPr="00765C97">
              <w:rPr>
                <w:rFonts w:ascii="Arial" w:hAnsi="Arial" w:cs="Arial"/>
                <w:sz w:val="20"/>
                <w:szCs w:val="20"/>
              </w:rPr>
              <w:t>43 087</w:t>
            </w:r>
          </w:p>
        </w:tc>
        <w:tc>
          <w:tcPr>
            <w:tcW w:w="993" w:type="dxa"/>
            <w:vAlign w:val="center"/>
          </w:tcPr>
          <w:p w:rsidR="00CE6B87" w:rsidRPr="00765C97" w:rsidRDefault="00CE6B87" w:rsidP="00DB120C">
            <w:pPr>
              <w:jc w:val="right"/>
              <w:rPr>
                <w:rFonts w:ascii="Arial" w:hAnsi="Arial" w:cs="Arial"/>
                <w:sz w:val="20"/>
                <w:szCs w:val="20"/>
              </w:rPr>
            </w:pPr>
            <w:r w:rsidRPr="00765C97">
              <w:rPr>
                <w:rFonts w:ascii="Arial" w:hAnsi="Arial" w:cs="Arial"/>
                <w:sz w:val="20"/>
                <w:szCs w:val="20"/>
              </w:rPr>
              <w:t>5,5%</w:t>
            </w:r>
          </w:p>
        </w:tc>
      </w:tr>
      <w:tr w:rsidR="00CE6B87" w:rsidRPr="00765C97">
        <w:trPr>
          <w:trHeight w:val="255"/>
        </w:trPr>
        <w:tc>
          <w:tcPr>
            <w:tcW w:w="2230" w:type="dxa"/>
            <w:vAlign w:val="center"/>
          </w:tcPr>
          <w:p w:rsidR="00CE6B87" w:rsidRPr="00765C97" w:rsidRDefault="00CE6B87" w:rsidP="00D21DD5">
            <w:pPr>
              <w:rPr>
                <w:rFonts w:ascii="Arial" w:hAnsi="Arial"/>
                <w:sz w:val="20"/>
                <w:lang w:val="pl-PL"/>
              </w:rPr>
            </w:pPr>
            <w:r w:rsidRPr="00765C97">
              <w:rPr>
                <w:rFonts w:ascii="Arial" w:hAnsi="Arial"/>
                <w:sz w:val="20"/>
                <w:lang w:val="pl-PL"/>
              </w:rPr>
              <w:t>Ameryka</w:t>
            </w:r>
          </w:p>
        </w:tc>
        <w:tc>
          <w:tcPr>
            <w:tcW w:w="1984" w:type="dxa"/>
            <w:vAlign w:val="center"/>
          </w:tcPr>
          <w:p w:rsidR="00CE6B87" w:rsidRPr="00765C97" w:rsidRDefault="00CE6B87">
            <w:pPr>
              <w:jc w:val="right"/>
              <w:rPr>
                <w:rFonts w:ascii="Arial" w:hAnsi="Arial" w:cs="Arial"/>
                <w:sz w:val="20"/>
                <w:szCs w:val="20"/>
              </w:rPr>
            </w:pPr>
            <w:r w:rsidRPr="00765C97">
              <w:rPr>
                <w:rFonts w:ascii="Arial" w:hAnsi="Arial" w:cs="Arial"/>
                <w:sz w:val="20"/>
                <w:szCs w:val="20"/>
              </w:rPr>
              <w:t>29 636</w:t>
            </w:r>
          </w:p>
        </w:tc>
        <w:tc>
          <w:tcPr>
            <w:tcW w:w="850" w:type="dxa"/>
            <w:vAlign w:val="center"/>
          </w:tcPr>
          <w:p w:rsidR="00CE6B87" w:rsidRPr="00765C97" w:rsidRDefault="00CE6B87">
            <w:pPr>
              <w:jc w:val="right"/>
              <w:rPr>
                <w:rFonts w:ascii="Arial" w:hAnsi="Arial" w:cs="Arial"/>
                <w:sz w:val="20"/>
                <w:szCs w:val="20"/>
              </w:rPr>
            </w:pPr>
            <w:r w:rsidRPr="00765C97">
              <w:rPr>
                <w:rFonts w:ascii="Arial" w:hAnsi="Arial" w:cs="Arial"/>
                <w:sz w:val="20"/>
                <w:szCs w:val="20"/>
              </w:rPr>
              <w:t>3,4%</w:t>
            </w:r>
          </w:p>
        </w:tc>
        <w:tc>
          <w:tcPr>
            <w:tcW w:w="2126" w:type="dxa"/>
            <w:vAlign w:val="center"/>
          </w:tcPr>
          <w:p w:rsidR="00CE6B87" w:rsidRPr="00765C97" w:rsidRDefault="00CE6B87" w:rsidP="00DB120C">
            <w:pPr>
              <w:jc w:val="right"/>
              <w:rPr>
                <w:rFonts w:ascii="Arial" w:hAnsi="Arial" w:cs="Arial"/>
                <w:sz w:val="20"/>
                <w:szCs w:val="20"/>
              </w:rPr>
            </w:pPr>
            <w:r w:rsidRPr="00765C97">
              <w:rPr>
                <w:rFonts w:ascii="Arial" w:hAnsi="Arial" w:cs="Arial"/>
                <w:sz w:val="20"/>
                <w:szCs w:val="20"/>
              </w:rPr>
              <w:t>25 659</w:t>
            </w:r>
          </w:p>
        </w:tc>
        <w:tc>
          <w:tcPr>
            <w:tcW w:w="993" w:type="dxa"/>
            <w:vAlign w:val="center"/>
          </w:tcPr>
          <w:p w:rsidR="00CE6B87" w:rsidRPr="00765C97" w:rsidRDefault="00CE6B87" w:rsidP="00DB120C">
            <w:pPr>
              <w:jc w:val="right"/>
              <w:rPr>
                <w:rFonts w:ascii="Arial" w:hAnsi="Arial" w:cs="Arial"/>
                <w:sz w:val="20"/>
                <w:szCs w:val="20"/>
              </w:rPr>
            </w:pPr>
            <w:r w:rsidRPr="00765C97">
              <w:rPr>
                <w:rFonts w:ascii="Arial" w:hAnsi="Arial" w:cs="Arial"/>
                <w:sz w:val="20"/>
                <w:szCs w:val="20"/>
              </w:rPr>
              <w:t>3,3%</w:t>
            </w:r>
          </w:p>
        </w:tc>
      </w:tr>
      <w:tr w:rsidR="00CE6B87" w:rsidRPr="00765C97">
        <w:trPr>
          <w:trHeight w:val="255"/>
        </w:trPr>
        <w:tc>
          <w:tcPr>
            <w:tcW w:w="2230" w:type="dxa"/>
            <w:vAlign w:val="center"/>
          </w:tcPr>
          <w:p w:rsidR="00CE6B87" w:rsidRPr="00765C97" w:rsidRDefault="00CE6B87" w:rsidP="00D21DD5">
            <w:pPr>
              <w:rPr>
                <w:rFonts w:ascii="Arial" w:hAnsi="Arial"/>
                <w:sz w:val="20"/>
                <w:lang w:val="pl-PL"/>
              </w:rPr>
            </w:pPr>
            <w:r w:rsidRPr="00765C97">
              <w:rPr>
                <w:rFonts w:ascii="Arial" w:hAnsi="Arial"/>
                <w:sz w:val="20"/>
                <w:lang w:val="pl-PL"/>
              </w:rPr>
              <w:t>Pozostałe kraje</w:t>
            </w:r>
          </w:p>
        </w:tc>
        <w:tc>
          <w:tcPr>
            <w:tcW w:w="1984" w:type="dxa"/>
            <w:tcBorders>
              <w:bottom w:val="single" w:sz="4" w:space="0" w:color="auto"/>
            </w:tcBorders>
            <w:vAlign w:val="center"/>
          </w:tcPr>
          <w:p w:rsidR="00CE6B87" w:rsidRPr="00765C97" w:rsidRDefault="00CE6B87">
            <w:pPr>
              <w:jc w:val="right"/>
              <w:rPr>
                <w:rFonts w:ascii="Arial" w:hAnsi="Arial" w:cs="Arial"/>
                <w:sz w:val="20"/>
                <w:szCs w:val="20"/>
              </w:rPr>
            </w:pPr>
            <w:r w:rsidRPr="00765C97">
              <w:rPr>
                <w:rFonts w:ascii="Arial" w:hAnsi="Arial" w:cs="Arial"/>
                <w:sz w:val="20"/>
                <w:szCs w:val="20"/>
              </w:rPr>
              <w:t>2 816</w:t>
            </w:r>
          </w:p>
        </w:tc>
        <w:tc>
          <w:tcPr>
            <w:tcW w:w="850" w:type="dxa"/>
            <w:tcBorders>
              <w:bottom w:val="single" w:sz="4" w:space="0" w:color="auto"/>
            </w:tcBorders>
            <w:vAlign w:val="center"/>
          </w:tcPr>
          <w:p w:rsidR="00CE6B87" w:rsidRPr="00765C97" w:rsidRDefault="00CE6B87">
            <w:pPr>
              <w:jc w:val="right"/>
              <w:rPr>
                <w:rFonts w:ascii="Arial" w:hAnsi="Arial" w:cs="Arial"/>
                <w:sz w:val="20"/>
                <w:szCs w:val="20"/>
              </w:rPr>
            </w:pPr>
            <w:r w:rsidRPr="00765C97">
              <w:rPr>
                <w:rFonts w:ascii="Arial" w:hAnsi="Arial" w:cs="Arial"/>
                <w:sz w:val="20"/>
                <w:szCs w:val="20"/>
              </w:rPr>
              <w:t>0,3%</w:t>
            </w:r>
          </w:p>
        </w:tc>
        <w:tc>
          <w:tcPr>
            <w:tcW w:w="2126" w:type="dxa"/>
            <w:tcBorders>
              <w:bottom w:val="single" w:sz="4" w:space="0" w:color="auto"/>
            </w:tcBorders>
            <w:vAlign w:val="center"/>
          </w:tcPr>
          <w:p w:rsidR="00CE6B87" w:rsidRPr="00765C97" w:rsidRDefault="00CE6B87" w:rsidP="00DB120C">
            <w:pPr>
              <w:jc w:val="right"/>
              <w:rPr>
                <w:rFonts w:ascii="Arial" w:hAnsi="Arial" w:cs="Arial"/>
                <w:sz w:val="20"/>
                <w:szCs w:val="20"/>
              </w:rPr>
            </w:pPr>
            <w:r w:rsidRPr="00765C97">
              <w:rPr>
                <w:rFonts w:ascii="Arial" w:hAnsi="Arial" w:cs="Arial"/>
                <w:sz w:val="20"/>
                <w:szCs w:val="20"/>
              </w:rPr>
              <w:t>3 365</w:t>
            </w:r>
          </w:p>
        </w:tc>
        <w:tc>
          <w:tcPr>
            <w:tcW w:w="993" w:type="dxa"/>
            <w:tcBorders>
              <w:bottom w:val="single" w:sz="4" w:space="0" w:color="auto"/>
            </w:tcBorders>
            <w:vAlign w:val="center"/>
          </w:tcPr>
          <w:p w:rsidR="00CE6B87" w:rsidRPr="00765C97" w:rsidRDefault="00CE6B87" w:rsidP="00DB120C">
            <w:pPr>
              <w:jc w:val="right"/>
              <w:rPr>
                <w:rFonts w:ascii="Arial" w:hAnsi="Arial" w:cs="Arial"/>
                <w:sz w:val="20"/>
                <w:szCs w:val="20"/>
              </w:rPr>
            </w:pPr>
            <w:r w:rsidRPr="00765C97">
              <w:rPr>
                <w:rFonts w:ascii="Arial" w:hAnsi="Arial" w:cs="Arial"/>
                <w:sz w:val="20"/>
                <w:szCs w:val="20"/>
              </w:rPr>
              <w:t>0,4%</w:t>
            </w:r>
          </w:p>
        </w:tc>
      </w:tr>
      <w:tr w:rsidR="00CE6B87" w:rsidRPr="00765C97">
        <w:trPr>
          <w:trHeight w:val="255"/>
        </w:trPr>
        <w:tc>
          <w:tcPr>
            <w:tcW w:w="2230" w:type="dxa"/>
            <w:vAlign w:val="center"/>
          </w:tcPr>
          <w:p w:rsidR="00CE6B87" w:rsidRPr="00765C97" w:rsidRDefault="00CE6B87" w:rsidP="0029330F">
            <w:pPr>
              <w:rPr>
                <w:rFonts w:ascii="Arial" w:hAnsi="Arial"/>
                <w:b/>
                <w:sz w:val="20"/>
                <w:lang w:val="pl-PL"/>
              </w:rPr>
            </w:pPr>
            <w:r w:rsidRPr="00765C97">
              <w:rPr>
                <w:rFonts w:ascii="Arial" w:hAnsi="Arial"/>
                <w:b/>
                <w:sz w:val="20"/>
                <w:lang w:val="pl-PL"/>
              </w:rPr>
              <w:t>RAZEM</w:t>
            </w:r>
          </w:p>
        </w:tc>
        <w:tc>
          <w:tcPr>
            <w:tcW w:w="1984" w:type="dxa"/>
            <w:tcBorders>
              <w:top w:val="single" w:sz="4" w:space="0" w:color="auto"/>
            </w:tcBorders>
            <w:vAlign w:val="center"/>
          </w:tcPr>
          <w:p w:rsidR="00CE6B87" w:rsidRPr="00765C97" w:rsidRDefault="00CE6B87" w:rsidP="00FF7970">
            <w:pPr>
              <w:jc w:val="right"/>
              <w:rPr>
                <w:rFonts w:ascii="Arial" w:hAnsi="Arial" w:cs="Arial"/>
                <w:b/>
                <w:bCs/>
                <w:sz w:val="20"/>
                <w:szCs w:val="20"/>
              </w:rPr>
            </w:pPr>
            <w:r w:rsidRPr="00765C97">
              <w:rPr>
                <w:rFonts w:ascii="Arial" w:hAnsi="Arial" w:cs="Arial"/>
                <w:b/>
                <w:bCs/>
                <w:sz w:val="20"/>
                <w:szCs w:val="20"/>
              </w:rPr>
              <w:t>883 876</w:t>
            </w:r>
          </w:p>
        </w:tc>
        <w:tc>
          <w:tcPr>
            <w:tcW w:w="850" w:type="dxa"/>
            <w:tcBorders>
              <w:top w:val="single" w:sz="4" w:space="0" w:color="auto"/>
            </w:tcBorders>
            <w:vAlign w:val="center"/>
          </w:tcPr>
          <w:p w:rsidR="00CE6B87" w:rsidRPr="00765C97" w:rsidRDefault="00CE6B87">
            <w:pPr>
              <w:jc w:val="right"/>
              <w:rPr>
                <w:rFonts w:ascii="Arial" w:hAnsi="Arial" w:cs="Arial"/>
                <w:b/>
                <w:bCs/>
                <w:sz w:val="20"/>
                <w:szCs w:val="20"/>
              </w:rPr>
            </w:pPr>
            <w:r w:rsidRPr="00765C97">
              <w:rPr>
                <w:rFonts w:ascii="Arial" w:hAnsi="Arial" w:cs="Arial"/>
                <w:b/>
                <w:bCs/>
                <w:sz w:val="20"/>
                <w:szCs w:val="20"/>
              </w:rPr>
              <w:t>100,0%</w:t>
            </w:r>
          </w:p>
        </w:tc>
        <w:tc>
          <w:tcPr>
            <w:tcW w:w="2126" w:type="dxa"/>
            <w:tcBorders>
              <w:top w:val="single" w:sz="4" w:space="0" w:color="auto"/>
            </w:tcBorders>
            <w:vAlign w:val="center"/>
          </w:tcPr>
          <w:p w:rsidR="00CE6B87" w:rsidRPr="00765C97" w:rsidRDefault="00CE6B87" w:rsidP="00DB120C">
            <w:pPr>
              <w:jc w:val="right"/>
              <w:rPr>
                <w:rFonts w:ascii="Arial" w:hAnsi="Arial" w:cs="Arial"/>
                <w:b/>
                <w:bCs/>
                <w:sz w:val="20"/>
                <w:szCs w:val="20"/>
              </w:rPr>
            </w:pPr>
            <w:r w:rsidRPr="00765C97">
              <w:rPr>
                <w:rFonts w:ascii="Arial" w:hAnsi="Arial" w:cs="Arial"/>
                <w:b/>
                <w:bCs/>
                <w:sz w:val="20"/>
                <w:szCs w:val="20"/>
              </w:rPr>
              <w:t>785 653</w:t>
            </w:r>
          </w:p>
        </w:tc>
        <w:tc>
          <w:tcPr>
            <w:tcW w:w="993" w:type="dxa"/>
            <w:tcBorders>
              <w:top w:val="single" w:sz="4" w:space="0" w:color="auto"/>
            </w:tcBorders>
            <w:vAlign w:val="center"/>
          </w:tcPr>
          <w:p w:rsidR="00CE6B87" w:rsidRPr="00765C97" w:rsidRDefault="00CE6B87" w:rsidP="00DB120C">
            <w:pPr>
              <w:jc w:val="right"/>
              <w:rPr>
                <w:rFonts w:ascii="Arial" w:hAnsi="Arial" w:cs="Arial"/>
                <w:b/>
                <w:sz w:val="20"/>
                <w:szCs w:val="20"/>
              </w:rPr>
            </w:pPr>
            <w:r w:rsidRPr="00765C97">
              <w:rPr>
                <w:rFonts w:ascii="Arial" w:hAnsi="Arial" w:cs="Arial"/>
                <w:b/>
                <w:sz w:val="20"/>
                <w:szCs w:val="20"/>
              </w:rPr>
              <w:t>100,0%</w:t>
            </w:r>
          </w:p>
        </w:tc>
      </w:tr>
    </w:tbl>
    <w:p w:rsidR="00043391" w:rsidRPr="00765C97" w:rsidRDefault="00043391" w:rsidP="00043391">
      <w:pPr>
        <w:adjustRightInd w:val="0"/>
        <w:ind w:left="181"/>
        <w:jc w:val="both"/>
        <w:rPr>
          <w:rFonts w:ascii="Arial" w:hAnsi="Arial"/>
          <w:sz w:val="20"/>
          <w:lang w:val="pl-PL"/>
        </w:rPr>
      </w:pPr>
    </w:p>
    <w:p w:rsidR="00B24DA9" w:rsidRPr="00765C97" w:rsidRDefault="00043391" w:rsidP="00043391">
      <w:pPr>
        <w:adjustRightInd w:val="0"/>
        <w:ind w:left="181"/>
        <w:jc w:val="both"/>
        <w:rPr>
          <w:rFonts w:ascii="Arial" w:hAnsi="Arial"/>
          <w:sz w:val="20"/>
          <w:lang w:val="pl-PL"/>
        </w:rPr>
      </w:pPr>
      <w:r w:rsidRPr="00765C97">
        <w:rPr>
          <w:rFonts w:ascii="Arial" w:hAnsi="Arial"/>
          <w:sz w:val="20"/>
          <w:lang w:val="pl-PL"/>
        </w:rPr>
        <w:t>Powyższa tabela prezentuje geograficzną strukturę przychodów za sprzedaży wg lokalizacji siedziby kontrahentów Grupy Comarch</w:t>
      </w:r>
      <w:r w:rsidR="00825066" w:rsidRPr="00765C97">
        <w:rPr>
          <w:rFonts w:ascii="Arial" w:hAnsi="Arial"/>
          <w:sz w:val="20"/>
          <w:lang w:val="pl-PL"/>
        </w:rPr>
        <w:t>.</w:t>
      </w:r>
    </w:p>
    <w:p w:rsidR="00043391" w:rsidRPr="00765C97" w:rsidRDefault="00043391" w:rsidP="00043391">
      <w:pPr>
        <w:adjustRightInd w:val="0"/>
        <w:ind w:left="181"/>
        <w:jc w:val="both"/>
        <w:rPr>
          <w:rFonts w:ascii="Arial" w:hAnsi="Arial"/>
          <w:sz w:val="20"/>
          <w:lang w:val="pl-PL"/>
        </w:rPr>
      </w:pPr>
    </w:p>
    <w:p w:rsidR="00B24DA9" w:rsidRPr="00765C97" w:rsidRDefault="00B24DA9">
      <w:pPr>
        <w:adjustRightInd w:val="0"/>
        <w:ind w:firstLine="180"/>
        <w:rPr>
          <w:rFonts w:ascii="Arial" w:hAnsi="Arial"/>
          <w:b/>
          <w:sz w:val="20"/>
          <w:lang w:val="pl-PL"/>
        </w:rPr>
      </w:pPr>
      <w:r w:rsidRPr="00765C97">
        <w:rPr>
          <w:rFonts w:ascii="Arial" w:hAnsi="Arial"/>
          <w:b/>
          <w:sz w:val="20"/>
          <w:lang w:val="pl-PL"/>
        </w:rPr>
        <w:t>Suma aktywów – według lokalizacji działalności</w:t>
      </w:r>
    </w:p>
    <w:p w:rsidR="007E5AC7" w:rsidRPr="00765C97" w:rsidRDefault="007E5AC7">
      <w:pPr>
        <w:adjustRightInd w:val="0"/>
        <w:ind w:firstLine="180"/>
        <w:rPr>
          <w:rFonts w:ascii="Arial" w:hAnsi="Arial"/>
          <w:b/>
          <w:sz w:val="20"/>
          <w:lang w:val="pl-PL"/>
        </w:rPr>
      </w:pPr>
    </w:p>
    <w:tbl>
      <w:tblPr>
        <w:tblW w:w="8184" w:type="dxa"/>
        <w:tblInd w:w="250" w:type="dxa"/>
        <w:tblLayout w:type="fixed"/>
        <w:tblCellMar>
          <w:left w:w="70" w:type="dxa"/>
          <w:right w:w="70" w:type="dxa"/>
        </w:tblCellMar>
        <w:tblLook w:val="01E0"/>
      </w:tblPr>
      <w:tblGrid>
        <w:gridCol w:w="2100"/>
        <w:gridCol w:w="2040"/>
        <w:gridCol w:w="925"/>
        <w:gridCol w:w="2040"/>
        <w:gridCol w:w="1079"/>
      </w:tblGrid>
      <w:tr w:rsidR="00E66ED0" w:rsidRPr="00765C97">
        <w:trPr>
          <w:trHeight w:val="255"/>
        </w:trPr>
        <w:tc>
          <w:tcPr>
            <w:tcW w:w="2100" w:type="dxa"/>
            <w:vAlign w:val="center"/>
          </w:tcPr>
          <w:p w:rsidR="00E66ED0" w:rsidRPr="00765C97" w:rsidRDefault="00E66ED0">
            <w:pPr>
              <w:adjustRightInd w:val="0"/>
              <w:rPr>
                <w:rFonts w:ascii="Arial" w:hAnsi="Arial"/>
                <w:b/>
                <w:sz w:val="20"/>
                <w:lang w:val="pl-PL"/>
              </w:rPr>
            </w:pPr>
          </w:p>
        </w:tc>
        <w:tc>
          <w:tcPr>
            <w:tcW w:w="2040" w:type="dxa"/>
            <w:vAlign w:val="center"/>
          </w:tcPr>
          <w:p w:rsidR="00E66ED0" w:rsidRPr="00765C97" w:rsidRDefault="00E66ED0" w:rsidP="00B031D9">
            <w:pPr>
              <w:adjustRightInd w:val="0"/>
              <w:ind w:left="-120" w:right="12"/>
              <w:jc w:val="right"/>
              <w:rPr>
                <w:rFonts w:ascii="Arial" w:hAnsi="Arial"/>
                <w:b/>
                <w:sz w:val="20"/>
                <w:lang w:val="pl-PL"/>
              </w:rPr>
            </w:pPr>
            <w:r w:rsidRPr="00765C97">
              <w:rPr>
                <w:rFonts w:ascii="Arial" w:hAnsi="Arial"/>
                <w:b/>
                <w:sz w:val="20"/>
                <w:lang w:val="pl-PL"/>
              </w:rPr>
              <w:t>31 grudnia 201</w:t>
            </w:r>
            <w:r w:rsidR="00DB120C" w:rsidRPr="00765C97">
              <w:rPr>
                <w:rFonts w:ascii="Arial" w:hAnsi="Arial"/>
                <w:b/>
                <w:sz w:val="20"/>
                <w:lang w:val="pl-PL"/>
              </w:rPr>
              <w:t>2</w:t>
            </w:r>
            <w:r w:rsidRPr="00765C97">
              <w:rPr>
                <w:rFonts w:ascii="Arial" w:hAnsi="Arial"/>
                <w:b/>
                <w:sz w:val="20"/>
                <w:lang w:val="pl-PL"/>
              </w:rPr>
              <w:t xml:space="preserve"> r.</w:t>
            </w:r>
          </w:p>
        </w:tc>
        <w:tc>
          <w:tcPr>
            <w:tcW w:w="925" w:type="dxa"/>
            <w:vAlign w:val="center"/>
          </w:tcPr>
          <w:p w:rsidR="00E66ED0" w:rsidRPr="00765C97" w:rsidRDefault="00E66ED0" w:rsidP="00E66ED0">
            <w:pPr>
              <w:adjustRightInd w:val="0"/>
              <w:ind w:left="-120" w:right="12"/>
              <w:jc w:val="right"/>
              <w:rPr>
                <w:rFonts w:ascii="Arial" w:hAnsi="Arial"/>
                <w:b/>
                <w:sz w:val="20"/>
                <w:lang w:val="pl-PL"/>
              </w:rPr>
            </w:pPr>
            <w:r w:rsidRPr="00765C97">
              <w:rPr>
                <w:rFonts w:ascii="Arial" w:hAnsi="Arial"/>
                <w:b/>
                <w:sz w:val="20"/>
                <w:lang w:val="pl-PL"/>
              </w:rPr>
              <w:t>%</w:t>
            </w:r>
          </w:p>
        </w:tc>
        <w:tc>
          <w:tcPr>
            <w:tcW w:w="2040" w:type="dxa"/>
            <w:vAlign w:val="center"/>
          </w:tcPr>
          <w:p w:rsidR="00E66ED0" w:rsidRPr="00765C97" w:rsidRDefault="00E66ED0" w:rsidP="00B031D9">
            <w:pPr>
              <w:adjustRightInd w:val="0"/>
              <w:ind w:left="-120" w:right="12"/>
              <w:jc w:val="right"/>
              <w:rPr>
                <w:rFonts w:ascii="Arial" w:hAnsi="Arial"/>
                <w:b/>
                <w:sz w:val="20"/>
                <w:lang w:val="pl-PL"/>
              </w:rPr>
            </w:pPr>
            <w:r w:rsidRPr="00765C97">
              <w:rPr>
                <w:rFonts w:ascii="Arial" w:hAnsi="Arial"/>
                <w:b/>
                <w:sz w:val="20"/>
                <w:lang w:val="pl-PL"/>
              </w:rPr>
              <w:t>31 grudnia 20</w:t>
            </w:r>
            <w:r w:rsidR="00DB120C" w:rsidRPr="00765C97">
              <w:rPr>
                <w:rFonts w:ascii="Arial" w:hAnsi="Arial"/>
                <w:b/>
                <w:sz w:val="20"/>
                <w:lang w:val="pl-PL"/>
              </w:rPr>
              <w:t>11</w:t>
            </w:r>
            <w:r w:rsidRPr="00765C97">
              <w:rPr>
                <w:rFonts w:ascii="Arial" w:hAnsi="Arial"/>
                <w:b/>
                <w:sz w:val="20"/>
                <w:lang w:val="pl-PL"/>
              </w:rPr>
              <w:t xml:space="preserve"> r.</w:t>
            </w:r>
          </w:p>
        </w:tc>
        <w:tc>
          <w:tcPr>
            <w:tcW w:w="1079" w:type="dxa"/>
            <w:vAlign w:val="center"/>
          </w:tcPr>
          <w:p w:rsidR="00E66ED0" w:rsidRPr="00765C97" w:rsidRDefault="00E66ED0" w:rsidP="00E66ED0">
            <w:pPr>
              <w:adjustRightInd w:val="0"/>
              <w:ind w:left="-120" w:right="12"/>
              <w:jc w:val="right"/>
              <w:rPr>
                <w:rFonts w:ascii="Arial" w:hAnsi="Arial"/>
                <w:b/>
                <w:sz w:val="20"/>
                <w:lang w:val="pl-PL"/>
              </w:rPr>
            </w:pPr>
            <w:r w:rsidRPr="00765C97">
              <w:rPr>
                <w:rFonts w:ascii="Arial" w:hAnsi="Arial"/>
                <w:b/>
                <w:sz w:val="20"/>
                <w:lang w:val="pl-PL"/>
              </w:rPr>
              <w:t>%</w:t>
            </w:r>
          </w:p>
        </w:tc>
      </w:tr>
      <w:tr w:rsidR="00E66ED0" w:rsidRPr="00765C97">
        <w:trPr>
          <w:trHeight w:val="255"/>
        </w:trPr>
        <w:tc>
          <w:tcPr>
            <w:tcW w:w="2100" w:type="dxa"/>
            <w:vAlign w:val="center"/>
          </w:tcPr>
          <w:p w:rsidR="00E66ED0" w:rsidRPr="00765C97" w:rsidRDefault="00E66ED0">
            <w:pPr>
              <w:adjustRightInd w:val="0"/>
              <w:rPr>
                <w:rFonts w:ascii="Arial" w:hAnsi="Arial"/>
                <w:sz w:val="20"/>
                <w:lang w:val="pl-PL"/>
              </w:rPr>
            </w:pPr>
          </w:p>
        </w:tc>
        <w:tc>
          <w:tcPr>
            <w:tcW w:w="2040" w:type="dxa"/>
            <w:vAlign w:val="center"/>
          </w:tcPr>
          <w:p w:rsidR="00E66ED0" w:rsidRPr="00765C97" w:rsidRDefault="00E66ED0" w:rsidP="00E66ED0">
            <w:pPr>
              <w:adjustRightInd w:val="0"/>
              <w:ind w:right="12"/>
              <w:jc w:val="right"/>
              <w:rPr>
                <w:rFonts w:ascii="Arial" w:hAnsi="Arial"/>
                <w:sz w:val="20"/>
                <w:lang w:val="pl-PL"/>
              </w:rPr>
            </w:pPr>
          </w:p>
        </w:tc>
        <w:tc>
          <w:tcPr>
            <w:tcW w:w="925" w:type="dxa"/>
            <w:vAlign w:val="center"/>
          </w:tcPr>
          <w:p w:rsidR="00E66ED0" w:rsidRPr="00765C97" w:rsidRDefault="00E66ED0" w:rsidP="00E66ED0">
            <w:pPr>
              <w:ind w:right="12"/>
              <w:jc w:val="right"/>
              <w:rPr>
                <w:rFonts w:ascii="Arial" w:hAnsi="Arial"/>
                <w:sz w:val="20"/>
              </w:rPr>
            </w:pPr>
          </w:p>
        </w:tc>
        <w:tc>
          <w:tcPr>
            <w:tcW w:w="2040" w:type="dxa"/>
            <w:vAlign w:val="center"/>
          </w:tcPr>
          <w:p w:rsidR="00E66ED0" w:rsidRPr="00765C97" w:rsidRDefault="00E66ED0" w:rsidP="00E66ED0">
            <w:pPr>
              <w:ind w:right="12"/>
              <w:jc w:val="right"/>
              <w:rPr>
                <w:rFonts w:ascii="Arial" w:hAnsi="Arial"/>
                <w:sz w:val="20"/>
              </w:rPr>
            </w:pPr>
          </w:p>
        </w:tc>
        <w:tc>
          <w:tcPr>
            <w:tcW w:w="1079" w:type="dxa"/>
            <w:vAlign w:val="center"/>
          </w:tcPr>
          <w:p w:rsidR="00E66ED0" w:rsidRPr="00765C97" w:rsidRDefault="00E66ED0" w:rsidP="00E66ED0">
            <w:pPr>
              <w:ind w:right="12"/>
              <w:jc w:val="right"/>
              <w:rPr>
                <w:rFonts w:ascii="Arial" w:hAnsi="Arial"/>
                <w:sz w:val="20"/>
              </w:rPr>
            </w:pPr>
          </w:p>
        </w:tc>
      </w:tr>
      <w:tr w:rsidR="00692BDC" w:rsidRPr="00765C97">
        <w:trPr>
          <w:trHeight w:val="255"/>
        </w:trPr>
        <w:tc>
          <w:tcPr>
            <w:tcW w:w="2100" w:type="dxa"/>
            <w:vAlign w:val="center"/>
          </w:tcPr>
          <w:p w:rsidR="00692BDC" w:rsidRPr="00765C97" w:rsidRDefault="00692BDC">
            <w:pPr>
              <w:adjustRightInd w:val="0"/>
              <w:rPr>
                <w:rFonts w:ascii="Arial" w:hAnsi="Arial"/>
                <w:sz w:val="20"/>
                <w:lang w:val="pl-PL"/>
              </w:rPr>
            </w:pPr>
            <w:r w:rsidRPr="00765C97">
              <w:rPr>
                <w:rFonts w:ascii="Arial" w:hAnsi="Arial"/>
                <w:sz w:val="20"/>
                <w:lang w:val="pl-PL"/>
              </w:rPr>
              <w:t>Kraj /Polska/</w:t>
            </w:r>
          </w:p>
        </w:tc>
        <w:tc>
          <w:tcPr>
            <w:tcW w:w="2040" w:type="dxa"/>
            <w:vAlign w:val="center"/>
          </w:tcPr>
          <w:p w:rsidR="00692BDC" w:rsidRPr="00765C97" w:rsidRDefault="00692BDC" w:rsidP="00FF7970">
            <w:pPr>
              <w:jc w:val="right"/>
              <w:rPr>
                <w:rFonts w:ascii="Arial" w:hAnsi="Arial"/>
                <w:sz w:val="20"/>
                <w:lang w:val="pl-PL"/>
              </w:rPr>
            </w:pPr>
            <w:r w:rsidRPr="00765C97">
              <w:rPr>
                <w:rFonts w:ascii="Arial" w:hAnsi="Arial"/>
                <w:sz w:val="20"/>
                <w:lang w:val="pl-PL"/>
              </w:rPr>
              <w:t>915 260</w:t>
            </w:r>
          </w:p>
        </w:tc>
        <w:tc>
          <w:tcPr>
            <w:tcW w:w="925" w:type="dxa"/>
            <w:vAlign w:val="center"/>
          </w:tcPr>
          <w:p w:rsidR="00692BDC" w:rsidRPr="00765C97" w:rsidRDefault="00692BDC">
            <w:pPr>
              <w:jc w:val="right"/>
              <w:rPr>
                <w:rFonts w:ascii="Arial" w:hAnsi="Arial" w:cs="Arial"/>
                <w:sz w:val="20"/>
                <w:szCs w:val="20"/>
              </w:rPr>
            </w:pPr>
            <w:r w:rsidRPr="00765C97">
              <w:rPr>
                <w:rFonts w:ascii="Arial" w:hAnsi="Arial" w:cs="Arial"/>
                <w:sz w:val="20"/>
                <w:szCs w:val="20"/>
              </w:rPr>
              <w:t>79,8%</w:t>
            </w:r>
          </w:p>
        </w:tc>
        <w:tc>
          <w:tcPr>
            <w:tcW w:w="2040" w:type="dxa"/>
            <w:vAlign w:val="center"/>
          </w:tcPr>
          <w:p w:rsidR="00692BDC" w:rsidRPr="00765C97" w:rsidRDefault="00692BDC" w:rsidP="00DB120C">
            <w:pPr>
              <w:jc w:val="right"/>
              <w:rPr>
                <w:rFonts w:ascii="Arial" w:hAnsi="Arial"/>
                <w:sz w:val="20"/>
                <w:lang w:val="pl-PL"/>
              </w:rPr>
            </w:pPr>
            <w:r w:rsidRPr="00765C97">
              <w:rPr>
                <w:rFonts w:ascii="Arial" w:hAnsi="Arial"/>
                <w:sz w:val="20"/>
                <w:lang w:val="pl-PL"/>
              </w:rPr>
              <w:t>780 490</w:t>
            </w:r>
          </w:p>
        </w:tc>
        <w:tc>
          <w:tcPr>
            <w:tcW w:w="1079" w:type="dxa"/>
            <w:vAlign w:val="center"/>
          </w:tcPr>
          <w:p w:rsidR="00692BDC" w:rsidRPr="00765C97" w:rsidRDefault="00692BDC" w:rsidP="00DB120C">
            <w:pPr>
              <w:ind w:right="12"/>
              <w:jc w:val="right"/>
              <w:rPr>
                <w:rFonts w:ascii="Arial" w:hAnsi="Arial"/>
                <w:sz w:val="20"/>
                <w:szCs w:val="20"/>
                <w:lang w:val="pl-PL"/>
              </w:rPr>
            </w:pPr>
            <w:r w:rsidRPr="00765C97">
              <w:rPr>
                <w:rFonts w:ascii="Arial" w:hAnsi="Arial"/>
                <w:sz w:val="20"/>
                <w:szCs w:val="20"/>
                <w:lang w:val="pl-PL"/>
              </w:rPr>
              <w:t>76,2%</w:t>
            </w:r>
          </w:p>
        </w:tc>
      </w:tr>
      <w:tr w:rsidR="00692BDC" w:rsidRPr="00765C97">
        <w:trPr>
          <w:trHeight w:val="255"/>
        </w:trPr>
        <w:tc>
          <w:tcPr>
            <w:tcW w:w="2100" w:type="dxa"/>
            <w:vAlign w:val="center"/>
          </w:tcPr>
          <w:p w:rsidR="00692BDC" w:rsidRPr="00765C97" w:rsidRDefault="00692BDC">
            <w:pPr>
              <w:adjustRightInd w:val="0"/>
              <w:rPr>
                <w:rFonts w:ascii="Arial" w:hAnsi="Arial"/>
                <w:sz w:val="20"/>
                <w:lang w:val="pl-PL"/>
              </w:rPr>
            </w:pPr>
            <w:r w:rsidRPr="00765C97">
              <w:rPr>
                <w:rFonts w:ascii="Arial" w:hAnsi="Arial"/>
                <w:sz w:val="20"/>
                <w:lang w:val="pl-PL"/>
              </w:rPr>
              <w:t>Rejon DACH</w:t>
            </w:r>
          </w:p>
        </w:tc>
        <w:tc>
          <w:tcPr>
            <w:tcW w:w="2040" w:type="dxa"/>
            <w:vAlign w:val="center"/>
          </w:tcPr>
          <w:p w:rsidR="00692BDC" w:rsidRPr="00765C97" w:rsidRDefault="00692BDC" w:rsidP="00FF7970">
            <w:pPr>
              <w:jc w:val="right"/>
              <w:rPr>
                <w:rFonts w:ascii="Arial" w:hAnsi="Arial"/>
                <w:sz w:val="20"/>
                <w:lang w:val="pl-PL"/>
              </w:rPr>
            </w:pPr>
            <w:r w:rsidRPr="00765C97">
              <w:rPr>
                <w:rFonts w:ascii="Arial" w:hAnsi="Arial"/>
                <w:sz w:val="20"/>
                <w:lang w:val="pl-PL"/>
              </w:rPr>
              <w:t>186 875</w:t>
            </w:r>
          </w:p>
        </w:tc>
        <w:tc>
          <w:tcPr>
            <w:tcW w:w="925" w:type="dxa"/>
            <w:vAlign w:val="center"/>
          </w:tcPr>
          <w:p w:rsidR="00692BDC" w:rsidRPr="00765C97" w:rsidRDefault="00692BDC">
            <w:pPr>
              <w:jc w:val="right"/>
              <w:rPr>
                <w:rFonts w:ascii="Arial" w:hAnsi="Arial" w:cs="Arial"/>
                <w:sz w:val="20"/>
                <w:szCs w:val="20"/>
              </w:rPr>
            </w:pPr>
            <w:r w:rsidRPr="00765C97">
              <w:rPr>
                <w:rFonts w:ascii="Arial" w:hAnsi="Arial" w:cs="Arial"/>
                <w:sz w:val="20"/>
                <w:szCs w:val="20"/>
              </w:rPr>
              <w:t>16,3%</w:t>
            </w:r>
          </w:p>
        </w:tc>
        <w:tc>
          <w:tcPr>
            <w:tcW w:w="2040" w:type="dxa"/>
            <w:vAlign w:val="center"/>
          </w:tcPr>
          <w:p w:rsidR="00692BDC" w:rsidRPr="00765C97" w:rsidRDefault="00692BDC" w:rsidP="00DB120C">
            <w:pPr>
              <w:jc w:val="right"/>
              <w:rPr>
                <w:rFonts w:ascii="Arial" w:hAnsi="Arial"/>
                <w:sz w:val="20"/>
                <w:lang w:val="pl-PL"/>
              </w:rPr>
            </w:pPr>
            <w:r w:rsidRPr="00765C97">
              <w:rPr>
                <w:rFonts w:ascii="Arial" w:hAnsi="Arial"/>
                <w:sz w:val="20"/>
                <w:lang w:val="pl-PL"/>
              </w:rPr>
              <w:t>193 725</w:t>
            </w:r>
          </w:p>
        </w:tc>
        <w:tc>
          <w:tcPr>
            <w:tcW w:w="1079" w:type="dxa"/>
            <w:vAlign w:val="center"/>
          </w:tcPr>
          <w:p w:rsidR="00692BDC" w:rsidRPr="00765C97" w:rsidRDefault="00692BDC" w:rsidP="00DB120C">
            <w:pPr>
              <w:ind w:right="12"/>
              <w:jc w:val="right"/>
              <w:rPr>
                <w:rFonts w:ascii="Arial" w:hAnsi="Arial"/>
                <w:sz w:val="20"/>
                <w:szCs w:val="20"/>
                <w:lang w:val="pl-PL"/>
              </w:rPr>
            </w:pPr>
            <w:r w:rsidRPr="00765C97">
              <w:rPr>
                <w:rFonts w:ascii="Arial" w:hAnsi="Arial"/>
                <w:sz w:val="20"/>
                <w:szCs w:val="20"/>
                <w:lang w:val="pl-PL"/>
              </w:rPr>
              <w:t>19,1%</w:t>
            </w:r>
          </w:p>
        </w:tc>
      </w:tr>
      <w:tr w:rsidR="00692BDC" w:rsidRPr="00765C97">
        <w:trPr>
          <w:trHeight w:val="255"/>
        </w:trPr>
        <w:tc>
          <w:tcPr>
            <w:tcW w:w="2100" w:type="dxa"/>
            <w:vAlign w:val="center"/>
          </w:tcPr>
          <w:p w:rsidR="00692BDC" w:rsidRPr="00765C97" w:rsidRDefault="00692BDC">
            <w:pPr>
              <w:adjustRightInd w:val="0"/>
              <w:rPr>
                <w:rFonts w:ascii="Arial" w:hAnsi="Arial"/>
                <w:sz w:val="20"/>
                <w:lang w:val="pl-PL"/>
              </w:rPr>
            </w:pPr>
            <w:r w:rsidRPr="00765C97">
              <w:rPr>
                <w:rFonts w:ascii="Arial" w:hAnsi="Arial"/>
                <w:sz w:val="20"/>
                <w:lang w:val="pl-PL"/>
              </w:rPr>
              <w:t>Europa - pozostałe</w:t>
            </w:r>
          </w:p>
        </w:tc>
        <w:tc>
          <w:tcPr>
            <w:tcW w:w="2040" w:type="dxa"/>
            <w:vAlign w:val="center"/>
          </w:tcPr>
          <w:p w:rsidR="00692BDC" w:rsidRPr="00765C97" w:rsidRDefault="00692BDC" w:rsidP="00FF7970">
            <w:pPr>
              <w:jc w:val="right"/>
              <w:rPr>
                <w:rFonts w:ascii="Arial" w:hAnsi="Arial"/>
                <w:sz w:val="20"/>
                <w:lang w:val="pl-PL"/>
              </w:rPr>
            </w:pPr>
            <w:r w:rsidRPr="00765C97">
              <w:rPr>
                <w:rFonts w:ascii="Arial" w:hAnsi="Arial"/>
                <w:sz w:val="20"/>
                <w:lang w:val="pl-PL"/>
              </w:rPr>
              <w:t>26 663</w:t>
            </w:r>
          </w:p>
        </w:tc>
        <w:tc>
          <w:tcPr>
            <w:tcW w:w="925" w:type="dxa"/>
            <w:vAlign w:val="center"/>
          </w:tcPr>
          <w:p w:rsidR="00692BDC" w:rsidRPr="00765C97" w:rsidRDefault="00692BDC">
            <w:pPr>
              <w:jc w:val="right"/>
              <w:rPr>
                <w:rFonts w:ascii="Arial" w:hAnsi="Arial" w:cs="Arial"/>
                <w:sz w:val="20"/>
                <w:szCs w:val="20"/>
              </w:rPr>
            </w:pPr>
            <w:r w:rsidRPr="00765C97">
              <w:rPr>
                <w:rFonts w:ascii="Arial" w:hAnsi="Arial" w:cs="Arial"/>
                <w:sz w:val="20"/>
                <w:szCs w:val="20"/>
              </w:rPr>
              <w:t>2,3%</w:t>
            </w:r>
          </w:p>
        </w:tc>
        <w:tc>
          <w:tcPr>
            <w:tcW w:w="2040" w:type="dxa"/>
            <w:vAlign w:val="center"/>
          </w:tcPr>
          <w:p w:rsidR="00692BDC" w:rsidRPr="00765C97" w:rsidRDefault="00692BDC" w:rsidP="00DB120C">
            <w:pPr>
              <w:jc w:val="right"/>
              <w:rPr>
                <w:rFonts w:ascii="Arial" w:hAnsi="Arial"/>
                <w:sz w:val="20"/>
                <w:lang w:val="pl-PL"/>
              </w:rPr>
            </w:pPr>
            <w:r w:rsidRPr="00765C97">
              <w:rPr>
                <w:rFonts w:ascii="Arial" w:hAnsi="Arial"/>
                <w:sz w:val="20"/>
                <w:lang w:val="pl-PL"/>
              </w:rPr>
              <w:t>29 550</w:t>
            </w:r>
          </w:p>
        </w:tc>
        <w:tc>
          <w:tcPr>
            <w:tcW w:w="1079" w:type="dxa"/>
            <w:vAlign w:val="center"/>
          </w:tcPr>
          <w:p w:rsidR="00692BDC" w:rsidRPr="00765C97" w:rsidRDefault="00692BDC" w:rsidP="00DB120C">
            <w:pPr>
              <w:ind w:right="12"/>
              <w:jc w:val="right"/>
              <w:rPr>
                <w:rFonts w:ascii="Arial" w:hAnsi="Arial"/>
                <w:sz w:val="20"/>
                <w:szCs w:val="20"/>
                <w:lang w:val="pl-PL"/>
              </w:rPr>
            </w:pPr>
            <w:r w:rsidRPr="00765C97">
              <w:rPr>
                <w:rFonts w:ascii="Arial" w:hAnsi="Arial"/>
                <w:sz w:val="20"/>
                <w:szCs w:val="20"/>
                <w:lang w:val="pl-PL"/>
              </w:rPr>
              <w:t>2,8%</w:t>
            </w:r>
          </w:p>
        </w:tc>
      </w:tr>
      <w:tr w:rsidR="00692BDC" w:rsidRPr="00765C97">
        <w:trPr>
          <w:trHeight w:val="255"/>
        </w:trPr>
        <w:tc>
          <w:tcPr>
            <w:tcW w:w="2100" w:type="dxa"/>
            <w:vAlign w:val="center"/>
          </w:tcPr>
          <w:p w:rsidR="00692BDC" w:rsidRPr="00765C97" w:rsidRDefault="00692BDC">
            <w:pPr>
              <w:adjustRightInd w:val="0"/>
              <w:rPr>
                <w:rFonts w:ascii="Arial" w:hAnsi="Arial"/>
                <w:sz w:val="20"/>
                <w:lang w:val="pl-PL"/>
              </w:rPr>
            </w:pPr>
            <w:r w:rsidRPr="00765C97">
              <w:rPr>
                <w:rFonts w:ascii="Arial" w:hAnsi="Arial"/>
                <w:sz w:val="20"/>
                <w:lang w:val="pl-PL"/>
              </w:rPr>
              <w:t>Ameryka</w:t>
            </w:r>
          </w:p>
        </w:tc>
        <w:tc>
          <w:tcPr>
            <w:tcW w:w="2040" w:type="dxa"/>
            <w:vAlign w:val="center"/>
          </w:tcPr>
          <w:p w:rsidR="00692BDC" w:rsidRPr="00765C97" w:rsidRDefault="00692BDC" w:rsidP="00FF7970">
            <w:pPr>
              <w:jc w:val="right"/>
              <w:rPr>
                <w:rFonts w:ascii="Arial" w:hAnsi="Arial"/>
                <w:sz w:val="20"/>
                <w:lang w:val="pl-PL"/>
              </w:rPr>
            </w:pPr>
            <w:r w:rsidRPr="00765C97">
              <w:rPr>
                <w:rFonts w:ascii="Arial" w:hAnsi="Arial"/>
                <w:sz w:val="20"/>
                <w:lang w:val="pl-PL"/>
              </w:rPr>
              <w:t>17 016</w:t>
            </w:r>
          </w:p>
        </w:tc>
        <w:tc>
          <w:tcPr>
            <w:tcW w:w="925" w:type="dxa"/>
            <w:vAlign w:val="center"/>
          </w:tcPr>
          <w:p w:rsidR="00692BDC" w:rsidRPr="00765C97" w:rsidRDefault="00692BDC">
            <w:pPr>
              <w:jc w:val="right"/>
              <w:rPr>
                <w:rFonts w:ascii="Arial" w:hAnsi="Arial" w:cs="Arial"/>
                <w:sz w:val="20"/>
                <w:szCs w:val="20"/>
              </w:rPr>
            </w:pPr>
            <w:r w:rsidRPr="00765C97">
              <w:rPr>
                <w:rFonts w:ascii="Arial" w:hAnsi="Arial" w:cs="Arial"/>
                <w:sz w:val="20"/>
                <w:szCs w:val="20"/>
              </w:rPr>
              <w:t>1,5%</w:t>
            </w:r>
          </w:p>
        </w:tc>
        <w:tc>
          <w:tcPr>
            <w:tcW w:w="2040" w:type="dxa"/>
            <w:vAlign w:val="center"/>
          </w:tcPr>
          <w:p w:rsidR="00692BDC" w:rsidRPr="00765C97" w:rsidRDefault="00692BDC" w:rsidP="00DB120C">
            <w:pPr>
              <w:jc w:val="right"/>
              <w:rPr>
                <w:rFonts w:ascii="Arial" w:hAnsi="Arial"/>
                <w:sz w:val="20"/>
                <w:lang w:val="pl-PL"/>
              </w:rPr>
            </w:pPr>
            <w:r w:rsidRPr="00765C97">
              <w:rPr>
                <w:rFonts w:ascii="Arial" w:hAnsi="Arial"/>
                <w:sz w:val="20"/>
                <w:lang w:val="pl-PL"/>
              </w:rPr>
              <w:t>14 876</w:t>
            </w:r>
          </w:p>
        </w:tc>
        <w:tc>
          <w:tcPr>
            <w:tcW w:w="1079" w:type="dxa"/>
            <w:vAlign w:val="center"/>
          </w:tcPr>
          <w:p w:rsidR="00692BDC" w:rsidRPr="00765C97" w:rsidRDefault="00692BDC" w:rsidP="00DB120C">
            <w:pPr>
              <w:ind w:right="12"/>
              <w:jc w:val="right"/>
              <w:rPr>
                <w:rFonts w:ascii="Arial" w:hAnsi="Arial"/>
                <w:sz w:val="20"/>
                <w:szCs w:val="20"/>
                <w:lang w:val="pl-PL"/>
              </w:rPr>
            </w:pPr>
            <w:r w:rsidRPr="00765C97">
              <w:rPr>
                <w:rFonts w:ascii="Arial" w:hAnsi="Arial"/>
                <w:sz w:val="20"/>
                <w:szCs w:val="20"/>
                <w:lang w:val="pl-PL"/>
              </w:rPr>
              <w:t>1,5%</w:t>
            </w:r>
          </w:p>
        </w:tc>
      </w:tr>
      <w:tr w:rsidR="00692BDC" w:rsidRPr="00765C97">
        <w:trPr>
          <w:trHeight w:val="255"/>
        </w:trPr>
        <w:tc>
          <w:tcPr>
            <w:tcW w:w="2100" w:type="dxa"/>
            <w:vAlign w:val="center"/>
          </w:tcPr>
          <w:p w:rsidR="00692BDC" w:rsidRPr="00765C97" w:rsidRDefault="00692BDC">
            <w:pPr>
              <w:adjustRightInd w:val="0"/>
              <w:rPr>
                <w:rFonts w:ascii="Arial" w:hAnsi="Arial"/>
                <w:sz w:val="20"/>
                <w:lang w:val="pl-PL"/>
              </w:rPr>
            </w:pPr>
            <w:r w:rsidRPr="00765C97">
              <w:rPr>
                <w:rFonts w:ascii="Arial" w:hAnsi="Arial"/>
                <w:sz w:val="20"/>
                <w:lang w:val="pl-PL"/>
              </w:rPr>
              <w:t>Pozostałe kraje</w:t>
            </w:r>
          </w:p>
        </w:tc>
        <w:tc>
          <w:tcPr>
            <w:tcW w:w="2040" w:type="dxa"/>
            <w:tcBorders>
              <w:bottom w:val="single" w:sz="4" w:space="0" w:color="auto"/>
            </w:tcBorders>
            <w:vAlign w:val="center"/>
          </w:tcPr>
          <w:p w:rsidR="00692BDC" w:rsidRPr="00765C97" w:rsidRDefault="00692BDC" w:rsidP="00FF7970">
            <w:pPr>
              <w:jc w:val="right"/>
              <w:rPr>
                <w:rFonts w:ascii="Arial" w:hAnsi="Arial"/>
                <w:sz w:val="20"/>
                <w:lang w:val="pl-PL"/>
              </w:rPr>
            </w:pPr>
            <w:r w:rsidRPr="00765C97">
              <w:rPr>
                <w:rFonts w:ascii="Arial" w:hAnsi="Arial"/>
                <w:sz w:val="20"/>
                <w:lang w:val="pl-PL"/>
              </w:rPr>
              <w:t>929</w:t>
            </w:r>
          </w:p>
        </w:tc>
        <w:tc>
          <w:tcPr>
            <w:tcW w:w="925" w:type="dxa"/>
            <w:tcBorders>
              <w:bottom w:val="single" w:sz="4" w:space="0" w:color="auto"/>
            </w:tcBorders>
            <w:vAlign w:val="center"/>
          </w:tcPr>
          <w:p w:rsidR="00692BDC" w:rsidRPr="00765C97" w:rsidRDefault="00692BDC">
            <w:pPr>
              <w:jc w:val="right"/>
              <w:rPr>
                <w:rFonts w:ascii="Arial" w:hAnsi="Arial" w:cs="Arial"/>
                <w:sz w:val="20"/>
                <w:szCs w:val="20"/>
              </w:rPr>
            </w:pPr>
            <w:r w:rsidRPr="00765C97">
              <w:rPr>
                <w:rFonts w:ascii="Arial" w:hAnsi="Arial" w:cs="Arial"/>
                <w:sz w:val="20"/>
                <w:szCs w:val="20"/>
              </w:rPr>
              <w:t>0,1%</w:t>
            </w:r>
          </w:p>
        </w:tc>
        <w:tc>
          <w:tcPr>
            <w:tcW w:w="2040" w:type="dxa"/>
            <w:tcBorders>
              <w:bottom w:val="single" w:sz="4" w:space="0" w:color="auto"/>
            </w:tcBorders>
            <w:vAlign w:val="center"/>
          </w:tcPr>
          <w:p w:rsidR="00692BDC" w:rsidRPr="00765C97" w:rsidRDefault="00692BDC" w:rsidP="00DB120C">
            <w:pPr>
              <w:jc w:val="right"/>
              <w:rPr>
                <w:rFonts w:ascii="Arial" w:hAnsi="Arial"/>
                <w:sz w:val="20"/>
                <w:lang w:val="pl-PL"/>
              </w:rPr>
            </w:pPr>
            <w:r w:rsidRPr="00765C97">
              <w:rPr>
                <w:rFonts w:ascii="Arial" w:hAnsi="Arial"/>
                <w:sz w:val="20"/>
                <w:lang w:val="pl-PL"/>
              </w:rPr>
              <w:t>3 833</w:t>
            </w:r>
          </w:p>
        </w:tc>
        <w:tc>
          <w:tcPr>
            <w:tcW w:w="1079" w:type="dxa"/>
            <w:tcBorders>
              <w:bottom w:val="single" w:sz="4" w:space="0" w:color="auto"/>
            </w:tcBorders>
            <w:vAlign w:val="center"/>
          </w:tcPr>
          <w:p w:rsidR="00692BDC" w:rsidRPr="00765C97" w:rsidRDefault="00692BDC" w:rsidP="00DB120C">
            <w:pPr>
              <w:ind w:right="12"/>
              <w:jc w:val="right"/>
              <w:rPr>
                <w:rFonts w:ascii="Arial" w:hAnsi="Arial"/>
                <w:sz w:val="20"/>
                <w:szCs w:val="20"/>
                <w:lang w:val="pl-PL"/>
              </w:rPr>
            </w:pPr>
            <w:r w:rsidRPr="00765C97">
              <w:rPr>
                <w:rFonts w:ascii="Arial" w:hAnsi="Arial"/>
                <w:sz w:val="20"/>
                <w:szCs w:val="20"/>
                <w:lang w:val="pl-PL"/>
              </w:rPr>
              <w:t>0,4%</w:t>
            </w:r>
          </w:p>
        </w:tc>
      </w:tr>
      <w:tr w:rsidR="00692BDC" w:rsidRPr="00765C97">
        <w:trPr>
          <w:trHeight w:val="255"/>
        </w:trPr>
        <w:tc>
          <w:tcPr>
            <w:tcW w:w="2100" w:type="dxa"/>
            <w:vAlign w:val="center"/>
          </w:tcPr>
          <w:p w:rsidR="00692BDC" w:rsidRPr="00765C97" w:rsidRDefault="00692BDC">
            <w:pPr>
              <w:adjustRightInd w:val="0"/>
              <w:rPr>
                <w:rFonts w:ascii="Arial" w:hAnsi="Arial"/>
                <w:b/>
                <w:sz w:val="20"/>
                <w:lang w:val="pl-PL"/>
              </w:rPr>
            </w:pPr>
            <w:r w:rsidRPr="00765C97">
              <w:rPr>
                <w:rFonts w:ascii="Arial" w:hAnsi="Arial"/>
                <w:b/>
                <w:sz w:val="20"/>
                <w:lang w:val="pl-PL"/>
              </w:rPr>
              <w:t>RAZEM</w:t>
            </w:r>
          </w:p>
        </w:tc>
        <w:tc>
          <w:tcPr>
            <w:tcW w:w="2040" w:type="dxa"/>
            <w:tcBorders>
              <w:top w:val="single" w:sz="4" w:space="0" w:color="auto"/>
            </w:tcBorders>
            <w:vAlign w:val="center"/>
          </w:tcPr>
          <w:p w:rsidR="00692BDC" w:rsidRPr="00765C97" w:rsidRDefault="00692BDC" w:rsidP="00DF65D2">
            <w:pPr>
              <w:jc w:val="right"/>
              <w:rPr>
                <w:rFonts w:ascii="Arial" w:hAnsi="Arial"/>
                <w:b/>
                <w:sz w:val="20"/>
                <w:lang w:val="pl-PL"/>
              </w:rPr>
            </w:pPr>
            <w:r w:rsidRPr="00765C97">
              <w:rPr>
                <w:rFonts w:ascii="Arial" w:hAnsi="Arial"/>
                <w:b/>
                <w:sz w:val="20"/>
                <w:lang w:val="pl-PL"/>
              </w:rPr>
              <w:t>1 146 743</w:t>
            </w:r>
          </w:p>
        </w:tc>
        <w:tc>
          <w:tcPr>
            <w:tcW w:w="925" w:type="dxa"/>
            <w:tcBorders>
              <w:top w:val="single" w:sz="4" w:space="0" w:color="auto"/>
            </w:tcBorders>
            <w:vAlign w:val="center"/>
          </w:tcPr>
          <w:p w:rsidR="00692BDC" w:rsidRPr="00765C97" w:rsidRDefault="00692BDC">
            <w:pPr>
              <w:jc w:val="right"/>
              <w:rPr>
                <w:rFonts w:ascii="Arial" w:hAnsi="Arial" w:cs="Arial"/>
                <w:b/>
                <w:bCs/>
                <w:sz w:val="20"/>
                <w:szCs w:val="20"/>
              </w:rPr>
            </w:pPr>
            <w:r w:rsidRPr="00765C97">
              <w:rPr>
                <w:rFonts w:ascii="Arial" w:hAnsi="Arial" w:cs="Arial"/>
                <w:b/>
                <w:bCs/>
                <w:sz w:val="20"/>
                <w:szCs w:val="20"/>
              </w:rPr>
              <w:t>100,0%</w:t>
            </w:r>
          </w:p>
        </w:tc>
        <w:tc>
          <w:tcPr>
            <w:tcW w:w="2040" w:type="dxa"/>
            <w:tcBorders>
              <w:top w:val="single" w:sz="4" w:space="0" w:color="auto"/>
            </w:tcBorders>
            <w:vAlign w:val="center"/>
          </w:tcPr>
          <w:p w:rsidR="00692BDC" w:rsidRPr="00765C97" w:rsidRDefault="00692BDC" w:rsidP="00DB120C">
            <w:pPr>
              <w:jc w:val="right"/>
              <w:rPr>
                <w:rFonts w:ascii="Arial" w:hAnsi="Arial"/>
                <w:b/>
                <w:sz w:val="20"/>
                <w:lang w:val="pl-PL"/>
              </w:rPr>
            </w:pPr>
            <w:r w:rsidRPr="00765C97">
              <w:rPr>
                <w:rFonts w:ascii="Arial" w:hAnsi="Arial"/>
                <w:b/>
                <w:sz w:val="20"/>
                <w:lang w:val="pl-PL"/>
              </w:rPr>
              <w:t>1 022 474</w:t>
            </w:r>
          </w:p>
        </w:tc>
        <w:tc>
          <w:tcPr>
            <w:tcW w:w="1079" w:type="dxa"/>
            <w:tcBorders>
              <w:top w:val="single" w:sz="4" w:space="0" w:color="auto"/>
            </w:tcBorders>
            <w:vAlign w:val="center"/>
          </w:tcPr>
          <w:p w:rsidR="00692BDC" w:rsidRPr="00765C97" w:rsidRDefault="00692BDC" w:rsidP="00DB120C">
            <w:pPr>
              <w:ind w:right="12"/>
              <w:jc w:val="right"/>
              <w:rPr>
                <w:rFonts w:ascii="Arial" w:hAnsi="Arial"/>
                <w:b/>
                <w:sz w:val="20"/>
                <w:szCs w:val="20"/>
                <w:lang w:val="pl-PL"/>
              </w:rPr>
            </w:pPr>
            <w:r w:rsidRPr="00765C97">
              <w:rPr>
                <w:rFonts w:ascii="Arial" w:hAnsi="Arial"/>
                <w:b/>
                <w:sz w:val="20"/>
                <w:szCs w:val="20"/>
                <w:lang w:val="pl-PL"/>
              </w:rPr>
              <w:t>100,0%</w:t>
            </w:r>
          </w:p>
        </w:tc>
      </w:tr>
    </w:tbl>
    <w:p w:rsidR="00B24DA9" w:rsidRPr="00765C97" w:rsidRDefault="00B24DA9">
      <w:pPr>
        <w:adjustRightInd w:val="0"/>
        <w:ind w:firstLine="180"/>
        <w:rPr>
          <w:rFonts w:ascii="Arial" w:hAnsi="Arial"/>
          <w:b/>
          <w:sz w:val="20"/>
          <w:lang w:val="pl-PL"/>
        </w:rPr>
      </w:pPr>
    </w:p>
    <w:p w:rsidR="00B031D9" w:rsidRPr="00765C97" w:rsidRDefault="00B031D9">
      <w:pPr>
        <w:widowControl/>
        <w:autoSpaceDE/>
        <w:autoSpaceDN/>
        <w:rPr>
          <w:rFonts w:ascii="Arial" w:hAnsi="Arial"/>
          <w:b/>
          <w:sz w:val="20"/>
          <w:lang w:val="pl-PL"/>
        </w:rPr>
      </w:pPr>
      <w:r w:rsidRPr="00765C97">
        <w:rPr>
          <w:rFonts w:ascii="Arial" w:hAnsi="Arial"/>
          <w:b/>
          <w:sz w:val="20"/>
          <w:lang w:val="pl-PL"/>
        </w:rPr>
        <w:br w:type="page"/>
      </w:r>
    </w:p>
    <w:p w:rsidR="00B24DA9" w:rsidRPr="00765C97" w:rsidRDefault="00B24DA9">
      <w:pPr>
        <w:adjustRightInd w:val="0"/>
        <w:ind w:left="180"/>
        <w:rPr>
          <w:rFonts w:ascii="Arial" w:hAnsi="Arial"/>
          <w:b/>
          <w:sz w:val="20"/>
          <w:lang w:val="pl-PL"/>
        </w:rPr>
      </w:pPr>
      <w:r w:rsidRPr="00765C97">
        <w:rPr>
          <w:rFonts w:ascii="Arial" w:hAnsi="Arial"/>
          <w:b/>
          <w:sz w:val="20"/>
          <w:lang w:val="pl-PL"/>
        </w:rPr>
        <w:t>Wydatki inwestycyjne – według lokalizacji działalności</w:t>
      </w:r>
    </w:p>
    <w:p w:rsidR="00825066" w:rsidRPr="00765C97" w:rsidRDefault="00825066">
      <w:pPr>
        <w:adjustRightInd w:val="0"/>
        <w:ind w:left="180"/>
        <w:rPr>
          <w:rFonts w:ascii="Arial" w:hAnsi="Arial"/>
          <w:b/>
          <w:sz w:val="20"/>
          <w:lang w:val="pl-PL"/>
        </w:rPr>
      </w:pPr>
    </w:p>
    <w:tbl>
      <w:tblPr>
        <w:tblW w:w="6326" w:type="dxa"/>
        <w:tblInd w:w="250" w:type="dxa"/>
        <w:tblLayout w:type="fixed"/>
        <w:tblCellMar>
          <w:left w:w="70" w:type="dxa"/>
          <w:right w:w="70" w:type="dxa"/>
        </w:tblCellMar>
        <w:tblLook w:val="01E0"/>
      </w:tblPr>
      <w:tblGrid>
        <w:gridCol w:w="2062"/>
        <w:gridCol w:w="2132"/>
        <w:gridCol w:w="2132"/>
      </w:tblGrid>
      <w:tr w:rsidR="00FF7970" w:rsidRPr="00765C97" w:rsidTr="00FF7970">
        <w:trPr>
          <w:trHeight w:val="255"/>
        </w:trPr>
        <w:tc>
          <w:tcPr>
            <w:tcW w:w="2062" w:type="dxa"/>
            <w:vAlign w:val="center"/>
          </w:tcPr>
          <w:p w:rsidR="00FF7970" w:rsidRPr="00765C97" w:rsidRDefault="00FF7970">
            <w:pPr>
              <w:adjustRightInd w:val="0"/>
              <w:rPr>
                <w:rFonts w:ascii="Arial" w:hAnsi="Arial"/>
                <w:b/>
                <w:sz w:val="20"/>
                <w:lang w:val="pl-PL"/>
              </w:rPr>
            </w:pPr>
          </w:p>
        </w:tc>
        <w:tc>
          <w:tcPr>
            <w:tcW w:w="2132" w:type="dxa"/>
            <w:vAlign w:val="center"/>
          </w:tcPr>
          <w:p w:rsidR="00FF7970" w:rsidRPr="00765C97" w:rsidRDefault="00FF7970" w:rsidP="00FF7970">
            <w:pPr>
              <w:adjustRightInd w:val="0"/>
              <w:ind w:right="63"/>
              <w:jc w:val="right"/>
              <w:rPr>
                <w:rFonts w:ascii="Arial" w:hAnsi="Arial"/>
                <w:b/>
                <w:sz w:val="20"/>
                <w:lang w:val="pl-PL"/>
              </w:rPr>
            </w:pPr>
            <w:r w:rsidRPr="00765C97">
              <w:rPr>
                <w:rFonts w:ascii="Arial" w:hAnsi="Arial" w:cs="Arial"/>
                <w:b/>
                <w:bCs/>
                <w:sz w:val="20"/>
                <w:szCs w:val="20"/>
                <w:lang w:val="pl-PL"/>
              </w:rPr>
              <w:t xml:space="preserve">12 miesięcy </w:t>
            </w:r>
            <w:r w:rsidR="00DB120C" w:rsidRPr="00765C97">
              <w:rPr>
                <w:rFonts w:ascii="Arial" w:hAnsi="Arial"/>
                <w:b/>
                <w:sz w:val="20"/>
                <w:lang w:val="pl-PL"/>
              </w:rPr>
              <w:t>2012</w:t>
            </w:r>
          </w:p>
        </w:tc>
        <w:tc>
          <w:tcPr>
            <w:tcW w:w="2132" w:type="dxa"/>
            <w:vAlign w:val="center"/>
          </w:tcPr>
          <w:p w:rsidR="00FF7970" w:rsidRPr="00765C97" w:rsidRDefault="00FF7970" w:rsidP="00DB120C">
            <w:pPr>
              <w:adjustRightInd w:val="0"/>
              <w:ind w:right="63"/>
              <w:jc w:val="right"/>
              <w:rPr>
                <w:rFonts w:ascii="Arial" w:hAnsi="Arial"/>
                <w:b/>
                <w:sz w:val="20"/>
                <w:lang w:val="pl-PL"/>
              </w:rPr>
            </w:pPr>
            <w:r w:rsidRPr="00765C97">
              <w:rPr>
                <w:rFonts w:ascii="Arial" w:hAnsi="Arial"/>
                <w:b/>
                <w:sz w:val="20"/>
                <w:lang w:val="pl-PL"/>
              </w:rPr>
              <w:t>12 miesięcy 201</w:t>
            </w:r>
            <w:r w:rsidR="00DB120C" w:rsidRPr="00765C97">
              <w:rPr>
                <w:rFonts w:ascii="Arial" w:hAnsi="Arial"/>
                <w:b/>
                <w:sz w:val="20"/>
                <w:lang w:val="pl-PL"/>
              </w:rPr>
              <w:t>1</w:t>
            </w:r>
          </w:p>
        </w:tc>
      </w:tr>
      <w:tr w:rsidR="00FF7970" w:rsidRPr="00765C97" w:rsidTr="00FF7970">
        <w:trPr>
          <w:trHeight w:val="218"/>
        </w:trPr>
        <w:tc>
          <w:tcPr>
            <w:tcW w:w="2062" w:type="dxa"/>
            <w:vAlign w:val="center"/>
          </w:tcPr>
          <w:p w:rsidR="00FF7970" w:rsidRPr="00765C97" w:rsidRDefault="00FF7970">
            <w:pPr>
              <w:adjustRightInd w:val="0"/>
              <w:rPr>
                <w:rFonts w:ascii="Arial" w:hAnsi="Arial"/>
                <w:sz w:val="16"/>
                <w:szCs w:val="16"/>
                <w:lang w:val="pl-PL"/>
              </w:rPr>
            </w:pPr>
          </w:p>
        </w:tc>
        <w:tc>
          <w:tcPr>
            <w:tcW w:w="2132" w:type="dxa"/>
            <w:vAlign w:val="center"/>
          </w:tcPr>
          <w:p w:rsidR="00FF7970" w:rsidRPr="00765C97" w:rsidRDefault="00FF7970" w:rsidP="00FF7970">
            <w:pPr>
              <w:adjustRightInd w:val="0"/>
              <w:ind w:right="63"/>
              <w:jc w:val="right"/>
              <w:rPr>
                <w:rFonts w:ascii="Arial" w:hAnsi="Arial"/>
                <w:sz w:val="20"/>
                <w:lang w:val="pl-PL"/>
              </w:rPr>
            </w:pPr>
          </w:p>
        </w:tc>
        <w:tc>
          <w:tcPr>
            <w:tcW w:w="2132" w:type="dxa"/>
            <w:vAlign w:val="center"/>
          </w:tcPr>
          <w:p w:rsidR="00FF7970" w:rsidRPr="00765C97" w:rsidRDefault="00FF7970" w:rsidP="00B031D9">
            <w:pPr>
              <w:adjustRightInd w:val="0"/>
              <w:ind w:right="63"/>
              <w:jc w:val="right"/>
              <w:rPr>
                <w:rFonts w:ascii="Arial" w:hAnsi="Arial"/>
                <w:sz w:val="20"/>
                <w:lang w:val="pl-PL"/>
              </w:rPr>
            </w:pPr>
          </w:p>
        </w:tc>
      </w:tr>
      <w:tr w:rsidR="00DB120C" w:rsidRPr="00765C97" w:rsidTr="00FF7970">
        <w:trPr>
          <w:trHeight w:val="255"/>
        </w:trPr>
        <w:tc>
          <w:tcPr>
            <w:tcW w:w="2062" w:type="dxa"/>
            <w:vAlign w:val="center"/>
          </w:tcPr>
          <w:p w:rsidR="00DB120C" w:rsidRPr="00765C97" w:rsidRDefault="00DB120C">
            <w:pPr>
              <w:adjustRightInd w:val="0"/>
              <w:rPr>
                <w:rFonts w:ascii="Arial" w:hAnsi="Arial"/>
                <w:sz w:val="20"/>
                <w:lang w:val="pl-PL"/>
              </w:rPr>
            </w:pPr>
            <w:r w:rsidRPr="00765C97">
              <w:rPr>
                <w:rFonts w:ascii="Arial" w:hAnsi="Arial"/>
                <w:sz w:val="20"/>
                <w:lang w:val="pl-PL"/>
              </w:rPr>
              <w:t>Kraj /Polska/</w:t>
            </w:r>
          </w:p>
        </w:tc>
        <w:tc>
          <w:tcPr>
            <w:tcW w:w="2132" w:type="dxa"/>
            <w:vAlign w:val="center"/>
          </w:tcPr>
          <w:p w:rsidR="00DB120C" w:rsidRPr="00765C97" w:rsidRDefault="00731F0A" w:rsidP="00692BDC">
            <w:pPr>
              <w:adjustRightInd w:val="0"/>
              <w:ind w:right="63"/>
              <w:jc w:val="right"/>
              <w:rPr>
                <w:rFonts w:ascii="Arial" w:hAnsi="Arial"/>
                <w:sz w:val="20"/>
                <w:lang w:val="pl-PL"/>
              </w:rPr>
            </w:pPr>
            <w:r w:rsidRPr="00765C97">
              <w:rPr>
                <w:rFonts w:ascii="Arial" w:hAnsi="Arial"/>
                <w:sz w:val="20"/>
                <w:lang w:val="pl-PL"/>
              </w:rPr>
              <w:t>63 34</w:t>
            </w:r>
            <w:r w:rsidR="00692BDC" w:rsidRPr="00765C97">
              <w:rPr>
                <w:rFonts w:ascii="Arial" w:hAnsi="Arial"/>
                <w:sz w:val="20"/>
                <w:lang w:val="pl-PL"/>
              </w:rPr>
              <w:t>0</w:t>
            </w:r>
          </w:p>
        </w:tc>
        <w:tc>
          <w:tcPr>
            <w:tcW w:w="2132" w:type="dxa"/>
            <w:vAlign w:val="center"/>
          </w:tcPr>
          <w:p w:rsidR="00DB120C" w:rsidRPr="00765C97" w:rsidRDefault="00DB120C" w:rsidP="00DB120C">
            <w:pPr>
              <w:adjustRightInd w:val="0"/>
              <w:ind w:right="63"/>
              <w:jc w:val="right"/>
              <w:rPr>
                <w:rFonts w:ascii="Arial" w:hAnsi="Arial"/>
                <w:sz w:val="20"/>
                <w:lang w:val="pl-PL"/>
              </w:rPr>
            </w:pPr>
            <w:r w:rsidRPr="00765C97">
              <w:rPr>
                <w:rFonts w:ascii="Arial" w:hAnsi="Arial"/>
                <w:sz w:val="20"/>
                <w:lang w:val="pl-PL"/>
              </w:rPr>
              <w:t>74 544</w:t>
            </w:r>
          </w:p>
        </w:tc>
      </w:tr>
      <w:tr w:rsidR="00DB120C" w:rsidRPr="00765C97" w:rsidTr="00FF7970">
        <w:trPr>
          <w:trHeight w:val="255"/>
        </w:trPr>
        <w:tc>
          <w:tcPr>
            <w:tcW w:w="2062" w:type="dxa"/>
            <w:vAlign w:val="center"/>
          </w:tcPr>
          <w:p w:rsidR="00DB120C" w:rsidRPr="00765C97" w:rsidRDefault="00DB120C">
            <w:pPr>
              <w:adjustRightInd w:val="0"/>
              <w:rPr>
                <w:rFonts w:ascii="Arial" w:hAnsi="Arial"/>
                <w:sz w:val="20"/>
                <w:lang w:val="pl-PL"/>
              </w:rPr>
            </w:pPr>
            <w:r w:rsidRPr="00765C97">
              <w:rPr>
                <w:rFonts w:ascii="Arial" w:hAnsi="Arial"/>
                <w:sz w:val="20"/>
                <w:lang w:val="pl-PL"/>
              </w:rPr>
              <w:t>Rejon DACH</w:t>
            </w:r>
          </w:p>
        </w:tc>
        <w:tc>
          <w:tcPr>
            <w:tcW w:w="2132" w:type="dxa"/>
            <w:vAlign w:val="center"/>
          </w:tcPr>
          <w:p w:rsidR="00DB120C" w:rsidRPr="00765C97" w:rsidRDefault="00731F0A" w:rsidP="00FF7970">
            <w:pPr>
              <w:adjustRightInd w:val="0"/>
              <w:ind w:right="63"/>
              <w:jc w:val="right"/>
              <w:rPr>
                <w:rFonts w:ascii="Arial" w:hAnsi="Arial"/>
                <w:sz w:val="20"/>
                <w:lang w:val="pl-PL"/>
              </w:rPr>
            </w:pPr>
            <w:r w:rsidRPr="00765C97">
              <w:rPr>
                <w:rFonts w:ascii="Arial" w:hAnsi="Arial"/>
                <w:sz w:val="20"/>
                <w:lang w:val="pl-PL"/>
              </w:rPr>
              <w:t>57 951</w:t>
            </w:r>
          </w:p>
        </w:tc>
        <w:tc>
          <w:tcPr>
            <w:tcW w:w="2132" w:type="dxa"/>
            <w:vAlign w:val="center"/>
          </w:tcPr>
          <w:p w:rsidR="00DB120C" w:rsidRPr="00765C97" w:rsidRDefault="00DB120C" w:rsidP="00DB120C">
            <w:pPr>
              <w:adjustRightInd w:val="0"/>
              <w:ind w:right="63"/>
              <w:jc w:val="right"/>
              <w:rPr>
                <w:rFonts w:ascii="Arial" w:hAnsi="Arial"/>
                <w:sz w:val="20"/>
                <w:lang w:val="pl-PL"/>
              </w:rPr>
            </w:pPr>
            <w:r w:rsidRPr="00765C97">
              <w:rPr>
                <w:rFonts w:ascii="Arial" w:hAnsi="Arial"/>
                <w:sz w:val="20"/>
                <w:lang w:val="pl-PL"/>
              </w:rPr>
              <w:t>18 024</w:t>
            </w:r>
          </w:p>
        </w:tc>
      </w:tr>
      <w:tr w:rsidR="00DB120C" w:rsidRPr="00765C97" w:rsidTr="00FF7970">
        <w:trPr>
          <w:trHeight w:val="255"/>
        </w:trPr>
        <w:tc>
          <w:tcPr>
            <w:tcW w:w="2062" w:type="dxa"/>
            <w:vAlign w:val="center"/>
          </w:tcPr>
          <w:p w:rsidR="00DB120C" w:rsidRPr="00765C97" w:rsidRDefault="00DB120C">
            <w:pPr>
              <w:adjustRightInd w:val="0"/>
              <w:rPr>
                <w:rFonts w:ascii="Arial" w:hAnsi="Arial"/>
                <w:sz w:val="20"/>
                <w:lang w:val="pl-PL"/>
              </w:rPr>
            </w:pPr>
            <w:r w:rsidRPr="00765C97">
              <w:rPr>
                <w:rFonts w:ascii="Arial" w:hAnsi="Arial"/>
                <w:sz w:val="20"/>
                <w:lang w:val="pl-PL"/>
              </w:rPr>
              <w:t>Europa - pozostałe</w:t>
            </w:r>
          </w:p>
        </w:tc>
        <w:tc>
          <w:tcPr>
            <w:tcW w:w="2132" w:type="dxa"/>
            <w:vAlign w:val="center"/>
          </w:tcPr>
          <w:p w:rsidR="00DB120C" w:rsidRPr="00765C97" w:rsidRDefault="00731F0A" w:rsidP="00FF7970">
            <w:pPr>
              <w:adjustRightInd w:val="0"/>
              <w:ind w:right="63"/>
              <w:jc w:val="right"/>
              <w:rPr>
                <w:rFonts w:ascii="Arial" w:hAnsi="Arial"/>
                <w:sz w:val="20"/>
                <w:lang w:val="pl-PL"/>
              </w:rPr>
            </w:pPr>
            <w:r w:rsidRPr="00765C97">
              <w:rPr>
                <w:rFonts w:ascii="Arial" w:hAnsi="Arial"/>
                <w:sz w:val="20"/>
                <w:lang w:val="pl-PL"/>
              </w:rPr>
              <w:t>976</w:t>
            </w:r>
          </w:p>
        </w:tc>
        <w:tc>
          <w:tcPr>
            <w:tcW w:w="2132" w:type="dxa"/>
            <w:vAlign w:val="center"/>
          </w:tcPr>
          <w:p w:rsidR="00DB120C" w:rsidRPr="00765C97" w:rsidRDefault="00DB120C" w:rsidP="00DB120C">
            <w:pPr>
              <w:adjustRightInd w:val="0"/>
              <w:ind w:right="63"/>
              <w:jc w:val="right"/>
              <w:rPr>
                <w:rFonts w:ascii="Arial" w:hAnsi="Arial"/>
                <w:sz w:val="20"/>
                <w:lang w:val="pl-PL"/>
              </w:rPr>
            </w:pPr>
            <w:r w:rsidRPr="00765C97">
              <w:rPr>
                <w:rFonts w:ascii="Arial" w:hAnsi="Arial"/>
                <w:sz w:val="20"/>
                <w:lang w:val="pl-PL"/>
              </w:rPr>
              <w:t>2 004</w:t>
            </w:r>
          </w:p>
        </w:tc>
      </w:tr>
      <w:tr w:rsidR="00DB120C" w:rsidRPr="00765C97" w:rsidTr="00FF7970">
        <w:trPr>
          <w:trHeight w:val="255"/>
        </w:trPr>
        <w:tc>
          <w:tcPr>
            <w:tcW w:w="2062" w:type="dxa"/>
            <w:vAlign w:val="center"/>
          </w:tcPr>
          <w:p w:rsidR="00DB120C" w:rsidRPr="00765C97" w:rsidRDefault="00DB120C">
            <w:pPr>
              <w:adjustRightInd w:val="0"/>
              <w:rPr>
                <w:rFonts w:ascii="Arial" w:hAnsi="Arial"/>
                <w:sz w:val="20"/>
                <w:lang w:val="pl-PL"/>
              </w:rPr>
            </w:pPr>
            <w:r w:rsidRPr="00765C97">
              <w:rPr>
                <w:rFonts w:ascii="Arial" w:hAnsi="Arial"/>
                <w:sz w:val="20"/>
                <w:lang w:val="pl-PL"/>
              </w:rPr>
              <w:t>Ameryka</w:t>
            </w:r>
          </w:p>
        </w:tc>
        <w:tc>
          <w:tcPr>
            <w:tcW w:w="2132" w:type="dxa"/>
            <w:vAlign w:val="center"/>
          </w:tcPr>
          <w:p w:rsidR="00DB120C" w:rsidRPr="00765C97" w:rsidRDefault="00731F0A" w:rsidP="00FF7970">
            <w:pPr>
              <w:adjustRightInd w:val="0"/>
              <w:ind w:right="63"/>
              <w:jc w:val="right"/>
              <w:rPr>
                <w:rFonts w:ascii="Arial" w:hAnsi="Arial"/>
                <w:sz w:val="20"/>
                <w:lang w:val="pl-PL"/>
              </w:rPr>
            </w:pPr>
            <w:r w:rsidRPr="00765C97">
              <w:rPr>
                <w:rFonts w:ascii="Arial" w:hAnsi="Arial"/>
                <w:sz w:val="20"/>
                <w:lang w:val="pl-PL"/>
              </w:rPr>
              <w:t>524</w:t>
            </w:r>
          </w:p>
        </w:tc>
        <w:tc>
          <w:tcPr>
            <w:tcW w:w="2132" w:type="dxa"/>
            <w:vAlign w:val="center"/>
          </w:tcPr>
          <w:p w:rsidR="00DB120C" w:rsidRPr="00765C97" w:rsidRDefault="00DB120C" w:rsidP="00DB120C">
            <w:pPr>
              <w:adjustRightInd w:val="0"/>
              <w:ind w:right="63"/>
              <w:jc w:val="right"/>
              <w:rPr>
                <w:rFonts w:ascii="Arial" w:hAnsi="Arial"/>
                <w:sz w:val="20"/>
                <w:lang w:val="pl-PL"/>
              </w:rPr>
            </w:pPr>
            <w:r w:rsidRPr="00765C97">
              <w:rPr>
                <w:rFonts w:ascii="Arial" w:hAnsi="Arial"/>
                <w:sz w:val="20"/>
                <w:lang w:val="pl-PL"/>
              </w:rPr>
              <w:t>945</w:t>
            </w:r>
          </w:p>
        </w:tc>
      </w:tr>
      <w:tr w:rsidR="00DB120C" w:rsidRPr="00765C97" w:rsidTr="00FF7970">
        <w:trPr>
          <w:trHeight w:val="255"/>
        </w:trPr>
        <w:tc>
          <w:tcPr>
            <w:tcW w:w="2062" w:type="dxa"/>
            <w:vAlign w:val="center"/>
          </w:tcPr>
          <w:p w:rsidR="00DB120C" w:rsidRPr="00765C97" w:rsidRDefault="00DB120C">
            <w:pPr>
              <w:adjustRightInd w:val="0"/>
              <w:rPr>
                <w:rFonts w:ascii="Arial" w:hAnsi="Arial"/>
                <w:sz w:val="20"/>
                <w:lang w:val="pl-PL"/>
              </w:rPr>
            </w:pPr>
            <w:r w:rsidRPr="00765C97">
              <w:rPr>
                <w:rFonts w:ascii="Arial" w:hAnsi="Arial"/>
                <w:sz w:val="20"/>
                <w:lang w:val="pl-PL"/>
              </w:rPr>
              <w:t>Pozostałe kraje</w:t>
            </w:r>
          </w:p>
        </w:tc>
        <w:tc>
          <w:tcPr>
            <w:tcW w:w="2132" w:type="dxa"/>
            <w:tcBorders>
              <w:bottom w:val="single" w:sz="4" w:space="0" w:color="auto"/>
            </w:tcBorders>
            <w:vAlign w:val="center"/>
          </w:tcPr>
          <w:p w:rsidR="00DB120C" w:rsidRPr="00765C97" w:rsidRDefault="00692BDC" w:rsidP="00FF7970">
            <w:pPr>
              <w:adjustRightInd w:val="0"/>
              <w:ind w:right="63"/>
              <w:jc w:val="right"/>
              <w:rPr>
                <w:rFonts w:ascii="Arial" w:hAnsi="Arial"/>
                <w:sz w:val="20"/>
                <w:lang w:val="pl-PL"/>
              </w:rPr>
            </w:pPr>
            <w:r w:rsidRPr="00765C97">
              <w:rPr>
                <w:rFonts w:ascii="Arial" w:hAnsi="Arial"/>
                <w:sz w:val="20"/>
                <w:lang w:val="pl-PL"/>
              </w:rPr>
              <w:t>-</w:t>
            </w:r>
          </w:p>
        </w:tc>
        <w:tc>
          <w:tcPr>
            <w:tcW w:w="2132" w:type="dxa"/>
            <w:tcBorders>
              <w:bottom w:val="single" w:sz="4" w:space="0" w:color="auto"/>
            </w:tcBorders>
            <w:vAlign w:val="center"/>
          </w:tcPr>
          <w:p w:rsidR="00DB120C" w:rsidRPr="00765C97" w:rsidRDefault="00DB120C" w:rsidP="00DB120C">
            <w:pPr>
              <w:adjustRightInd w:val="0"/>
              <w:ind w:right="63"/>
              <w:jc w:val="right"/>
              <w:rPr>
                <w:rFonts w:ascii="Arial" w:hAnsi="Arial"/>
                <w:sz w:val="20"/>
                <w:lang w:val="pl-PL"/>
              </w:rPr>
            </w:pPr>
            <w:r w:rsidRPr="00765C97">
              <w:rPr>
                <w:rFonts w:ascii="Arial" w:hAnsi="Arial"/>
                <w:sz w:val="20"/>
                <w:lang w:val="pl-PL"/>
              </w:rPr>
              <w:t>2</w:t>
            </w:r>
          </w:p>
        </w:tc>
      </w:tr>
      <w:tr w:rsidR="00DB120C" w:rsidRPr="00765C97" w:rsidTr="00FF7970">
        <w:trPr>
          <w:trHeight w:val="255"/>
        </w:trPr>
        <w:tc>
          <w:tcPr>
            <w:tcW w:w="2062" w:type="dxa"/>
            <w:vAlign w:val="center"/>
          </w:tcPr>
          <w:p w:rsidR="00DB120C" w:rsidRPr="00765C97" w:rsidRDefault="00DB120C">
            <w:pPr>
              <w:adjustRightInd w:val="0"/>
              <w:rPr>
                <w:rFonts w:ascii="Arial" w:hAnsi="Arial"/>
                <w:b/>
                <w:sz w:val="20"/>
                <w:lang w:val="pl-PL"/>
              </w:rPr>
            </w:pPr>
            <w:r w:rsidRPr="00765C97">
              <w:rPr>
                <w:rFonts w:ascii="Arial" w:hAnsi="Arial"/>
                <w:b/>
                <w:sz w:val="20"/>
                <w:lang w:val="pl-PL"/>
              </w:rPr>
              <w:t>RAZEM</w:t>
            </w:r>
          </w:p>
        </w:tc>
        <w:tc>
          <w:tcPr>
            <w:tcW w:w="2132" w:type="dxa"/>
            <w:tcBorders>
              <w:top w:val="single" w:sz="4" w:space="0" w:color="auto"/>
            </w:tcBorders>
            <w:vAlign w:val="center"/>
          </w:tcPr>
          <w:p w:rsidR="00DB120C" w:rsidRPr="00765C97" w:rsidRDefault="00731F0A" w:rsidP="00FF7970">
            <w:pPr>
              <w:adjustRightInd w:val="0"/>
              <w:ind w:right="63"/>
              <w:jc w:val="right"/>
              <w:rPr>
                <w:rFonts w:ascii="Arial" w:hAnsi="Arial"/>
                <w:b/>
                <w:sz w:val="20"/>
                <w:lang w:val="pl-PL"/>
              </w:rPr>
            </w:pPr>
            <w:r w:rsidRPr="00765C97">
              <w:rPr>
                <w:rFonts w:ascii="Arial" w:hAnsi="Arial"/>
                <w:b/>
                <w:sz w:val="20"/>
                <w:lang w:val="pl-PL"/>
              </w:rPr>
              <w:t>122 791</w:t>
            </w:r>
          </w:p>
        </w:tc>
        <w:tc>
          <w:tcPr>
            <w:tcW w:w="2132" w:type="dxa"/>
            <w:tcBorders>
              <w:top w:val="single" w:sz="4" w:space="0" w:color="auto"/>
            </w:tcBorders>
            <w:vAlign w:val="center"/>
          </w:tcPr>
          <w:p w:rsidR="00DB120C" w:rsidRPr="00765C97" w:rsidRDefault="00DB120C" w:rsidP="00DB120C">
            <w:pPr>
              <w:adjustRightInd w:val="0"/>
              <w:ind w:right="63"/>
              <w:jc w:val="right"/>
              <w:rPr>
                <w:rFonts w:ascii="Arial" w:hAnsi="Arial"/>
                <w:b/>
                <w:sz w:val="20"/>
                <w:lang w:val="pl-PL"/>
              </w:rPr>
            </w:pPr>
            <w:r w:rsidRPr="00765C97">
              <w:rPr>
                <w:rFonts w:ascii="Arial" w:hAnsi="Arial"/>
                <w:b/>
                <w:sz w:val="20"/>
                <w:lang w:val="pl-PL"/>
              </w:rPr>
              <w:t>95 519</w:t>
            </w:r>
          </w:p>
        </w:tc>
      </w:tr>
    </w:tbl>
    <w:p w:rsidR="00B24DA9" w:rsidRPr="00765C97" w:rsidRDefault="00B24DA9" w:rsidP="00135A9A">
      <w:pPr>
        <w:pStyle w:val="Nagwek3"/>
        <w:numPr>
          <w:ilvl w:val="1"/>
          <w:numId w:val="22"/>
        </w:numPr>
        <w:spacing w:after="240"/>
        <w:ind w:left="709" w:hanging="567"/>
        <w:rPr>
          <w:spacing w:val="8"/>
          <w:sz w:val="20"/>
          <w:lang w:val="pl-PL"/>
        </w:rPr>
      </w:pPr>
      <w:bookmarkStart w:id="45" w:name="_Toc353973211"/>
      <w:r w:rsidRPr="00765C97">
        <w:rPr>
          <w:sz w:val="20"/>
          <w:lang w:val="pl-PL"/>
        </w:rPr>
        <w:t>Rzeczowe</w:t>
      </w:r>
      <w:r w:rsidRPr="00765C97">
        <w:rPr>
          <w:spacing w:val="8"/>
          <w:sz w:val="20"/>
          <w:lang w:val="pl-PL"/>
        </w:rPr>
        <w:t xml:space="preserve"> aktywa trwałe</w:t>
      </w:r>
      <w:bookmarkEnd w:id="45"/>
    </w:p>
    <w:tbl>
      <w:tblPr>
        <w:tblW w:w="8325" w:type="dxa"/>
        <w:tblInd w:w="180" w:type="dxa"/>
        <w:tblLayout w:type="fixed"/>
        <w:tblCellMar>
          <w:left w:w="0" w:type="dxa"/>
          <w:right w:w="0" w:type="dxa"/>
        </w:tblCellMar>
        <w:tblLook w:val="0000"/>
      </w:tblPr>
      <w:tblGrid>
        <w:gridCol w:w="3789"/>
        <w:gridCol w:w="1141"/>
        <w:gridCol w:w="1127"/>
        <w:gridCol w:w="1276"/>
        <w:gridCol w:w="992"/>
      </w:tblGrid>
      <w:tr w:rsidR="00B24DA9" w:rsidRPr="00765C97">
        <w:trPr>
          <w:cantSplit/>
          <w:trHeight w:val="255"/>
        </w:trPr>
        <w:tc>
          <w:tcPr>
            <w:tcW w:w="3789" w:type="dxa"/>
            <w:tcBorders>
              <w:top w:val="nil"/>
              <w:left w:val="nil"/>
              <w:bottom w:val="nil"/>
              <w:right w:val="nil"/>
            </w:tcBorders>
          </w:tcPr>
          <w:p w:rsidR="00B24DA9" w:rsidRPr="00765C97" w:rsidRDefault="00B24DA9">
            <w:pPr>
              <w:spacing w:before="260"/>
              <w:rPr>
                <w:rFonts w:ascii="Arial" w:hAnsi="Arial"/>
                <w:b/>
                <w:sz w:val="20"/>
                <w:lang w:val="pl-PL"/>
              </w:rPr>
            </w:pPr>
          </w:p>
        </w:tc>
        <w:tc>
          <w:tcPr>
            <w:tcW w:w="1141" w:type="dxa"/>
            <w:tcBorders>
              <w:top w:val="nil"/>
              <w:left w:val="nil"/>
              <w:right w:val="nil"/>
            </w:tcBorders>
            <w:vAlign w:val="center"/>
          </w:tcPr>
          <w:p w:rsidR="00B24DA9" w:rsidRPr="00765C97" w:rsidRDefault="00B24DA9">
            <w:pPr>
              <w:ind w:right="90"/>
              <w:jc w:val="right"/>
              <w:rPr>
                <w:rFonts w:ascii="Arial" w:hAnsi="Arial"/>
                <w:b/>
                <w:spacing w:val="-9"/>
                <w:sz w:val="20"/>
                <w:lang w:val="pl-PL"/>
              </w:rPr>
            </w:pPr>
            <w:r w:rsidRPr="00765C97">
              <w:rPr>
                <w:rFonts w:ascii="Arial" w:hAnsi="Arial"/>
                <w:b/>
                <w:spacing w:val="-9"/>
                <w:sz w:val="20"/>
                <w:lang w:val="pl-PL"/>
              </w:rPr>
              <w:t>Grunty, budynki i budowle</w:t>
            </w:r>
          </w:p>
        </w:tc>
        <w:tc>
          <w:tcPr>
            <w:tcW w:w="1127" w:type="dxa"/>
            <w:tcBorders>
              <w:top w:val="nil"/>
              <w:left w:val="nil"/>
              <w:right w:val="nil"/>
            </w:tcBorders>
            <w:vAlign w:val="center"/>
          </w:tcPr>
          <w:p w:rsidR="00B24DA9" w:rsidRPr="00765C97" w:rsidRDefault="00B24DA9">
            <w:pPr>
              <w:ind w:right="90"/>
              <w:jc w:val="right"/>
              <w:rPr>
                <w:rFonts w:ascii="Arial" w:hAnsi="Arial"/>
                <w:b/>
                <w:spacing w:val="-9"/>
                <w:sz w:val="20"/>
                <w:lang w:val="pl-PL"/>
              </w:rPr>
            </w:pPr>
            <w:r w:rsidRPr="00765C97">
              <w:rPr>
                <w:rFonts w:ascii="Arial" w:hAnsi="Arial"/>
                <w:b/>
                <w:spacing w:val="-9"/>
                <w:sz w:val="20"/>
                <w:lang w:val="pl-PL"/>
              </w:rPr>
              <w:t>Środki transportu i urządzenia</w:t>
            </w:r>
          </w:p>
        </w:tc>
        <w:tc>
          <w:tcPr>
            <w:tcW w:w="1276" w:type="dxa"/>
            <w:tcBorders>
              <w:top w:val="nil"/>
              <w:left w:val="nil"/>
              <w:right w:val="nil"/>
            </w:tcBorders>
            <w:vAlign w:val="center"/>
          </w:tcPr>
          <w:p w:rsidR="00B24DA9" w:rsidRPr="00765C97" w:rsidRDefault="00B24DA9">
            <w:pPr>
              <w:ind w:right="90"/>
              <w:jc w:val="right"/>
              <w:rPr>
                <w:rFonts w:ascii="Arial" w:hAnsi="Arial"/>
                <w:b/>
                <w:spacing w:val="-9"/>
                <w:sz w:val="20"/>
                <w:lang w:val="pl-PL"/>
              </w:rPr>
            </w:pPr>
            <w:r w:rsidRPr="00765C97">
              <w:rPr>
                <w:rFonts w:ascii="Arial" w:hAnsi="Arial"/>
                <w:b/>
                <w:spacing w:val="-9"/>
                <w:sz w:val="20"/>
                <w:lang w:val="pl-PL"/>
              </w:rPr>
              <w:t xml:space="preserve">Meble, wyposażenie </w:t>
            </w:r>
            <w:r w:rsidRPr="00765C97">
              <w:rPr>
                <w:rFonts w:ascii="Arial" w:hAnsi="Arial"/>
                <w:b/>
                <w:spacing w:val="-9"/>
                <w:sz w:val="20"/>
                <w:lang w:val="pl-PL"/>
              </w:rPr>
              <w:br/>
              <w:t>i sprzęt</w:t>
            </w:r>
          </w:p>
        </w:tc>
        <w:tc>
          <w:tcPr>
            <w:tcW w:w="992" w:type="dxa"/>
            <w:tcBorders>
              <w:top w:val="nil"/>
              <w:left w:val="nil"/>
              <w:right w:val="nil"/>
            </w:tcBorders>
            <w:vAlign w:val="center"/>
          </w:tcPr>
          <w:p w:rsidR="00B24DA9" w:rsidRPr="00765C97" w:rsidRDefault="00B24DA9">
            <w:pPr>
              <w:ind w:right="90"/>
              <w:jc w:val="right"/>
              <w:rPr>
                <w:rFonts w:ascii="Arial" w:hAnsi="Arial"/>
                <w:b/>
                <w:spacing w:val="-9"/>
                <w:sz w:val="20"/>
                <w:lang w:val="pl-PL"/>
              </w:rPr>
            </w:pPr>
            <w:r w:rsidRPr="00765C97">
              <w:rPr>
                <w:rFonts w:ascii="Arial" w:hAnsi="Arial"/>
                <w:b/>
                <w:spacing w:val="-9"/>
                <w:sz w:val="20"/>
                <w:lang w:val="pl-PL"/>
              </w:rPr>
              <w:t>Ogółem</w:t>
            </w:r>
          </w:p>
        </w:tc>
      </w:tr>
      <w:tr w:rsidR="007812FC" w:rsidRPr="00765C97">
        <w:trPr>
          <w:cantSplit/>
          <w:trHeight w:val="255"/>
        </w:trPr>
        <w:tc>
          <w:tcPr>
            <w:tcW w:w="3789" w:type="dxa"/>
            <w:tcBorders>
              <w:top w:val="nil"/>
              <w:left w:val="nil"/>
              <w:bottom w:val="nil"/>
              <w:right w:val="nil"/>
            </w:tcBorders>
            <w:vAlign w:val="center"/>
          </w:tcPr>
          <w:p w:rsidR="007812FC" w:rsidRPr="00765C97" w:rsidRDefault="00DB120C" w:rsidP="007812FC">
            <w:pPr>
              <w:rPr>
                <w:rFonts w:ascii="Arial" w:hAnsi="Arial"/>
                <w:color w:val="000000"/>
                <w:sz w:val="20"/>
                <w:lang w:val="pl-PL"/>
              </w:rPr>
            </w:pPr>
            <w:r w:rsidRPr="00765C97">
              <w:rPr>
                <w:rFonts w:ascii="Arial" w:hAnsi="Arial"/>
                <w:b/>
                <w:color w:val="000000"/>
                <w:sz w:val="20"/>
                <w:lang w:val="pl-PL"/>
              </w:rPr>
              <w:t>Stan na 1 stycznia 2011</w:t>
            </w:r>
            <w:r w:rsidR="007812FC" w:rsidRPr="00765C97">
              <w:rPr>
                <w:rFonts w:ascii="Arial" w:hAnsi="Arial"/>
                <w:b/>
                <w:color w:val="000000"/>
                <w:sz w:val="20"/>
                <w:lang w:val="pl-PL"/>
              </w:rPr>
              <w:t xml:space="preserve"> r.</w:t>
            </w:r>
          </w:p>
        </w:tc>
        <w:tc>
          <w:tcPr>
            <w:tcW w:w="1141" w:type="dxa"/>
            <w:tcBorders>
              <w:top w:val="nil"/>
              <w:left w:val="nil"/>
              <w:right w:val="nil"/>
            </w:tcBorders>
            <w:vAlign w:val="center"/>
          </w:tcPr>
          <w:p w:rsidR="007812FC" w:rsidRPr="00765C97" w:rsidRDefault="007812FC" w:rsidP="007812FC">
            <w:pPr>
              <w:ind w:right="90"/>
              <w:jc w:val="right"/>
              <w:rPr>
                <w:rFonts w:ascii="Arial" w:hAnsi="Arial"/>
                <w:sz w:val="20"/>
                <w:lang w:val="pl-PL"/>
              </w:rPr>
            </w:pPr>
          </w:p>
        </w:tc>
        <w:tc>
          <w:tcPr>
            <w:tcW w:w="1127" w:type="dxa"/>
            <w:tcBorders>
              <w:top w:val="nil"/>
              <w:left w:val="nil"/>
              <w:right w:val="nil"/>
            </w:tcBorders>
            <w:vAlign w:val="center"/>
          </w:tcPr>
          <w:p w:rsidR="007812FC" w:rsidRPr="00765C97" w:rsidRDefault="007812FC" w:rsidP="007812FC">
            <w:pPr>
              <w:ind w:right="90"/>
              <w:jc w:val="right"/>
              <w:rPr>
                <w:rFonts w:ascii="Arial" w:hAnsi="Arial"/>
                <w:sz w:val="20"/>
                <w:lang w:val="pl-PL"/>
              </w:rPr>
            </w:pPr>
          </w:p>
        </w:tc>
        <w:tc>
          <w:tcPr>
            <w:tcW w:w="1276" w:type="dxa"/>
            <w:tcBorders>
              <w:top w:val="nil"/>
              <w:left w:val="nil"/>
              <w:right w:val="nil"/>
            </w:tcBorders>
            <w:vAlign w:val="center"/>
          </w:tcPr>
          <w:p w:rsidR="007812FC" w:rsidRPr="00765C97" w:rsidRDefault="007812FC" w:rsidP="007812FC">
            <w:pPr>
              <w:ind w:right="90"/>
              <w:jc w:val="right"/>
              <w:rPr>
                <w:rFonts w:ascii="Arial" w:hAnsi="Arial"/>
                <w:sz w:val="20"/>
                <w:lang w:val="pl-PL"/>
              </w:rPr>
            </w:pPr>
          </w:p>
        </w:tc>
        <w:tc>
          <w:tcPr>
            <w:tcW w:w="992" w:type="dxa"/>
            <w:tcBorders>
              <w:top w:val="nil"/>
              <w:left w:val="nil"/>
              <w:right w:val="nil"/>
            </w:tcBorders>
            <w:vAlign w:val="center"/>
          </w:tcPr>
          <w:p w:rsidR="007812FC" w:rsidRPr="00765C97" w:rsidRDefault="007812FC" w:rsidP="007812FC">
            <w:pPr>
              <w:ind w:right="90"/>
              <w:jc w:val="right"/>
              <w:rPr>
                <w:rFonts w:ascii="Arial" w:hAnsi="Arial"/>
                <w:sz w:val="20"/>
                <w:lang w:val="pl-PL"/>
              </w:rPr>
            </w:pPr>
          </w:p>
        </w:tc>
      </w:tr>
      <w:tr w:rsidR="00DB120C" w:rsidRPr="00765C97">
        <w:trPr>
          <w:cantSplit/>
          <w:trHeight w:val="255"/>
        </w:trPr>
        <w:tc>
          <w:tcPr>
            <w:tcW w:w="3789" w:type="dxa"/>
            <w:tcBorders>
              <w:top w:val="nil"/>
              <w:left w:val="nil"/>
              <w:bottom w:val="nil"/>
              <w:right w:val="nil"/>
            </w:tcBorders>
            <w:vAlign w:val="center"/>
          </w:tcPr>
          <w:p w:rsidR="00DB120C" w:rsidRPr="00765C97" w:rsidRDefault="00DB120C" w:rsidP="007812FC">
            <w:pPr>
              <w:rPr>
                <w:rFonts w:ascii="Arial" w:hAnsi="Arial"/>
                <w:color w:val="000000"/>
                <w:sz w:val="20"/>
                <w:lang w:val="pl-PL"/>
              </w:rPr>
            </w:pPr>
            <w:r w:rsidRPr="00765C97">
              <w:rPr>
                <w:rFonts w:ascii="Arial" w:hAnsi="Arial"/>
                <w:color w:val="000000"/>
                <w:sz w:val="20"/>
                <w:lang w:val="pl-PL"/>
              </w:rPr>
              <w:t>Koszt lub wartość z wyceny (brutto)</w:t>
            </w:r>
          </w:p>
        </w:tc>
        <w:tc>
          <w:tcPr>
            <w:tcW w:w="1141" w:type="dxa"/>
            <w:tcBorders>
              <w:left w:val="nil"/>
              <w:right w:val="nil"/>
            </w:tcBorders>
            <w:vAlign w:val="center"/>
          </w:tcPr>
          <w:p w:rsidR="00DB120C" w:rsidRPr="00765C97" w:rsidRDefault="00DB120C" w:rsidP="00DB120C">
            <w:pPr>
              <w:ind w:right="90"/>
              <w:jc w:val="right"/>
              <w:rPr>
                <w:rFonts w:ascii="Arial" w:hAnsi="Arial"/>
                <w:sz w:val="20"/>
                <w:lang w:val="pl-PL"/>
              </w:rPr>
            </w:pPr>
            <w:r w:rsidRPr="00765C97">
              <w:rPr>
                <w:rFonts w:ascii="Arial" w:hAnsi="Arial"/>
                <w:sz w:val="20"/>
                <w:lang w:val="pl-PL"/>
              </w:rPr>
              <w:t>252 892</w:t>
            </w:r>
          </w:p>
        </w:tc>
        <w:tc>
          <w:tcPr>
            <w:tcW w:w="1127" w:type="dxa"/>
            <w:tcBorders>
              <w:left w:val="nil"/>
              <w:right w:val="nil"/>
            </w:tcBorders>
            <w:vAlign w:val="center"/>
          </w:tcPr>
          <w:p w:rsidR="00DB120C" w:rsidRPr="00765C97" w:rsidRDefault="00DB120C" w:rsidP="00DB120C">
            <w:pPr>
              <w:ind w:right="90"/>
              <w:jc w:val="right"/>
              <w:rPr>
                <w:rFonts w:ascii="Arial" w:hAnsi="Arial"/>
                <w:sz w:val="20"/>
                <w:lang w:val="pl-PL"/>
              </w:rPr>
            </w:pPr>
            <w:r w:rsidRPr="00765C97">
              <w:rPr>
                <w:rFonts w:ascii="Arial" w:hAnsi="Arial"/>
                <w:sz w:val="20"/>
                <w:lang w:val="pl-PL"/>
              </w:rPr>
              <w:t>151 627</w:t>
            </w:r>
          </w:p>
        </w:tc>
        <w:tc>
          <w:tcPr>
            <w:tcW w:w="1276" w:type="dxa"/>
            <w:tcBorders>
              <w:left w:val="nil"/>
              <w:right w:val="nil"/>
            </w:tcBorders>
            <w:vAlign w:val="center"/>
          </w:tcPr>
          <w:p w:rsidR="00DB120C" w:rsidRPr="00765C97" w:rsidRDefault="00DB120C" w:rsidP="00DB120C">
            <w:pPr>
              <w:ind w:right="90"/>
              <w:jc w:val="right"/>
              <w:rPr>
                <w:rFonts w:ascii="Arial" w:hAnsi="Arial"/>
                <w:sz w:val="20"/>
                <w:lang w:val="pl-PL"/>
              </w:rPr>
            </w:pPr>
            <w:r w:rsidRPr="00765C97">
              <w:rPr>
                <w:rFonts w:ascii="Arial" w:hAnsi="Arial"/>
                <w:sz w:val="20"/>
                <w:lang w:val="pl-PL"/>
              </w:rPr>
              <w:t>16 155</w:t>
            </w:r>
          </w:p>
        </w:tc>
        <w:tc>
          <w:tcPr>
            <w:tcW w:w="992" w:type="dxa"/>
            <w:tcBorders>
              <w:left w:val="nil"/>
              <w:right w:val="nil"/>
            </w:tcBorders>
            <w:vAlign w:val="center"/>
          </w:tcPr>
          <w:p w:rsidR="00DB120C" w:rsidRPr="00765C97" w:rsidRDefault="00DB120C" w:rsidP="00DB120C">
            <w:pPr>
              <w:ind w:right="90"/>
              <w:jc w:val="right"/>
              <w:rPr>
                <w:rFonts w:ascii="Arial" w:hAnsi="Arial"/>
                <w:sz w:val="20"/>
                <w:lang w:val="pl-PL"/>
              </w:rPr>
            </w:pPr>
            <w:r w:rsidRPr="00765C97">
              <w:rPr>
                <w:rFonts w:ascii="Arial" w:hAnsi="Arial"/>
                <w:sz w:val="20"/>
                <w:lang w:val="pl-PL"/>
              </w:rPr>
              <w:t>420 674</w:t>
            </w:r>
          </w:p>
        </w:tc>
      </w:tr>
      <w:tr w:rsidR="00DB120C" w:rsidRPr="00765C97">
        <w:trPr>
          <w:cantSplit/>
          <w:trHeight w:val="255"/>
        </w:trPr>
        <w:tc>
          <w:tcPr>
            <w:tcW w:w="3789" w:type="dxa"/>
            <w:tcBorders>
              <w:top w:val="nil"/>
              <w:left w:val="nil"/>
              <w:bottom w:val="nil"/>
              <w:right w:val="nil"/>
            </w:tcBorders>
            <w:vAlign w:val="center"/>
          </w:tcPr>
          <w:p w:rsidR="00DB120C" w:rsidRPr="00765C97" w:rsidRDefault="00DB120C" w:rsidP="007812FC">
            <w:pPr>
              <w:rPr>
                <w:rFonts w:ascii="Arial" w:hAnsi="Arial"/>
                <w:color w:val="000000"/>
                <w:sz w:val="20"/>
                <w:lang w:val="pl-PL"/>
              </w:rPr>
            </w:pPr>
            <w:r w:rsidRPr="00765C97">
              <w:rPr>
                <w:rFonts w:ascii="Arial" w:hAnsi="Arial"/>
                <w:color w:val="000000"/>
                <w:sz w:val="20"/>
                <w:lang w:val="pl-PL"/>
              </w:rPr>
              <w:t>Umorzenie</w:t>
            </w:r>
          </w:p>
        </w:tc>
        <w:tc>
          <w:tcPr>
            <w:tcW w:w="1141" w:type="dxa"/>
            <w:tcBorders>
              <w:left w:val="nil"/>
              <w:bottom w:val="single" w:sz="4" w:space="0" w:color="auto"/>
              <w:right w:val="nil"/>
            </w:tcBorders>
            <w:vAlign w:val="center"/>
          </w:tcPr>
          <w:p w:rsidR="00DB120C" w:rsidRPr="00765C97" w:rsidRDefault="00DB120C" w:rsidP="00DB120C">
            <w:pPr>
              <w:ind w:right="90"/>
              <w:jc w:val="right"/>
              <w:rPr>
                <w:rFonts w:ascii="Arial" w:hAnsi="Arial"/>
                <w:sz w:val="20"/>
                <w:lang w:val="pl-PL"/>
              </w:rPr>
            </w:pPr>
            <w:r w:rsidRPr="00765C97">
              <w:rPr>
                <w:rFonts w:ascii="Arial" w:hAnsi="Arial"/>
                <w:sz w:val="20"/>
                <w:lang w:val="pl-PL"/>
              </w:rPr>
              <w:t>(23 592)</w:t>
            </w:r>
          </w:p>
        </w:tc>
        <w:tc>
          <w:tcPr>
            <w:tcW w:w="1127" w:type="dxa"/>
            <w:tcBorders>
              <w:left w:val="nil"/>
              <w:bottom w:val="single" w:sz="4" w:space="0" w:color="auto"/>
              <w:right w:val="nil"/>
            </w:tcBorders>
            <w:vAlign w:val="center"/>
          </w:tcPr>
          <w:p w:rsidR="00DB120C" w:rsidRPr="00765C97" w:rsidRDefault="00DB120C" w:rsidP="00DB120C">
            <w:pPr>
              <w:ind w:right="90"/>
              <w:jc w:val="right"/>
              <w:rPr>
                <w:rFonts w:ascii="Arial" w:hAnsi="Arial"/>
                <w:sz w:val="20"/>
                <w:lang w:val="pl-PL"/>
              </w:rPr>
            </w:pPr>
            <w:r w:rsidRPr="00765C97">
              <w:rPr>
                <w:rFonts w:ascii="Arial" w:hAnsi="Arial"/>
                <w:sz w:val="20"/>
                <w:lang w:val="pl-PL"/>
              </w:rPr>
              <w:t>(108 549)</w:t>
            </w:r>
          </w:p>
        </w:tc>
        <w:tc>
          <w:tcPr>
            <w:tcW w:w="1276" w:type="dxa"/>
            <w:tcBorders>
              <w:left w:val="nil"/>
              <w:bottom w:val="single" w:sz="4" w:space="0" w:color="auto"/>
              <w:right w:val="nil"/>
            </w:tcBorders>
            <w:vAlign w:val="center"/>
          </w:tcPr>
          <w:p w:rsidR="00DB120C" w:rsidRPr="00765C97" w:rsidRDefault="00DB120C" w:rsidP="00DB120C">
            <w:pPr>
              <w:ind w:right="90"/>
              <w:jc w:val="right"/>
              <w:rPr>
                <w:rFonts w:ascii="Arial" w:hAnsi="Arial"/>
                <w:sz w:val="20"/>
                <w:lang w:val="pl-PL"/>
              </w:rPr>
            </w:pPr>
            <w:r w:rsidRPr="00765C97">
              <w:rPr>
                <w:rFonts w:ascii="Arial" w:hAnsi="Arial"/>
                <w:sz w:val="20"/>
                <w:lang w:val="pl-PL"/>
              </w:rPr>
              <w:t>(12 870)</w:t>
            </w:r>
          </w:p>
        </w:tc>
        <w:tc>
          <w:tcPr>
            <w:tcW w:w="992" w:type="dxa"/>
            <w:tcBorders>
              <w:left w:val="nil"/>
              <w:bottom w:val="single" w:sz="4" w:space="0" w:color="auto"/>
              <w:right w:val="nil"/>
            </w:tcBorders>
            <w:vAlign w:val="center"/>
          </w:tcPr>
          <w:p w:rsidR="00DB120C" w:rsidRPr="00765C97" w:rsidRDefault="00DB120C" w:rsidP="00DB120C">
            <w:pPr>
              <w:ind w:right="90"/>
              <w:jc w:val="right"/>
              <w:rPr>
                <w:rFonts w:ascii="Arial" w:hAnsi="Arial"/>
                <w:sz w:val="20"/>
                <w:lang w:val="pl-PL"/>
              </w:rPr>
            </w:pPr>
            <w:r w:rsidRPr="00765C97">
              <w:rPr>
                <w:rFonts w:ascii="Arial" w:hAnsi="Arial"/>
                <w:sz w:val="20"/>
                <w:lang w:val="pl-PL"/>
              </w:rPr>
              <w:t>(145 011)</w:t>
            </w:r>
          </w:p>
        </w:tc>
      </w:tr>
      <w:tr w:rsidR="00DB120C" w:rsidRPr="00765C97">
        <w:trPr>
          <w:cantSplit/>
          <w:trHeight w:val="255"/>
        </w:trPr>
        <w:tc>
          <w:tcPr>
            <w:tcW w:w="3789" w:type="dxa"/>
            <w:tcBorders>
              <w:top w:val="nil"/>
              <w:left w:val="nil"/>
              <w:bottom w:val="nil"/>
              <w:right w:val="nil"/>
            </w:tcBorders>
            <w:vAlign w:val="center"/>
          </w:tcPr>
          <w:p w:rsidR="00DB120C" w:rsidRPr="00765C97" w:rsidRDefault="00DB120C" w:rsidP="007812FC">
            <w:pPr>
              <w:rPr>
                <w:rFonts w:ascii="Arial" w:hAnsi="Arial"/>
                <w:color w:val="000000"/>
                <w:sz w:val="20"/>
                <w:lang w:val="pl-PL"/>
              </w:rPr>
            </w:pPr>
            <w:r w:rsidRPr="00765C97">
              <w:rPr>
                <w:rFonts w:ascii="Arial" w:hAnsi="Arial"/>
                <w:color w:val="000000"/>
                <w:sz w:val="20"/>
                <w:lang w:val="pl-PL"/>
              </w:rPr>
              <w:t>Wartość księgowa netto</w:t>
            </w:r>
          </w:p>
        </w:tc>
        <w:tc>
          <w:tcPr>
            <w:tcW w:w="1141" w:type="dxa"/>
            <w:tcBorders>
              <w:top w:val="single" w:sz="4" w:space="0" w:color="auto"/>
              <w:left w:val="nil"/>
              <w:bottom w:val="single" w:sz="4" w:space="0" w:color="auto"/>
              <w:right w:val="nil"/>
            </w:tcBorders>
            <w:vAlign w:val="center"/>
          </w:tcPr>
          <w:p w:rsidR="00DB120C" w:rsidRPr="00765C97" w:rsidRDefault="00DB120C" w:rsidP="00DB120C">
            <w:pPr>
              <w:ind w:right="90"/>
              <w:jc w:val="right"/>
              <w:rPr>
                <w:rFonts w:ascii="Arial" w:hAnsi="Arial"/>
                <w:spacing w:val="-3"/>
                <w:sz w:val="20"/>
                <w:lang w:val="pl-PL"/>
              </w:rPr>
            </w:pPr>
            <w:r w:rsidRPr="00765C97">
              <w:rPr>
                <w:rFonts w:ascii="Arial" w:hAnsi="Arial"/>
                <w:spacing w:val="-3"/>
                <w:sz w:val="20"/>
                <w:lang w:val="pl-PL"/>
              </w:rPr>
              <w:t>229 300</w:t>
            </w:r>
          </w:p>
        </w:tc>
        <w:tc>
          <w:tcPr>
            <w:tcW w:w="1127" w:type="dxa"/>
            <w:tcBorders>
              <w:top w:val="single" w:sz="4" w:space="0" w:color="auto"/>
              <w:left w:val="nil"/>
              <w:bottom w:val="single" w:sz="4" w:space="0" w:color="auto"/>
              <w:right w:val="nil"/>
            </w:tcBorders>
            <w:vAlign w:val="center"/>
          </w:tcPr>
          <w:p w:rsidR="00DB120C" w:rsidRPr="00765C97" w:rsidRDefault="00DB120C" w:rsidP="00DB120C">
            <w:pPr>
              <w:ind w:left="142" w:right="90"/>
              <w:jc w:val="right"/>
              <w:rPr>
                <w:rFonts w:ascii="Arial" w:hAnsi="Arial"/>
                <w:color w:val="000000"/>
                <w:sz w:val="20"/>
                <w:lang w:val="pl-PL"/>
              </w:rPr>
            </w:pPr>
            <w:r w:rsidRPr="00765C97">
              <w:rPr>
                <w:rFonts w:ascii="Arial" w:hAnsi="Arial"/>
                <w:color w:val="000000"/>
                <w:sz w:val="20"/>
                <w:lang w:val="pl-PL"/>
              </w:rPr>
              <w:t>43 078</w:t>
            </w:r>
          </w:p>
        </w:tc>
        <w:tc>
          <w:tcPr>
            <w:tcW w:w="1276" w:type="dxa"/>
            <w:tcBorders>
              <w:top w:val="single" w:sz="4" w:space="0" w:color="auto"/>
              <w:left w:val="nil"/>
              <w:bottom w:val="single" w:sz="4" w:space="0" w:color="auto"/>
              <w:right w:val="nil"/>
            </w:tcBorders>
            <w:vAlign w:val="center"/>
          </w:tcPr>
          <w:p w:rsidR="00DB120C" w:rsidRPr="00765C97" w:rsidRDefault="00DB120C" w:rsidP="00DB120C">
            <w:pPr>
              <w:ind w:left="142" w:right="90"/>
              <w:jc w:val="right"/>
              <w:rPr>
                <w:rFonts w:ascii="Arial" w:hAnsi="Arial"/>
                <w:color w:val="000000"/>
                <w:sz w:val="20"/>
                <w:lang w:val="pl-PL"/>
              </w:rPr>
            </w:pPr>
            <w:r w:rsidRPr="00765C97">
              <w:rPr>
                <w:rFonts w:ascii="Arial" w:hAnsi="Arial"/>
                <w:color w:val="000000"/>
                <w:sz w:val="20"/>
                <w:lang w:val="pl-PL"/>
              </w:rPr>
              <w:t>3 285</w:t>
            </w:r>
          </w:p>
        </w:tc>
        <w:tc>
          <w:tcPr>
            <w:tcW w:w="992" w:type="dxa"/>
            <w:tcBorders>
              <w:top w:val="single" w:sz="4" w:space="0" w:color="auto"/>
              <w:left w:val="nil"/>
              <w:bottom w:val="single" w:sz="4" w:space="0" w:color="auto"/>
              <w:right w:val="nil"/>
            </w:tcBorders>
            <w:vAlign w:val="center"/>
          </w:tcPr>
          <w:p w:rsidR="00DB120C" w:rsidRPr="00765C97" w:rsidRDefault="00DB120C" w:rsidP="00DB120C">
            <w:pPr>
              <w:ind w:left="142" w:right="90"/>
              <w:jc w:val="right"/>
              <w:rPr>
                <w:rFonts w:ascii="Arial" w:hAnsi="Arial"/>
                <w:color w:val="000000"/>
                <w:sz w:val="20"/>
                <w:lang w:val="pl-PL"/>
              </w:rPr>
            </w:pPr>
            <w:r w:rsidRPr="00765C97">
              <w:rPr>
                <w:rFonts w:ascii="Arial" w:hAnsi="Arial"/>
                <w:color w:val="000000"/>
                <w:sz w:val="20"/>
                <w:lang w:val="pl-PL"/>
              </w:rPr>
              <w:t>275 663</w:t>
            </w:r>
          </w:p>
        </w:tc>
      </w:tr>
      <w:tr w:rsidR="007812FC" w:rsidRPr="00765C97">
        <w:trPr>
          <w:cantSplit/>
          <w:trHeight w:val="255"/>
        </w:trPr>
        <w:tc>
          <w:tcPr>
            <w:tcW w:w="3789" w:type="dxa"/>
            <w:tcBorders>
              <w:top w:val="nil"/>
              <w:left w:val="nil"/>
              <w:bottom w:val="nil"/>
              <w:right w:val="nil"/>
            </w:tcBorders>
            <w:vAlign w:val="center"/>
          </w:tcPr>
          <w:p w:rsidR="007812FC" w:rsidRPr="00765C97" w:rsidRDefault="007812FC" w:rsidP="0049622A">
            <w:pPr>
              <w:rPr>
                <w:rFonts w:ascii="Arial" w:hAnsi="Arial"/>
                <w:sz w:val="20"/>
                <w:lang w:val="pl-PL"/>
              </w:rPr>
            </w:pPr>
            <w:r w:rsidRPr="00765C97">
              <w:rPr>
                <w:rFonts w:ascii="Arial" w:hAnsi="Arial"/>
                <w:b/>
                <w:sz w:val="20"/>
                <w:lang w:val="pl-PL"/>
              </w:rPr>
              <w:t>Rok obrotowy 201</w:t>
            </w:r>
            <w:r w:rsidR="0049622A" w:rsidRPr="00765C97">
              <w:rPr>
                <w:rFonts w:ascii="Arial" w:hAnsi="Arial"/>
                <w:b/>
                <w:sz w:val="20"/>
                <w:lang w:val="pl-PL"/>
              </w:rPr>
              <w:t>1</w:t>
            </w:r>
          </w:p>
        </w:tc>
        <w:tc>
          <w:tcPr>
            <w:tcW w:w="1141" w:type="dxa"/>
            <w:tcBorders>
              <w:top w:val="single" w:sz="4" w:space="0" w:color="auto"/>
              <w:left w:val="nil"/>
              <w:bottom w:val="nil"/>
              <w:right w:val="nil"/>
            </w:tcBorders>
            <w:vAlign w:val="center"/>
          </w:tcPr>
          <w:p w:rsidR="007812FC" w:rsidRPr="00765C97" w:rsidRDefault="007812FC" w:rsidP="007812FC">
            <w:pPr>
              <w:ind w:right="90"/>
              <w:jc w:val="right"/>
              <w:rPr>
                <w:rFonts w:ascii="Arial" w:hAnsi="Arial"/>
                <w:sz w:val="20"/>
                <w:lang w:val="pl-PL"/>
              </w:rPr>
            </w:pPr>
          </w:p>
        </w:tc>
        <w:tc>
          <w:tcPr>
            <w:tcW w:w="1127" w:type="dxa"/>
            <w:tcBorders>
              <w:top w:val="single" w:sz="4" w:space="0" w:color="auto"/>
              <w:left w:val="nil"/>
              <w:bottom w:val="nil"/>
              <w:right w:val="nil"/>
            </w:tcBorders>
            <w:vAlign w:val="center"/>
          </w:tcPr>
          <w:p w:rsidR="007812FC" w:rsidRPr="00765C97" w:rsidRDefault="007812FC" w:rsidP="007812FC">
            <w:pPr>
              <w:ind w:right="90"/>
              <w:jc w:val="right"/>
              <w:rPr>
                <w:rFonts w:ascii="Arial" w:hAnsi="Arial"/>
                <w:sz w:val="20"/>
                <w:lang w:val="pl-PL"/>
              </w:rPr>
            </w:pPr>
          </w:p>
        </w:tc>
        <w:tc>
          <w:tcPr>
            <w:tcW w:w="1276" w:type="dxa"/>
            <w:tcBorders>
              <w:top w:val="single" w:sz="4" w:space="0" w:color="auto"/>
              <w:left w:val="nil"/>
              <w:bottom w:val="nil"/>
              <w:right w:val="nil"/>
            </w:tcBorders>
            <w:vAlign w:val="center"/>
          </w:tcPr>
          <w:p w:rsidR="007812FC" w:rsidRPr="00765C97" w:rsidRDefault="007812FC" w:rsidP="007812FC">
            <w:pPr>
              <w:ind w:right="90"/>
              <w:jc w:val="right"/>
              <w:rPr>
                <w:rFonts w:ascii="Arial" w:hAnsi="Arial"/>
                <w:sz w:val="20"/>
                <w:lang w:val="pl-PL"/>
              </w:rPr>
            </w:pPr>
          </w:p>
        </w:tc>
        <w:tc>
          <w:tcPr>
            <w:tcW w:w="992" w:type="dxa"/>
            <w:tcBorders>
              <w:top w:val="single" w:sz="4" w:space="0" w:color="auto"/>
              <w:left w:val="nil"/>
              <w:bottom w:val="nil"/>
              <w:right w:val="nil"/>
            </w:tcBorders>
            <w:vAlign w:val="center"/>
          </w:tcPr>
          <w:p w:rsidR="007812FC" w:rsidRPr="00765C97" w:rsidRDefault="007812FC" w:rsidP="007812FC">
            <w:pPr>
              <w:ind w:right="90"/>
              <w:jc w:val="right"/>
              <w:rPr>
                <w:rFonts w:ascii="Arial" w:hAnsi="Arial"/>
                <w:sz w:val="20"/>
                <w:lang w:val="pl-PL"/>
              </w:rPr>
            </w:pP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rsidP="007812FC">
            <w:pPr>
              <w:rPr>
                <w:rFonts w:ascii="Arial" w:hAnsi="Arial"/>
                <w:color w:val="000000"/>
                <w:sz w:val="20"/>
                <w:lang w:val="pl-PL"/>
              </w:rPr>
            </w:pPr>
            <w:r w:rsidRPr="00765C97">
              <w:rPr>
                <w:rFonts w:ascii="Arial" w:hAnsi="Arial"/>
                <w:color w:val="000000"/>
                <w:sz w:val="20"/>
                <w:lang w:val="pl-PL"/>
              </w:rPr>
              <w:t>Wartość księgowa netto na początek roku</w:t>
            </w:r>
          </w:p>
        </w:tc>
        <w:tc>
          <w:tcPr>
            <w:tcW w:w="1141" w:type="dxa"/>
            <w:tcBorders>
              <w:top w:val="nil"/>
              <w:left w:val="nil"/>
              <w:bottom w:val="nil"/>
              <w:right w:val="nil"/>
            </w:tcBorders>
            <w:vAlign w:val="center"/>
          </w:tcPr>
          <w:p w:rsidR="0049622A" w:rsidRPr="00765C97" w:rsidRDefault="0049622A" w:rsidP="00385F70">
            <w:pPr>
              <w:ind w:right="90"/>
              <w:jc w:val="right"/>
              <w:rPr>
                <w:rFonts w:ascii="Arial" w:hAnsi="Arial"/>
                <w:sz w:val="20"/>
                <w:lang w:val="pl-PL"/>
              </w:rPr>
            </w:pPr>
            <w:r w:rsidRPr="00765C97">
              <w:rPr>
                <w:rFonts w:ascii="Arial" w:hAnsi="Arial"/>
                <w:sz w:val="20"/>
                <w:lang w:val="pl-PL"/>
              </w:rPr>
              <w:t>229 300</w:t>
            </w:r>
          </w:p>
        </w:tc>
        <w:tc>
          <w:tcPr>
            <w:tcW w:w="1127" w:type="dxa"/>
            <w:tcBorders>
              <w:top w:val="nil"/>
              <w:left w:val="nil"/>
              <w:bottom w:val="nil"/>
              <w:right w:val="nil"/>
            </w:tcBorders>
            <w:vAlign w:val="center"/>
          </w:tcPr>
          <w:p w:rsidR="0049622A" w:rsidRPr="00765C97" w:rsidRDefault="0049622A" w:rsidP="00385F70">
            <w:pPr>
              <w:ind w:right="90"/>
              <w:jc w:val="right"/>
              <w:rPr>
                <w:rFonts w:ascii="Arial" w:hAnsi="Arial"/>
                <w:sz w:val="20"/>
                <w:lang w:val="pl-PL"/>
              </w:rPr>
            </w:pPr>
            <w:r w:rsidRPr="00765C97">
              <w:rPr>
                <w:rFonts w:ascii="Arial" w:hAnsi="Arial"/>
                <w:sz w:val="20"/>
                <w:lang w:val="pl-PL"/>
              </w:rPr>
              <w:t>43 078</w:t>
            </w:r>
          </w:p>
        </w:tc>
        <w:tc>
          <w:tcPr>
            <w:tcW w:w="1276" w:type="dxa"/>
            <w:tcBorders>
              <w:top w:val="nil"/>
              <w:left w:val="nil"/>
              <w:bottom w:val="nil"/>
              <w:right w:val="nil"/>
            </w:tcBorders>
            <w:vAlign w:val="center"/>
          </w:tcPr>
          <w:p w:rsidR="0049622A" w:rsidRPr="00765C97" w:rsidRDefault="0049622A" w:rsidP="00385F70">
            <w:pPr>
              <w:ind w:right="90"/>
              <w:jc w:val="right"/>
              <w:rPr>
                <w:rFonts w:ascii="Arial" w:hAnsi="Arial"/>
                <w:sz w:val="20"/>
                <w:lang w:val="pl-PL"/>
              </w:rPr>
            </w:pPr>
            <w:r w:rsidRPr="00765C97">
              <w:rPr>
                <w:rFonts w:ascii="Arial" w:hAnsi="Arial"/>
                <w:sz w:val="20"/>
                <w:lang w:val="pl-PL"/>
              </w:rPr>
              <w:t>3 285</w:t>
            </w:r>
          </w:p>
        </w:tc>
        <w:tc>
          <w:tcPr>
            <w:tcW w:w="992" w:type="dxa"/>
            <w:tcBorders>
              <w:top w:val="nil"/>
              <w:left w:val="nil"/>
              <w:bottom w:val="nil"/>
              <w:right w:val="nil"/>
            </w:tcBorders>
            <w:vAlign w:val="center"/>
          </w:tcPr>
          <w:p w:rsidR="0049622A" w:rsidRPr="00765C97" w:rsidRDefault="0049622A" w:rsidP="00385F70">
            <w:pPr>
              <w:ind w:right="90"/>
              <w:jc w:val="right"/>
              <w:rPr>
                <w:rFonts w:ascii="Arial" w:hAnsi="Arial"/>
                <w:sz w:val="20"/>
                <w:lang w:val="pl-PL"/>
              </w:rPr>
            </w:pPr>
            <w:r w:rsidRPr="00765C97">
              <w:rPr>
                <w:rFonts w:ascii="Arial" w:hAnsi="Arial"/>
                <w:sz w:val="20"/>
                <w:lang w:val="pl-PL"/>
              </w:rPr>
              <w:t>275 663</w:t>
            </w: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rsidP="007812FC">
            <w:pPr>
              <w:rPr>
                <w:rFonts w:ascii="Arial" w:hAnsi="Arial"/>
                <w:color w:val="000000"/>
                <w:sz w:val="20"/>
                <w:lang w:val="pl-PL"/>
              </w:rPr>
            </w:pPr>
            <w:r w:rsidRPr="00765C97">
              <w:rPr>
                <w:rFonts w:ascii="Arial" w:hAnsi="Arial"/>
                <w:color w:val="000000"/>
                <w:sz w:val="20"/>
                <w:lang w:val="pl-PL"/>
              </w:rPr>
              <w:t>Zwiększenia</w:t>
            </w:r>
          </w:p>
        </w:tc>
        <w:tc>
          <w:tcPr>
            <w:tcW w:w="1141" w:type="dxa"/>
            <w:tcBorders>
              <w:top w:val="nil"/>
              <w:left w:val="nil"/>
              <w:bottom w:val="nil"/>
              <w:right w:val="nil"/>
            </w:tcBorders>
            <w:vAlign w:val="center"/>
          </w:tcPr>
          <w:p w:rsidR="0049622A" w:rsidRPr="00765C97" w:rsidRDefault="0049622A" w:rsidP="00385F70">
            <w:pPr>
              <w:ind w:right="90"/>
              <w:jc w:val="right"/>
              <w:rPr>
                <w:rFonts w:ascii="Arial" w:hAnsi="Arial"/>
                <w:color w:val="000000"/>
                <w:sz w:val="20"/>
                <w:lang w:val="pl-PL"/>
              </w:rPr>
            </w:pPr>
            <w:r w:rsidRPr="00765C97">
              <w:rPr>
                <w:rFonts w:ascii="Arial" w:hAnsi="Arial"/>
                <w:color w:val="000000"/>
                <w:sz w:val="20"/>
                <w:lang w:val="pl-PL"/>
              </w:rPr>
              <w:t>26 638</w:t>
            </w:r>
          </w:p>
        </w:tc>
        <w:tc>
          <w:tcPr>
            <w:tcW w:w="1127" w:type="dxa"/>
            <w:tcBorders>
              <w:top w:val="nil"/>
              <w:left w:val="nil"/>
              <w:bottom w:val="nil"/>
              <w:right w:val="nil"/>
            </w:tcBorders>
            <w:vAlign w:val="center"/>
          </w:tcPr>
          <w:p w:rsidR="0049622A" w:rsidRPr="00765C97" w:rsidRDefault="0049622A" w:rsidP="00385F70">
            <w:pPr>
              <w:ind w:right="90"/>
              <w:jc w:val="right"/>
              <w:rPr>
                <w:rFonts w:ascii="Arial" w:hAnsi="Arial"/>
                <w:color w:val="000000"/>
                <w:sz w:val="20"/>
                <w:lang w:val="pl-PL"/>
              </w:rPr>
            </w:pPr>
            <w:r w:rsidRPr="00765C97">
              <w:rPr>
                <w:rFonts w:ascii="Arial" w:hAnsi="Arial"/>
                <w:color w:val="000000"/>
                <w:sz w:val="20"/>
                <w:lang w:val="pl-PL"/>
              </w:rPr>
              <w:t>47 538</w:t>
            </w:r>
          </w:p>
        </w:tc>
        <w:tc>
          <w:tcPr>
            <w:tcW w:w="1276" w:type="dxa"/>
            <w:tcBorders>
              <w:top w:val="nil"/>
              <w:left w:val="nil"/>
              <w:bottom w:val="nil"/>
              <w:right w:val="nil"/>
            </w:tcBorders>
            <w:vAlign w:val="center"/>
          </w:tcPr>
          <w:p w:rsidR="0049622A" w:rsidRPr="00765C97" w:rsidRDefault="0049622A" w:rsidP="00385F70">
            <w:pPr>
              <w:ind w:right="90"/>
              <w:jc w:val="right"/>
              <w:rPr>
                <w:rFonts w:ascii="Arial" w:hAnsi="Arial"/>
                <w:color w:val="000000"/>
                <w:sz w:val="20"/>
                <w:lang w:val="pl-PL"/>
              </w:rPr>
            </w:pPr>
            <w:r w:rsidRPr="00765C97">
              <w:rPr>
                <w:rFonts w:ascii="Arial" w:hAnsi="Arial"/>
                <w:color w:val="000000"/>
                <w:sz w:val="20"/>
                <w:lang w:val="pl-PL"/>
              </w:rPr>
              <w:t>4 094</w:t>
            </w:r>
          </w:p>
        </w:tc>
        <w:tc>
          <w:tcPr>
            <w:tcW w:w="992" w:type="dxa"/>
            <w:tcBorders>
              <w:top w:val="nil"/>
              <w:left w:val="nil"/>
              <w:bottom w:val="nil"/>
              <w:right w:val="nil"/>
            </w:tcBorders>
            <w:vAlign w:val="center"/>
          </w:tcPr>
          <w:p w:rsidR="0049622A" w:rsidRPr="00765C97" w:rsidRDefault="0049622A" w:rsidP="00385F70">
            <w:pPr>
              <w:ind w:right="90"/>
              <w:jc w:val="right"/>
              <w:rPr>
                <w:rFonts w:ascii="Arial" w:hAnsi="Arial"/>
                <w:color w:val="000000"/>
                <w:sz w:val="20"/>
                <w:lang w:val="pl-PL"/>
              </w:rPr>
            </w:pPr>
            <w:r w:rsidRPr="00765C97">
              <w:rPr>
                <w:rFonts w:ascii="Arial" w:hAnsi="Arial"/>
                <w:color w:val="000000"/>
                <w:sz w:val="20"/>
                <w:lang w:val="pl-PL"/>
              </w:rPr>
              <w:t>78 270</w:t>
            </w: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rsidP="007812FC">
            <w:pPr>
              <w:rPr>
                <w:rFonts w:ascii="Arial" w:hAnsi="Arial"/>
                <w:color w:val="000000"/>
                <w:sz w:val="20"/>
                <w:lang w:val="pl-PL"/>
              </w:rPr>
            </w:pPr>
            <w:r w:rsidRPr="00765C97">
              <w:rPr>
                <w:rFonts w:ascii="Arial" w:hAnsi="Arial"/>
                <w:color w:val="000000"/>
                <w:sz w:val="20"/>
                <w:lang w:val="pl-PL"/>
              </w:rPr>
              <w:t>Zmniejszenia</w:t>
            </w:r>
          </w:p>
        </w:tc>
        <w:tc>
          <w:tcPr>
            <w:tcW w:w="1141" w:type="dxa"/>
            <w:tcBorders>
              <w:top w:val="nil"/>
              <w:left w:val="nil"/>
              <w:right w:val="nil"/>
            </w:tcBorders>
            <w:vAlign w:val="center"/>
          </w:tcPr>
          <w:p w:rsidR="0049622A" w:rsidRPr="00765C97" w:rsidRDefault="0049622A" w:rsidP="00385F70">
            <w:pPr>
              <w:ind w:right="90"/>
              <w:jc w:val="right"/>
              <w:rPr>
                <w:rFonts w:ascii="Arial" w:hAnsi="Arial"/>
                <w:color w:val="000000"/>
                <w:sz w:val="20"/>
                <w:lang w:val="pl-PL"/>
              </w:rPr>
            </w:pPr>
            <w:r w:rsidRPr="00765C97">
              <w:rPr>
                <w:rFonts w:ascii="Arial" w:hAnsi="Arial"/>
                <w:color w:val="000000"/>
                <w:sz w:val="20"/>
                <w:lang w:val="pl-PL"/>
              </w:rPr>
              <w:t>-</w:t>
            </w:r>
          </w:p>
        </w:tc>
        <w:tc>
          <w:tcPr>
            <w:tcW w:w="1127" w:type="dxa"/>
            <w:tcBorders>
              <w:top w:val="nil"/>
              <w:left w:val="nil"/>
              <w:right w:val="nil"/>
            </w:tcBorders>
            <w:vAlign w:val="center"/>
          </w:tcPr>
          <w:p w:rsidR="0049622A" w:rsidRPr="00765C97" w:rsidRDefault="0049622A" w:rsidP="00385F70">
            <w:pPr>
              <w:ind w:right="90"/>
              <w:jc w:val="right"/>
              <w:rPr>
                <w:rFonts w:ascii="Arial" w:hAnsi="Arial"/>
                <w:color w:val="000000"/>
                <w:sz w:val="20"/>
                <w:lang w:val="pl-PL"/>
              </w:rPr>
            </w:pPr>
            <w:r w:rsidRPr="00765C97">
              <w:rPr>
                <w:rFonts w:ascii="Arial" w:hAnsi="Arial"/>
                <w:color w:val="000000"/>
                <w:sz w:val="20"/>
                <w:lang w:val="pl-PL"/>
              </w:rPr>
              <w:t>(1 418)</w:t>
            </w:r>
          </w:p>
        </w:tc>
        <w:tc>
          <w:tcPr>
            <w:tcW w:w="1276" w:type="dxa"/>
            <w:tcBorders>
              <w:top w:val="nil"/>
              <w:left w:val="nil"/>
              <w:right w:val="nil"/>
            </w:tcBorders>
            <w:vAlign w:val="center"/>
          </w:tcPr>
          <w:p w:rsidR="0049622A" w:rsidRPr="00765C97" w:rsidRDefault="0049622A" w:rsidP="00385F70">
            <w:pPr>
              <w:ind w:right="90"/>
              <w:jc w:val="right"/>
              <w:rPr>
                <w:rFonts w:ascii="Arial" w:hAnsi="Arial"/>
                <w:color w:val="000000"/>
                <w:spacing w:val="-3"/>
                <w:sz w:val="20"/>
                <w:lang w:val="pl-PL"/>
              </w:rPr>
            </w:pPr>
            <w:r w:rsidRPr="00765C97">
              <w:rPr>
                <w:rFonts w:ascii="Arial" w:hAnsi="Arial"/>
                <w:color w:val="000000"/>
                <w:spacing w:val="-3"/>
                <w:sz w:val="20"/>
                <w:lang w:val="pl-PL"/>
              </w:rPr>
              <w:t>-</w:t>
            </w:r>
          </w:p>
        </w:tc>
        <w:tc>
          <w:tcPr>
            <w:tcW w:w="992" w:type="dxa"/>
            <w:tcBorders>
              <w:top w:val="nil"/>
              <w:left w:val="nil"/>
              <w:right w:val="nil"/>
            </w:tcBorders>
            <w:vAlign w:val="center"/>
          </w:tcPr>
          <w:p w:rsidR="0049622A" w:rsidRPr="00765C97" w:rsidRDefault="0049622A" w:rsidP="00385F70">
            <w:pPr>
              <w:ind w:right="90"/>
              <w:jc w:val="right"/>
              <w:rPr>
                <w:rFonts w:ascii="Arial" w:hAnsi="Arial"/>
                <w:color w:val="000000"/>
                <w:sz w:val="20"/>
                <w:lang w:val="pl-PL"/>
              </w:rPr>
            </w:pPr>
            <w:r w:rsidRPr="00765C97">
              <w:rPr>
                <w:rFonts w:ascii="Arial" w:hAnsi="Arial"/>
                <w:color w:val="000000"/>
                <w:sz w:val="20"/>
                <w:lang w:val="pl-PL"/>
              </w:rPr>
              <w:t>(1 418)</w:t>
            </w: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rsidP="007812FC">
            <w:pPr>
              <w:rPr>
                <w:rFonts w:ascii="Arial" w:hAnsi="Arial"/>
                <w:color w:val="000000"/>
                <w:sz w:val="20"/>
                <w:lang w:val="pl-PL"/>
              </w:rPr>
            </w:pPr>
            <w:r w:rsidRPr="00765C97">
              <w:rPr>
                <w:rFonts w:ascii="Arial" w:hAnsi="Arial"/>
                <w:color w:val="000000"/>
                <w:sz w:val="20"/>
                <w:lang w:val="pl-PL"/>
              </w:rPr>
              <w:t>Amortyzacja</w:t>
            </w:r>
          </w:p>
        </w:tc>
        <w:tc>
          <w:tcPr>
            <w:tcW w:w="1141" w:type="dxa"/>
            <w:tcBorders>
              <w:left w:val="nil"/>
              <w:bottom w:val="single" w:sz="4" w:space="0" w:color="auto"/>
              <w:right w:val="nil"/>
            </w:tcBorders>
            <w:vAlign w:val="center"/>
          </w:tcPr>
          <w:p w:rsidR="0049622A" w:rsidRPr="00765C97" w:rsidRDefault="0049622A" w:rsidP="00385F70">
            <w:pPr>
              <w:ind w:right="90"/>
              <w:jc w:val="right"/>
              <w:rPr>
                <w:rFonts w:ascii="Arial" w:hAnsi="Arial"/>
                <w:color w:val="000000"/>
                <w:spacing w:val="-3"/>
                <w:sz w:val="20"/>
                <w:lang w:val="pl-PL"/>
              </w:rPr>
            </w:pPr>
            <w:r w:rsidRPr="00765C97">
              <w:rPr>
                <w:rFonts w:ascii="Arial" w:hAnsi="Arial"/>
                <w:color w:val="000000"/>
                <w:spacing w:val="-3"/>
                <w:sz w:val="20"/>
                <w:lang w:val="pl-PL"/>
              </w:rPr>
              <w:t>(5 152)</w:t>
            </w:r>
          </w:p>
        </w:tc>
        <w:tc>
          <w:tcPr>
            <w:tcW w:w="1127" w:type="dxa"/>
            <w:tcBorders>
              <w:left w:val="nil"/>
              <w:bottom w:val="single" w:sz="4" w:space="0" w:color="auto"/>
              <w:right w:val="nil"/>
            </w:tcBorders>
            <w:vAlign w:val="center"/>
          </w:tcPr>
          <w:p w:rsidR="0049622A" w:rsidRPr="00765C97" w:rsidRDefault="0049622A" w:rsidP="00385F70">
            <w:pPr>
              <w:ind w:right="90"/>
              <w:jc w:val="right"/>
              <w:rPr>
                <w:rFonts w:ascii="Arial" w:hAnsi="Arial"/>
                <w:color w:val="000000"/>
                <w:sz w:val="20"/>
                <w:lang w:val="pl-PL"/>
              </w:rPr>
            </w:pPr>
            <w:r w:rsidRPr="00765C97">
              <w:rPr>
                <w:rFonts w:ascii="Arial" w:hAnsi="Arial"/>
                <w:color w:val="000000"/>
                <w:sz w:val="20"/>
                <w:lang w:val="pl-PL"/>
              </w:rPr>
              <w:t>(16 604)</w:t>
            </w:r>
          </w:p>
        </w:tc>
        <w:tc>
          <w:tcPr>
            <w:tcW w:w="1276" w:type="dxa"/>
            <w:tcBorders>
              <w:left w:val="nil"/>
              <w:bottom w:val="single" w:sz="4" w:space="0" w:color="auto"/>
              <w:right w:val="nil"/>
            </w:tcBorders>
            <w:vAlign w:val="center"/>
          </w:tcPr>
          <w:p w:rsidR="0049622A" w:rsidRPr="00765C97" w:rsidRDefault="0049622A" w:rsidP="00385F70">
            <w:pPr>
              <w:ind w:right="90"/>
              <w:jc w:val="right"/>
              <w:rPr>
                <w:rFonts w:ascii="Arial" w:hAnsi="Arial"/>
                <w:color w:val="000000"/>
                <w:sz w:val="20"/>
                <w:lang w:val="pl-PL"/>
              </w:rPr>
            </w:pPr>
            <w:r w:rsidRPr="00765C97">
              <w:rPr>
                <w:rFonts w:ascii="Arial" w:hAnsi="Arial"/>
                <w:color w:val="000000"/>
                <w:sz w:val="20"/>
                <w:lang w:val="pl-PL"/>
              </w:rPr>
              <w:t>(2 788)</w:t>
            </w:r>
          </w:p>
        </w:tc>
        <w:tc>
          <w:tcPr>
            <w:tcW w:w="992" w:type="dxa"/>
            <w:tcBorders>
              <w:left w:val="nil"/>
              <w:bottom w:val="single" w:sz="4" w:space="0" w:color="auto"/>
              <w:right w:val="nil"/>
            </w:tcBorders>
            <w:vAlign w:val="center"/>
          </w:tcPr>
          <w:p w:rsidR="0049622A" w:rsidRPr="00765C97" w:rsidRDefault="0049622A" w:rsidP="00385F70">
            <w:pPr>
              <w:ind w:right="90"/>
              <w:jc w:val="right"/>
              <w:rPr>
                <w:rFonts w:ascii="Arial" w:hAnsi="Arial"/>
                <w:color w:val="000000"/>
                <w:sz w:val="20"/>
                <w:lang w:val="pl-PL"/>
              </w:rPr>
            </w:pPr>
            <w:r w:rsidRPr="00765C97">
              <w:rPr>
                <w:rFonts w:ascii="Arial" w:hAnsi="Arial"/>
                <w:color w:val="000000"/>
                <w:sz w:val="20"/>
                <w:lang w:val="pl-PL"/>
              </w:rPr>
              <w:t>(24 544)</w:t>
            </w: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rsidP="007812FC">
            <w:pPr>
              <w:rPr>
                <w:rFonts w:ascii="Arial" w:hAnsi="Arial"/>
                <w:color w:val="000000"/>
                <w:sz w:val="20"/>
                <w:lang w:val="pl-PL"/>
              </w:rPr>
            </w:pPr>
            <w:r w:rsidRPr="00765C97">
              <w:rPr>
                <w:rFonts w:ascii="Arial" w:hAnsi="Arial"/>
                <w:color w:val="000000"/>
                <w:sz w:val="20"/>
                <w:lang w:val="pl-PL"/>
              </w:rPr>
              <w:t>Wartość księgowa netto na koniec roku</w:t>
            </w:r>
          </w:p>
        </w:tc>
        <w:tc>
          <w:tcPr>
            <w:tcW w:w="1141" w:type="dxa"/>
            <w:tcBorders>
              <w:top w:val="single" w:sz="4" w:space="0" w:color="auto"/>
              <w:left w:val="nil"/>
              <w:bottom w:val="single" w:sz="4" w:space="0" w:color="auto"/>
              <w:right w:val="nil"/>
            </w:tcBorders>
            <w:vAlign w:val="center"/>
          </w:tcPr>
          <w:p w:rsidR="0049622A" w:rsidRPr="00765C97" w:rsidRDefault="0049622A" w:rsidP="00385F70">
            <w:pPr>
              <w:ind w:right="90"/>
              <w:jc w:val="right"/>
              <w:rPr>
                <w:rFonts w:ascii="Arial" w:hAnsi="Arial"/>
                <w:color w:val="000000"/>
                <w:sz w:val="20"/>
                <w:lang w:val="pl-PL"/>
              </w:rPr>
            </w:pPr>
            <w:r w:rsidRPr="00765C97">
              <w:rPr>
                <w:rFonts w:ascii="Arial" w:hAnsi="Arial"/>
                <w:color w:val="000000"/>
                <w:sz w:val="20"/>
                <w:lang w:val="pl-PL"/>
              </w:rPr>
              <w:t>250 786</w:t>
            </w:r>
          </w:p>
        </w:tc>
        <w:tc>
          <w:tcPr>
            <w:tcW w:w="1127" w:type="dxa"/>
            <w:tcBorders>
              <w:top w:val="single" w:sz="4" w:space="0" w:color="auto"/>
              <w:left w:val="nil"/>
              <w:bottom w:val="single" w:sz="4" w:space="0" w:color="auto"/>
              <w:right w:val="nil"/>
            </w:tcBorders>
            <w:vAlign w:val="center"/>
          </w:tcPr>
          <w:p w:rsidR="0049622A" w:rsidRPr="00765C97" w:rsidRDefault="0049622A" w:rsidP="00385F70">
            <w:pPr>
              <w:ind w:right="90"/>
              <w:jc w:val="right"/>
              <w:rPr>
                <w:rFonts w:ascii="Arial" w:hAnsi="Arial"/>
                <w:color w:val="000000"/>
                <w:sz w:val="20"/>
                <w:lang w:val="pl-PL"/>
              </w:rPr>
            </w:pPr>
            <w:r w:rsidRPr="00765C97">
              <w:rPr>
                <w:rFonts w:ascii="Arial" w:hAnsi="Arial"/>
                <w:color w:val="000000"/>
                <w:sz w:val="20"/>
                <w:lang w:val="pl-PL"/>
              </w:rPr>
              <w:t>72 594</w:t>
            </w:r>
          </w:p>
        </w:tc>
        <w:tc>
          <w:tcPr>
            <w:tcW w:w="1276" w:type="dxa"/>
            <w:tcBorders>
              <w:top w:val="single" w:sz="4" w:space="0" w:color="auto"/>
              <w:left w:val="nil"/>
              <w:bottom w:val="single" w:sz="4" w:space="0" w:color="auto"/>
              <w:right w:val="nil"/>
            </w:tcBorders>
            <w:vAlign w:val="center"/>
          </w:tcPr>
          <w:p w:rsidR="0049622A" w:rsidRPr="00765C97" w:rsidRDefault="0049622A" w:rsidP="00385F70">
            <w:pPr>
              <w:ind w:right="90"/>
              <w:jc w:val="right"/>
              <w:rPr>
                <w:rFonts w:ascii="Arial" w:hAnsi="Arial"/>
                <w:color w:val="000000"/>
                <w:sz w:val="20"/>
                <w:lang w:val="pl-PL"/>
              </w:rPr>
            </w:pPr>
            <w:r w:rsidRPr="00765C97">
              <w:rPr>
                <w:rFonts w:ascii="Arial" w:hAnsi="Arial"/>
                <w:color w:val="000000"/>
                <w:sz w:val="20"/>
                <w:lang w:val="pl-PL"/>
              </w:rPr>
              <w:t>4 591</w:t>
            </w:r>
          </w:p>
        </w:tc>
        <w:tc>
          <w:tcPr>
            <w:tcW w:w="992" w:type="dxa"/>
            <w:tcBorders>
              <w:top w:val="single" w:sz="4" w:space="0" w:color="auto"/>
              <w:left w:val="nil"/>
              <w:bottom w:val="single" w:sz="4" w:space="0" w:color="auto"/>
              <w:right w:val="nil"/>
            </w:tcBorders>
            <w:vAlign w:val="center"/>
          </w:tcPr>
          <w:p w:rsidR="0049622A" w:rsidRPr="00765C97" w:rsidRDefault="0049622A" w:rsidP="00385F70">
            <w:pPr>
              <w:ind w:right="90"/>
              <w:jc w:val="right"/>
              <w:rPr>
                <w:rFonts w:ascii="Arial" w:hAnsi="Arial"/>
                <w:color w:val="000000"/>
                <w:sz w:val="20"/>
                <w:lang w:val="pl-PL"/>
              </w:rPr>
            </w:pPr>
            <w:r w:rsidRPr="00765C97">
              <w:rPr>
                <w:rFonts w:ascii="Arial" w:hAnsi="Arial"/>
                <w:color w:val="000000"/>
                <w:sz w:val="20"/>
                <w:lang w:val="pl-PL"/>
              </w:rPr>
              <w:t>327 971</w:t>
            </w:r>
          </w:p>
        </w:tc>
      </w:tr>
      <w:tr w:rsidR="007812FC" w:rsidRPr="00765C97">
        <w:trPr>
          <w:cantSplit/>
          <w:trHeight w:val="255"/>
        </w:trPr>
        <w:tc>
          <w:tcPr>
            <w:tcW w:w="3789" w:type="dxa"/>
            <w:tcBorders>
              <w:top w:val="nil"/>
              <w:left w:val="nil"/>
              <w:bottom w:val="nil"/>
              <w:right w:val="nil"/>
            </w:tcBorders>
            <w:vAlign w:val="center"/>
          </w:tcPr>
          <w:p w:rsidR="007812FC" w:rsidRPr="00765C97" w:rsidRDefault="0049622A" w:rsidP="007812FC">
            <w:pPr>
              <w:rPr>
                <w:rFonts w:ascii="Arial" w:hAnsi="Arial"/>
                <w:color w:val="000000"/>
                <w:sz w:val="20"/>
                <w:lang w:val="pl-PL"/>
              </w:rPr>
            </w:pPr>
            <w:r w:rsidRPr="00765C97">
              <w:rPr>
                <w:rFonts w:ascii="Arial" w:hAnsi="Arial"/>
                <w:b/>
                <w:color w:val="000000"/>
                <w:sz w:val="20"/>
                <w:lang w:val="pl-PL"/>
              </w:rPr>
              <w:t>Stan na 31 grudnia 2011</w:t>
            </w:r>
            <w:r w:rsidR="007812FC" w:rsidRPr="00765C97">
              <w:rPr>
                <w:rFonts w:ascii="Arial" w:hAnsi="Arial"/>
                <w:b/>
                <w:color w:val="000000"/>
                <w:sz w:val="20"/>
                <w:lang w:val="pl-PL"/>
              </w:rPr>
              <w:t xml:space="preserve"> r.</w:t>
            </w:r>
          </w:p>
        </w:tc>
        <w:tc>
          <w:tcPr>
            <w:tcW w:w="1141" w:type="dxa"/>
            <w:tcBorders>
              <w:top w:val="single" w:sz="4" w:space="0" w:color="auto"/>
              <w:left w:val="nil"/>
              <w:bottom w:val="nil"/>
              <w:right w:val="nil"/>
            </w:tcBorders>
            <w:vAlign w:val="center"/>
          </w:tcPr>
          <w:p w:rsidR="007812FC" w:rsidRPr="00765C97" w:rsidRDefault="007812FC" w:rsidP="007812FC">
            <w:pPr>
              <w:ind w:right="90"/>
              <w:jc w:val="right"/>
              <w:rPr>
                <w:rFonts w:ascii="Arial" w:hAnsi="Arial"/>
                <w:sz w:val="20"/>
                <w:lang w:val="pl-PL"/>
              </w:rPr>
            </w:pPr>
          </w:p>
        </w:tc>
        <w:tc>
          <w:tcPr>
            <w:tcW w:w="1127" w:type="dxa"/>
            <w:tcBorders>
              <w:top w:val="single" w:sz="4" w:space="0" w:color="auto"/>
              <w:left w:val="nil"/>
              <w:bottom w:val="nil"/>
              <w:right w:val="nil"/>
            </w:tcBorders>
            <w:vAlign w:val="center"/>
          </w:tcPr>
          <w:p w:rsidR="007812FC" w:rsidRPr="00765C97" w:rsidRDefault="007812FC" w:rsidP="007812FC">
            <w:pPr>
              <w:ind w:right="90"/>
              <w:jc w:val="right"/>
              <w:rPr>
                <w:rFonts w:ascii="Arial" w:hAnsi="Arial"/>
                <w:sz w:val="20"/>
                <w:lang w:val="pl-PL"/>
              </w:rPr>
            </w:pPr>
          </w:p>
        </w:tc>
        <w:tc>
          <w:tcPr>
            <w:tcW w:w="1276" w:type="dxa"/>
            <w:tcBorders>
              <w:top w:val="single" w:sz="4" w:space="0" w:color="auto"/>
              <w:left w:val="nil"/>
              <w:bottom w:val="nil"/>
              <w:right w:val="nil"/>
            </w:tcBorders>
            <w:vAlign w:val="center"/>
          </w:tcPr>
          <w:p w:rsidR="007812FC" w:rsidRPr="00765C97" w:rsidRDefault="007812FC" w:rsidP="007812FC">
            <w:pPr>
              <w:ind w:right="90"/>
              <w:jc w:val="right"/>
              <w:rPr>
                <w:rFonts w:ascii="Arial" w:hAnsi="Arial"/>
                <w:sz w:val="20"/>
                <w:lang w:val="pl-PL"/>
              </w:rPr>
            </w:pPr>
          </w:p>
        </w:tc>
        <w:tc>
          <w:tcPr>
            <w:tcW w:w="992" w:type="dxa"/>
            <w:tcBorders>
              <w:top w:val="single" w:sz="4" w:space="0" w:color="auto"/>
              <w:left w:val="nil"/>
              <w:bottom w:val="nil"/>
              <w:right w:val="nil"/>
            </w:tcBorders>
            <w:vAlign w:val="center"/>
          </w:tcPr>
          <w:p w:rsidR="007812FC" w:rsidRPr="00765C97" w:rsidRDefault="007812FC" w:rsidP="007812FC">
            <w:pPr>
              <w:ind w:right="90"/>
              <w:jc w:val="right"/>
              <w:rPr>
                <w:rFonts w:ascii="Arial" w:hAnsi="Arial"/>
                <w:sz w:val="20"/>
                <w:lang w:val="pl-PL"/>
              </w:rPr>
            </w:pP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rsidP="007812FC">
            <w:pPr>
              <w:rPr>
                <w:rFonts w:ascii="Arial" w:hAnsi="Arial"/>
                <w:color w:val="000000"/>
                <w:sz w:val="20"/>
                <w:lang w:val="pl-PL"/>
              </w:rPr>
            </w:pPr>
            <w:r w:rsidRPr="00765C97">
              <w:rPr>
                <w:rFonts w:ascii="Arial" w:hAnsi="Arial"/>
                <w:color w:val="000000"/>
                <w:sz w:val="20"/>
                <w:lang w:val="pl-PL"/>
              </w:rPr>
              <w:t>Koszt lub wartość z wyceny (brutto)</w:t>
            </w:r>
          </w:p>
        </w:tc>
        <w:tc>
          <w:tcPr>
            <w:tcW w:w="1141" w:type="dxa"/>
            <w:tcBorders>
              <w:top w:val="nil"/>
              <w:left w:val="nil"/>
              <w:right w:val="nil"/>
            </w:tcBorders>
            <w:vAlign w:val="center"/>
          </w:tcPr>
          <w:p w:rsidR="0049622A" w:rsidRPr="00765C97" w:rsidRDefault="0049622A" w:rsidP="00385F70">
            <w:pPr>
              <w:ind w:right="90"/>
              <w:jc w:val="right"/>
              <w:rPr>
                <w:rFonts w:ascii="Arial" w:hAnsi="Arial"/>
                <w:sz w:val="20"/>
                <w:lang w:val="pl-PL"/>
              </w:rPr>
            </w:pPr>
            <w:r w:rsidRPr="00765C97">
              <w:rPr>
                <w:rFonts w:ascii="Arial" w:hAnsi="Arial"/>
                <w:sz w:val="20"/>
                <w:lang w:val="pl-PL"/>
              </w:rPr>
              <w:t>279 530</w:t>
            </w:r>
          </w:p>
        </w:tc>
        <w:tc>
          <w:tcPr>
            <w:tcW w:w="1127" w:type="dxa"/>
            <w:tcBorders>
              <w:top w:val="nil"/>
              <w:left w:val="nil"/>
              <w:right w:val="nil"/>
            </w:tcBorders>
            <w:vAlign w:val="center"/>
          </w:tcPr>
          <w:p w:rsidR="0049622A" w:rsidRPr="00765C97" w:rsidRDefault="0049622A" w:rsidP="00385F70">
            <w:pPr>
              <w:ind w:right="90"/>
              <w:jc w:val="right"/>
              <w:rPr>
                <w:rFonts w:ascii="Arial" w:hAnsi="Arial"/>
                <w:sz w:val="20"/>
                <w:lang w:val="pl-PL"/>
              </w:rPr>
            </w:pPr>
            <w:r w:rsidRPr="00765C97">
              <w:rPr>
                <w:rFonts w:ascii="Arial" w:hAnsi="Arial"/>
                <w:sz w:val="20"/>
                <w:lang w:val="pl-PL"/>
              </w:rPr>
              <w:t>197 747</w:t>
            </w:r>
          </w:p>
        </w:tc>
        <w:tc>
          <w:tcPr>
            <w:tcW w:w="1276" w:type="dxa"/>
            <w:tcBorders>
              <w:top w:val="nil"/>
              <w:left w:val="nil"/>
              <w:right w:val="nil"/>
            </w:tcBorders>
            <w:vAlign w:val="center"/>
          </w:tcPr>
          <w:p w:rsidR="0049622A" w:rsidRPr="00765C97" w:rsidRDefault="0049622A" w:rsidP="00385F70">
            <w:pPr>
              <w:ind w:right="90"/>
              <w:jc w:val="right"/>
              <w:rPr>
                <w:rFonts w:ascii="Arial" w:hAnsi="Arial"/>
                <w:sz w:val="20"/>
                <w:lang w:val="pl-PL"/>
              </w:rPr>
            </w:pPr>
            <w:r w:rsidRPr="00765C97">
              <w:rPr>
                <w:rFonts w:ascii="Arial" w:hAnsi="Arial"/>
                <w:sz w:val="20"/>
                <w:lang w:val="pl-PL"/>
              </w:rPr>
              <w:t>20 249</w:t>
            </w:r>
          </w:p>
        </w:tc>
        <w:tc>
          <w:tcPr>
            <w:tcW w:w="992" w:type="dxa"/>
            <w:tcBorders>
              <w:top w:val="nil"/>
              <w:left w:val="nil"/>
              <w:right w:val="nil"/>
            </w:tcBorders>
            <w:vAlign w:val="center"/>
          </w:tcPr>
          <w:p w:rsidR="0049622A" w:rsidRPr="00765C97" w:rsidRDefault="0049622A" w:rsidP="00385F70">
            <w:pPr>
              <w:ind w:right="90"/>
              <w:jc w:val="right"/>
              <w:rPr>
                <w:rFonts w:ascii="Arial" w:hAnsi="Arial"/>
                <w:sz w:val="20"/>
                <w:lang w:val="pl-PL"/>
              </w:rPr>
            </w:pPr>
            <w:r w:rsidRPr="00765C97">
              <w:rPr>
                <w:rFonts w:ascii="Arial" w:hAnsi="Arial"/>
                <w:sz w:val="20"/>
                <w:lang w:val="pl-PL"/>
              </w:rPr>
              <w:t>497 526</w:t>
            </w: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rsidP="007812FC">
            <w:pPr>
              <w:rPr>
                <w:rFonts w:ascii="Arial" w:hAnsi="Arial"/>
                <w:color w:val="000000"/>
                <w:sz w:val="20"/>
                <w:lang w:val="pl-PL"/>
              </w:rPr>
            </w:pPr>
            <w:r w:rsidRPr="00765C97">
              <w:rPr>
                <w:rFonts w:ascii="Arial" w:hAnsi="Arial"/>
                <w:color w:val="000000"/>
                <w:sz w:val="20"/>
                <w:lang w:val="pl-PL"/>
              </w:rPr>
              <w:t>Umorzenie</w:t>
            </w:r>
          </w:p>
        </w:tc>
        <w:tc>
          <w:tcPr>
            <w:tcW w:w="1141" w:type="dxa"/>
            <w:tcBorders>
              <w:left w:val="nil"/>
              <w:bottom w:val="single" w:sz="4" w:space="0" w:color="auto"/>
              <w:right w:val="nil"/>
            </w:tcBorders>
            <w:vAlign w:val="center"/>
          </w:tcPr>
          <w:p w:rsidR="0049622A" w:rsidRPr="00765C97" w:rsidRDefault="0049622A" w:rsidP="00385F70">
            <w:pPr>
              <w:ind w:right="90"/>
              <w:jc w:val="right"/>
              <w:rPr>
                <w:rFonts w:ascii="Arial" w:hAnsi="Arial"/>
                <w:sz w:val="20"/>
                <w:lang w:val="pl-PL"/>
              </w:rPr>
            </w:pPr>
            <w:r w:rsidRPr="00765C97">
              <w:rPr>
                <w:rFonts w:ascii="Arial" w:hAnsi="Arial"/>
                <w:sz w:val="20"/>
                <w:lang w:val="pl-PL"/>
              </w:rPr>
              <w:t>(28 744)</w:t>
            </w:r>
          </w:p>
        </w:tc>
        <w:tc>
          <w:tcPr>
            <w:tcW w:w="1127" w:type="dxa"/>
            <w:tcBorders>
              <w:left w:val="nil"/>
              <w:bottom w:val="single" w:sz="4" w:space="0" w:color="auto"/>
              <w:right w:val="nil"/>
            </w:tcBorders>
            <w:vAlign w:val="center"/>
          </w:tcPr>
          <w:p w:rsidR="0049622A" w:rsidRPr="00765C97" w:rsidRDefault="0049622A" w:rsidP="00385F70">
            <w:pPr>
              <w:ind w:right="90"/>
              <w:jc w:val="right"/>
              <w:rPr>
                <w:rFonts w:ascii="Arial" w:hAnsi="Arial"/>
                <w:sz w:val="20"/>
                <w:lang w:val="pl-PL"/>
              </w:rPr>
            </w:pPr>
            <w:r w:rsidRPr="00765C97">
              <w:rPr>
                <w:rFonts w:ascii="Arial" w:hAnsi="Arial"/>
                <w:sz w:val="20"/>
                <w:lang w:val="pl-PL"/>
              </w:rPr>
              <w:t>(125 153)</w:t>
            </w:r>
          </w:p>
        </w:tc>
        <w:tc>
          <w:tcPr>
            <w:tcW w:w="1276" w:type="dxa"/>
            <w:tcBorders>
              <w:left w:val="nil"/>
              <w:bottom w:val="single" w:sz="4" w:space="0" w:color="auto"/>
              <w:right w:val="nil"/>
            </w:tcBorders>
            <w:vAlign w:val="center"/>
          </w:tcPr>
          <w:p w:rsidR="0049622A" w:rsidRPr="00765C97" w:rsidRDefault="0049622A" w:rsidP="00385F70">
            <w:pPr>
              <w:ind w:right="90"/>
              <w:jc w:val="right"/>
              <w:rPr>
                <w:rFonts w:ascii="Arial" w:hAnsi="Arial"/>
                <w:sz w:val="20"/>
                <w:lang w:val="pl-PL"/>
              </w:rPr>
            </w:pPr>
            <w:r w:rsidRPr="00765C97">
              <w:rPr>
                <w:rFonts w:ascii="Arial" w:hAnsi="Arial"/>
                <w:sz w:val="20"/>
                <w:lang w:val="pl-PL"/>
              </w:rPr>
              <w:t>(15 658)</w:t>
            </w:r>
          </w:p>
        </w:tc>
        <w:tc>
          <w:tcPr>
            <w:tcW w:w="992" w:type="dxa"/>
            <w:tcBorders>
              <w:left w:val="nil"/>
              <w:bottom w:val="single" w:sz="4" w:space="0" w:color="auto"/>
              <w:right w:val="nil"/>
            </w:tcBorders>
            <w:vAlign w:val="center"/>
          </w:tcPr>
          <w:p w:rsidR="0049622A" w:rsidRPr="00765C97" w:rsidRDefault="0049622A" w:rsidP="00385F70">
            <w:pPr>
              <w:ind w:right="90"/>
              <w:jc w:val="right"/>
              <w:rPr>
                <w:rFonts w:ascii="Arial" w:hAnsi="Arial"/>
                <w:sz w:val="20"/>
                <w:lang w:val="pl-PL"/>
              </w:rPr>
            </w:pPr>
            <w:r w:rsidRPr="00765C97">
              <w:rPr>
                <w:rFonts w:ascii="Arial" w:hAnsi="Arial"/>
                <w:sz w:val="20"/>
                <w:lang w:val="pl-PL"/>
              </w:rPr>
              <w:t>(169 555)</w:t>
            </w: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rsidP="007812FC">
            <w:pPr>
              <w:rPr>
                <w:rFonts w:ascii="Arial" w:hAnsi="Arial"/>
                <w:color w:val="000000"/>
                <w:sz w:val="20"/>
                <w:lang w:val="pl-PL"/>
              </w:rPr>
            </w:pPr>
            <w:r w:rsidRPr="00765C97">
              <w:rPr>
                <w:rFonts w:ascii="Arial" w:hAnsi="Arial"/>
                <w:color w:val="000000"/>
                <w:sz w:val="20"/>
                <w:lang w:val="pl-PL"/>
              </w:rPr>
              <w:t>Wartość księgowa netto</w:t>
            </w:r>
          </w:p>
        </w:tc>
        <w:tc>
          <w:tcPr>
            <w:tcW w:w="1141" w:type="dxa"/>
            <w:tcBorders>
              <w:top w:val="single" w:sz="4" w:space="0" w:color="auto"/>
              <w:left w:val="nil"/>
              <w:bottom w:val="single" w:sz="2" w:space="0" w:color="auto"/>
              <w:right w:val="nil"/>
            </w:tcBorders>
            <w:vAlign w:val="center"/>
          </w:tcPr>
          <w:p w:rsidR="0049622A" w:rsidRPr="00765C97" w:rsidRDefault="0049622A" w:rsidP="00385F70">
            <w:pPr>
              <w:ind w:right="90"/>
              <w:jc w:val="right"/>
              <w:rPr>
                <w:rFonts w:ascii="Arial" w:hAnsi="Arial"/>
                <w:spacing w:val="-3"/>
                <w:sz w:val="20"/>
                <w:lang w:val="pl-PL"/>
              </w:rPr>
            </w:pPr>
            <w:r w:rsidRPr="00765C97">
              <w:rPr>
                <w:rFonts w:ascii="Arial" w:hAnsi="Arial"/>
                <w:spacing w:val="-3"/>
                <w:sz w:val="20"/>
                <w:lang w:val="pl-PL"/>
              </w:rPr>
              <w:t>250 786</w:t>
            </w:r>
          </w:p>
        </w:tc>
        <w:tc>
          <w:tcPr>
            <w:tcW w:w="1127" w:type="dxa"/>
            <w:tcBorders>
              <w:top w:val="single" w:sz="4" w:space="0" w:color="auto"/>
              <w:left w:val="nil"/>
              <w:bottom w:val="single" w:sz="2" w:space="0" w:color="auto"/>
              <w:right w:val="nil"/>
            </w:tcBorders>
            <w:vAlign w:val="center"/>
          </w:tcPr>
          <w:p w:rsidR="0049622A" w:rsidRPr="00765C97" w:rsidRDefault="0049622A" w:rsidP="00385F70">
            <w:pPr>
              <w:ind w:left="142" w:right="90"/>
              <w:jc w:val="right"/>
              <w:rPr>
                <w:rFonts w:ascii="Arial" w:hAnsi="Arial"/>
                <w:color w:val="000000"/>
                <w:sz w:val="20"/>
                <w:lang w:val="pl-PL"/>
              </w:rPr>
            </w:pPr>
            <w:r w:rsidRPr="00765C97">
              <w:rPr>
                <w:rFonts w:ascii="Arial" w:hAnsi="Arial"/>
                <w:color w:val="000000"/>
                <w:sz w:val="20"/>
                <w:lang w:val="pl-PL"/>
              </w:rPr>
              <w:t>72 594</w:t>
            </w:r>
          </w:p>
        </w:tc>
        <w:tc>
          <w:tcPr>
            <w:tcW w:w="1276" w:type="dxa"/>
            <w:tcBorders>
              <w:top w:val="single" w:sz="4" w:space="0" w:color="auto"/>
              <w:left w:val="nil"/>
              <w:bottom w:val="single" w:sz="2" w:space="0" w:color="auto"/>
              <w:right w:val="nil"/>
            </w:tcBorders>
            <w:vAlign w:val="center"/>
          </w:tcPr>
          <w:p w:rsidR="0049622A" w:rsidRPr="00765C97" w:rsidRDefault="0049622A" w:rsidP="00385F70">
            <w:pPr>
              <w:ind w:left="142" w:right="90"/>
              <w:jc w:val="right"/>
              <w:rPr>
                <w:rFonts w:ascii="Arial" w:hAnsi="Arial"/>
                <w:color w:val="000000"/>
                <w:sz w:val="20"/>
                <w:lang w:val="pl-PL"/>
              </w:rPr>
            </w:pPr>
            <w:r w:rsidRPr="00765C97">
              <w:rPr>
                <w:rFonts w:ascii="Arial" w:hAnsi="Arial"/>
                <w:color w:val="000000"/>
                <w:sz w:val="20"/>
                <w:lang w:val="pl-PL"/>
              </w:rPr>
              <w:t>4 591</w:t>
            </w:r>
          </w:p>
        </w:tc>
        <w:tc>
          <w:tcPr>
            <w:tcW w:w="992" w:type="dxa"/>
            <w:tcBorders>
              <w:top w:val="single" w:sz="4" w:space="0" w:color="auto"/>
              <w:left w:val="nil"/>
              <w:bottom w:val="single" w:sz="2" w:space="0" w:color="auto"/>
              <w:right w:val="nil"/>
            </w:tcBorders>
            <w:vAlign w:val="center"/>
          </w:tcPr>
          <w:p w:rsidR="0049622A" w:rsidRPr="00765C97" w:rsidRDefault="0049622A" w:rsidP="00385F70">
            <w:pPr>
              <w:ind w:left="142" w:right="90"/>
              <w:jc w:val="right"/>
              <w:rPr>
                <w:rFonts w:ascii="Arial" w:hAnsi="Arial"/>
                <w:color w:val="000000"/>
                <w:sz w:val="20"/>
                <w:lang w:val="pl-PL"/>
              </w:rPr>
            </w:pPr>
            <w:r w:rsidRPr="00765C97">
              <w:rPr>
                <w:rFonts w:ascii="Arial" w:hAnsi="Arial"/>
                <w:color w:val="000000"/>
                <w:sz w:val="20"/>
                <w:lang w:val="pl-PL"/>
              </w:rPr>
              <w:t>327 971</w:t>
            </w: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rsidP="007812FC">
            <w:pPr>
              <w:rPr>
                <w:rFonts w:ascii="Arial" w:hAnsi="Arial"/>
                <w:sz w:val="20"/>
                <w:lang w:val="pl-PL"/>
              </w:rPr>
            </w:pPr>
            <w:r w:rsidRPr="00765C97">
              <w:rPr>
                <w:rFonts w:ascii="Arial" w:hAnsi="Arial"/>
                <w:b/>
                <w:sz w:val="20"/>
                <w:lang w:val="pl-PL"/>
              </w:rPr>
              <w:t>Rok obrotowy 2012</w:t>
            </w:r>
          </w:p>
        </w:tc>
        <w:tc>
          <w:tcPr>
            <w:tcW w:w="1141" w:type="dxa"/>
            <w:tcBorders>
              <w:top w:val="single" w:sz="2" w:space="0" w:color="auto"/>
              <w:left w:val="nil"/>
              <w:bottom w:val="nil"/>
              <w:right w:val="nil"/>
            </w:tcBorders>
            <w:vAlign w:val="center"/>
          </w:tcPr>
          <w:p w:rsidR="0049622A" w:rsidRPr="00765C97" w:rsidRDefault="0049622A" w:rsidP="00986DDF">
            <w:pPr>
              <w:ind w:right="90"/>
              <w:jc w:val="right"/>
              <w:rPr>
                <w:rFonts w:ascii="Arial" w:hAnsi="Arial"/>
                <w:sz w:val="20"/>
                <w:lang w:val="pl-PL"/>
              </w:rPr>
            </w:pPr>
          </w:p>
        </w:tc>
        <w:tc>
          <w:tcPr>
            <w:tcW w:w="1127" w:type="dxa"/>
            <w:tcBorders>
              <w:top w:val="single" w:sz="2" w:space="0" w:color="auto"/>
              <w:left w:val="nil"/>
              <w:bottom w:val="nil"/>
              <w:right w:val="nil"/>
            </w:tcBorders>
            <w:vAlign w:val="center"/>
          </w:tcPr>
          <w:p w:rsidR="0049622A" w:rsidRPr="00765C97" w:rsidRDefault="0049622A" w:rsidP="00986DDF">
            <w:pPr>
              <w:ind w:right="90"/>
              <w:jc w:val="right"/>
              <w:rPr>
                <w:rFonts w:ascii="Arial" w:hAnsi="Arial"/>
                <w:sz w:val="20"/>
                <w:lang w:val="pl-PL"/>
              </w:rPr>
            </w:pPr>
          </w:p>
        </w:tc>
        <w:tc>
          <w:tcPr>
            <w:tcW w:w="1276" w:type="dxa"/>
            <w:tcBorders>
              <w:top w:val="single" w:sz="2" w:space="0" w:color="auto"/>
              <w:left w:val="nil"/>
              <w:bottom w:val="nil"/>
              <w:right w:val="nil"/>
            </w:tcBorders>
            <w:vAlign w:val="center"/>
          </w:tcPr>
          <w:p w:rsidR="0049622A" w:rsidRPr="00765C97" w:rsidRDefault="0049622A" w:rsidP="00986DDF">
            <w:pPr>
              <w:ind w:right="90"/>
              <w:jc w:val="right"/>
              <w:rPr>
                <w:rFonts w:ascii="Arial" w:hAnsi="Arial"/>
                <w:sz w:val="20"/>
                <w:lang w:val="pl-PL"/>
              </w:rPr>
            </w:pPr>
          </w:p>
        </w:tc>
        <w:tc>
          <w:tcPr>
            <w:tcW w:w="992" w:type="dxa"/>
            <w:tcBorders>
              <w:top w:val="single" w:sz="2" w:space="0" w:color="auto"/>
              <w:left w:val="nil"/>
              <w:bottom w:val="nil"/>
              <w:right w:val="nil"/>
            </w:tcBorders>
            <w:vAlign w:val="center"/>
          </w:tcPr>
          <w:p w:rsidR="0049622A" w:rsidRPr="00765C97" w:rsidRDefault="0049622A" w:rsidP="00986DDF">
            <w:pPr>
              <w:ind w:right="90"/>
              <w:jc w:val="right"/>
              <w:rPr>
                <w:rFonts w:ascii="Arial" w:hAnsi="Arial"/>
                <w:sz w:val="20"/>
                <w:lang w:val="pl-PL"/>
              </w:rPr>
            </w:pP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rsidP="00986DDF">
            <w:pPr>
              <w:rPr>
                <w:rFonts w:ascii="Arial" w:hAnsi="Arial"/>
                <w:color w:val="000000"/>
                <w:sz w:val="20"/>
                <w:lang w:val="pl-PL"/>
              </w:rPr>
            </w:pPr>
            <w:r w:rsidRPr="00765C97">
              <w:rPr>
                <w:rFonts w:ascii="Arial" w:hAnsi="Arial"/>
                <w:color w:val="000000"/>
                <w:sz w:val="20"/>
                <w:lang w:val="pl-PL"/>
              </w:rPr>
              <w:t>Wartość księgowa netto na początek roku</w:t>
            </w:r>
          </w:p>
        </w:tc>
        <w:tc>
          <w:tcPr>
            <w:tcW w:w="1141" w:type="dxa"/>
            <w:tcBorders>
              <w:top w:val="nil"/>
              <w:left w:val="nil"/>
              <w:bottom w:val="nil"/>
              <w:right w:val="nil"/>
            </w:tcBorders>
            <w:vAlign w:val="center"/>
          </w:tcPr>
          <w:p w:rsidR="0049622A" w:rsidRPr="00765C97" w:rsidRDefault="008148AE" w:rsidP="00986DDF">
            <w:pPr>
              <w:ind w:right="90"/>
              <w:jc w:val="right"/>
              <w:rPr>
                <w:rFonts w:ascii="Arial" w:hAnsi="Arial"/>
                <w:sz w:val="20"/>
                <w:lang w:val="pl-PL"/>
              </w:rPr>
            </w:pPr>
            <w:r w:rsidRPr="00765C97">
              <w:rPr>
                <w:rFonts w:ascii="Arial" w:hAnsi="Arial"/>
                <w:sz w:val="20"/>
                <w:lang w:val="pl-PL"/>
              </w:rPr>
              <w:t>250 786</w:t>
            </w:r>
          </w:p>
        </w:tc>
        <w:tc>
          <w:tcPr>
            <w:tcW w:w="1127" w:type="dxa"/>
            <w:tcBorders>
              <w:top w:val="nil"/>
              <w:left w:val="nil"/>
              <w:bottom w:val="nil"/>
              <w:right w:val="nil"/>
            </w:tcBorders>
            <w:vAlign w:val="center"/>
          </w:tcPr>
          <w:p w:rsidR="0049622A" w:rsidRPr="00765C97" w:rsidRDefault="008148AE" w:rsidP="00986DDF">
            <w:pPr>
              <w:ind w:right="90"/>
              <w:jc w:val="right"/>
              <w:rPr>
                <w:rFonts w:ascii="Arial" w:hAnsi="Arial"/>
                <w:sz w:val="20"/>
                <w:lang w:val="pl-PL"/>
              </w:rPr>
            </w:pPr>
            <w:r w:rsidRPr="00765C97">
              <w:rPr>
                <w:rFonts w:ascii="Arial" w:hAnsi="Arial"/>
                <w:sz w:val="20"/>
                <w:lang w:val="pl-PL"/>
              </w:rPr>
              <w:t>72 594</w:t>
            </w:r>
          </w:p>
        </w:tc>
        <w:tc>
          <w:tcPr>
            <w:tcW w:w="1276" w:type="dxa"/>
            <w:tcBorders>
              <w:top w:val="nil"/>
              <w:left w:val="nil"/>
              <w:bottom w:val="nil"/>
              <w:right w:val="nil"/>
            </w:tcBorders>
            <w:vAlign w:val="center"/>
          </w:tcPr>
          <w:p w:rsidR="0049622A" w:rsidRPr="00765C97" w:rsidRDefault="008148AE" w:rsidP="00986DDF">
            <w:pPr>
              <w:ind w:right="90"/>
              <w:jc w:val="right"/>
              <w:rPr>
                <w:rFonts w:ascii="Arial" w:hAnsi="Arial"/>
                <w:sz w:val="20"/>
                <w:lang w:val="pl-PL"/>
              </w:rPr>
            </w:pPr>
            <w:r w:rsidRPr="00765C97">
              <w:rPr>
                <w:rFonts w:ascii="Arial" w:hAnsi="Arial"/>
                <w:sz w:val="20"/>
                <w:lang w:val="pl-PL"/>
              </w:rPr>
              <w:t>4 591</w:t>
            </w:r>
          </w:p>
        </w:tc>
        <w:tc>
          <w:tcPr>
            <w:tcW w:w="992" w:type="dxa"/>
            <w:tcBorders>
              <w:top w:val="nil"/>
              <w:left w:val="nil"/>
              <w:bottom w:val="nil"/>
              <w:right w:val="nil"/>
            </w:tcBorders>
            <w:vAlign w:val="center"/>
          </w:tcPr>
          <w:p w:rsidR="0049622A" w:rsidRPr="00765C97" w:rsidRDefault="008148AE" w:rsidP="00986DDF">
            <w:pPr>
              <w:ind w:right="90"/>
              <w:jc w:val="right"/>
              <w:rPr>
                <w:rFonts w:ascii="Arial" w:hAnsi="Arial"/>
                <w:sz w:val="20"/>
                <w:lang w:val="pl-PL"/>
              </w:rPr>
            </w:pPr>
            <w:r w:rsidRPr="00765C97">
              <w:rPr>
                <w:rFonts w:ascii="Arial" w:hAnsi="Arial"/>
                <w:sz w:val="20"/>
                <w:lang w:val="pl-PL"/>
              </w:rPr>
              <w:t>327 971</w:t>
            </w: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pPr>
              <w:rPr>
                <w:rFonts w:ascii="Arial" w:hAnsi="Arial"/>
                <w:color w:val="000000"/>
                <w:sz w:val="20"/>
                <w:lang w:val="pl-PL"/>
              </w:rPr>
            </w:pPr>
            <w:r w:rsidRPr="00765C97">
              <w:rPr>
                <w:rFonts w:ascii="Arial" w:hAnsi="Arial"/>
                <w:color w:val="000000"/>
                <w:sz w:val="20"/>
                <w:lang w:val="pl-PL"/>
              </w:rPr>
              <w:t>Zwiększenia</w:t>
            </w:r>
          </w:p>
        </w:tc>
        <w:tc>
          <w:tcPr>
            <w:tcW w:w="1141" w:type="dxa"/>
            <w:tcBorders>
              <w:top w:val="nil"/>
              <w:left w:val="nil"/>
              <w:bottom w:val="nil"/>
              <w:right w:val="nil"/>
            </w:tcBorders>
            <w:vAlign w:val="center"/>
          </w:tcPr>
          <w:p w:rsidR="0049622A" w:rsidRPr="00765C97" w:rsidRDefault="008148AE" w:rsidP="00965811">
            <w:pPr>
              <w:ind w:right="90"/>
              <w:jc w:val="right"/>
              <w:rPr>
                <w:rFonts w:ascii="Arial" w:hAnsi="Arial"/>
                <w:color w:val="000000"/>
                <w:sz w:val="20"/>
                <w:lang w:val="pl-PL"/>
              </w:rPr>
            </w:pPr>
            <w:r w:rsidRPr="00765C97">
              <w:rPr>
                <w:rFonts w:ascii="Arial" w:hAnsi="Arial"/>
                <w:color w:val="000000"/>
                <w:sz w:val="20"/>
                <w:lang w:val="pl-PL"/>
              </w:rPr>
              <w:t>4</w:t>
            </w:r>
            <w:r w:rsidR="000756AD" w:rsidRPr="00765C97">
              <w:rPr>
                <w:rFonts w:ascii="Arial" w:hAnsi="Arial"/>
                <w:color w:val="000000"/>
                <w:sz w:val="20"/>
                <w:lang w:val="pl-PL"/>
              </w:rPr>
              <w:t>4 358</w:t>
            </w:r>
          </w:p>
        </w:tc>
        <w:tc>
          <w:tcPr>
            <w:tcW w:w="1127" w:type="dxa"/>
            <w:tcBorders>
              <w:top w:val="nil"/>
              <w:left w:val="nil"/>
              <w:bottom w:val="nil"/>
              <w:right w:val="nil"/>
            </w:tcBorders>
            <w:vAlign w:val="center"/>
          </w:tcPr>
          <w:p w:rsidR="0049622A" w:rsidRPr="00765C97" w:rsidRDefault="008148AE" w:rsidP="00965811">
            <w:pPr>
              <w:ind w:right="90"/>
              <w:jc w:val="right"/>
              <w:rPr>
                <w:rFonts w:ascii="Arial" w:hAnsi="Arial"/>
                <w:color w:val="000000"/>
                <w:sz w:val="20"/>
                <w:lang w:val="pl-PL"/>
              </w:rPr>
            </w:pPr>
            <w:r w:rsidRPr="00765C97">
              <w:rPr>
                <w:rFonts w:ascii="Arial" w:hAnsi="Arial"/>
                <w:color w:val="000000"/>
                <w:sz w:val="20"/>
                <w:lang w:val="pl-PL"/>
              </w:rPr>
              <w:t>2</w:t>
            </w:r>
            <w:r w:rsidR="000756AD" w:rsidRPr="00765C97">
              <w:rPr>
                <w:rFonts w:ascii="Arial" w:hAnsi="Arial"/>
                <w:color w:val="000000"/>
                <w:sz w:val="20"/>
                <w:lang w:val="pl-PL"/>
              </w:rPr>
              <w:t>5 044</w:t>
            </w:r>
          </w:p>
        </w:tc>
        <w:tc>
          <w:tcPr>
            <w:tcW w:w="1276" w:type="dxa"/>
            <w:tcBorders>
              <w:top w:val="nil"/>
              <w:left w:val="nil"/>
              <w:bottom w:val="nil"/>
              <w:right w:val="nil"/>
            </w:tcBorders>
            <w:vAlign w:val="center"/>
          </w:tcPr>
          <w:p w:rsidR="0049622A" w:rsidRPr="00765C97" w:rsidRDefault="008148AE" w:rsidP="004F67E3">
            <w:pPr>
              <w:ind w:right="90"/>
              <w:jc w:val="right"/>
              <w:rPr>
                <w:rFonts w:ascii="Arial" w:hAnsi="Arial"/>
                <w:color w:val="000000"/>
                <w:sz w:val="20"/>
                <w:lang w:val="pl-PL"/>
              </w:rPr>
            </w:pPr>
            <w:r w:rsidRPr="00765C97">
              <w:rPr>
                <w:rFonts w:ascii="Arial" w:hAnsi="Arial"/>
                <w:color w:val="000000"/>
                <w:sz w:val="20"/>
                <w:lang w:val="pl-PL"/>
              </w:rPr>
              <w:t>20 68</w:t>
            </w:r>
            <w:r w:rsidR="004F67E3" w:rsidRPr="00765C97">
              <w:rPr>
                <w:rFonts w:ascii="Arial" w:hAnsi="Arial"/>
                <w:color w:val="000000"/>
                <w:sz w:val="20"/>
                <w:lang w:val="pl-PL"/>
              </w:rPr>
              <w:t>1</w:t>
            </w:r>
          </w:p>
        </w:tc>
        <w:tc>
          <w:tcPr>
            <w:tcW w:w="992" w:type="dxa"/>
            <w:tcBorders>
              <w:top w:val="nil"/>
              <w:left w:val="nil"/>
              <w:bottom w:val="nil"/>
              <w:right w:val="nil"/>
            </w:tcBorders>
            <w:vAlign w:val="center"/>
          </w:tcPr>
          <w:p w:rsidR="0049622A" w:rsidRPr="00765C97" w:rsidRDefault="008148AE" w:rsidP="00374C51">
            <w:pPr>
              <w:ind w:right="90"/>
              <w:jc w:val="right"/>
              <w:rPr>
                <w:rFonts w:ascii="Arial" w:hAnsi="Arial"/>
                <w:color w:val="000000"/>
                <w:sz w:val="20"/>
                <w:lang w:val="pl-PL"/>
              </w:rPr>
            </w:pPr>
            <w:r w:rsidRPr="00765C97">
              <w:rPr>
                <w:rFonts w:ascii="Arial" w:hAnsi="Arial"/>
                <w:color w:val="000000"/>
                <w:sz w:val="20"/>
                <w:lang w:val="pl-PL"/>
              </w:rPr>
              <w:t>9</w:t>
            </w:r>
            <w:r w:rsidR="004F67E3" w:rsidRPr="00765C97">
              <w:rPr>
                <w:rFonts w:ascii="Arial" w:hAnsi="Arial"/>
                <w:color w:val="000000"/>
                <w:sz w:val="20"/>
                <w:lang w:val="pl-PL"/>
              </w:rPr>
              <w:t>0 083</w:t>
            </w: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pPr>
              <w:rPr>
                <w:rFonts w:ascii="Arial" w:hAnsi="Arial"/>
                <w:color w:val="000000"/>
                <w:sz w:val="20"/>
                <w:lang w:val="pl-PL"/>
              </w:rPr>
            </w:pPr>
            <w:r w:rsidRPr="00765C97">
              <w:rPr>
                <w:rFonts w:ascii="Arial" w:hAnsi="Arial"/>
                <w:color w:val="000000"/>
                <w:sz w:val="20"/>
                <w:lang w:val="pl-PL"/>
              </w:rPr>
              <w:t>Zmniejszenia</w:t>
            </w:r>
          </w:p>
        </w:tc>
        <w:tc>
          <w:tcPr>
            <w:tcW w:w="1141" w:type="dxa"/>
            <w:tcBorders>
              <w:top w:val="nil"/>
              <w:left w:val="nil"/>
              <w:bottom w:val="nil"/>
              <w:right w:val="nil"/>
            </w:tcBorders>
            <w:vAlign w:val="center"/>
          </w:tcPr>
          <w:p w:rsidR="0049622A" w:rsidRPr="00765C97" w:rsidRDefault="000756AD" w:rsidP="00AF2FB6">
            <w:pPr>
              <w:ind w:right="90"/>
              <w:jc w:val="right"/>
              <w:rPr>
                <w:rFonts w:ascii="Arial" w:hAnsi="Arial"/>
                <w:color w:val="000000"/>
                <w:sz w:val="20"/>
                <w:lang w:val="pl-PL"/>
              </w:rPr>
            </w:pPr>
            <w:r w:rsidRPr="00765C97">
              <w:rPr>
                <w:rFonts w:ascii="Arial" w:hAnsi="Arial"/>
                <w:color w:val="000000"/>
                <w:sz w:val="20"/>
                <w:lang w:val="pl-PL"/>
              </w:rPr>
              <w:t>(12 783</w:t>
            </w:r>
            <w:r w:rsidR="008148AE" w:rsidRPr="00765C97">
              <w:rPr>
                <w:rFonts w:ascii="Arial" w:hAnsi="Arial"/>
                <w:color w:val="000000"/>
                <w:sz w:val="20"/>
                <w:lang w:val="pl-PL"/>
              </w:rPr>
              <w:t>)</w:t>
            </w:r>
          </w:p>
        </w:tc>
        <w:tc>
          <w:tcPr>
            <w:tcW w:w="1127" w:type="dxa"/>
            <w:tcBorders>
              <w:top w:val="nil"/>
              <w:left w:val="nil"/>
              <w:bottom w:val="nil"/>
              <w:right w:val="nil"/>
            </w:tcBorders>
            <w:vAlign w:val="center"/>
          </w:tcPr>
          <w:p w:rsidR="0049622A" w:rsidRPr="00765C97" w:rsidRDefault="008148AE">
            <w:pPr>
              <w:ind w:right="90"/>
              <w:jc w:val="right"/>
              <w:rPr>
                <w:rFonts w:ascii="Arial" w:hAnsi="Arial"/>
                <w:color w:val="000000"/>
                <w:sz w:val="20"/>
                <w:lang w:val="pl-PL"/>
              </w:rPr>
            </w:pPr>
            <w:r w:rsidRPr="00765C97">
              <w:rPr>
                <w:rFonts w:ascii="Arial" w:hAnsi="Arial"/>
                <w:color w:val="000000"/>
                <w:sz w:val="20"/>
                <w:lang w:val="pl-PL"/>
              </w:rPr>
              <w:t>(20 437)</w:t>
            </w:r>
          </w:p>
        </w:tc>
        <w:tc>
          <w:tcPr>
            <w:tcW w:w="1276" w:type="dxa"/>
            <w:tcBorders>
              <w:top w:val="nil"/>
              <w:left w:val="nil"/>
              <w:bottom w:val="nil"/>
              <w:right w:val="nil"/>
            </w:tcBorders>
            <w:vAlign w:val="center"/>
          </w:tcPr>
          <w:p w:rsidR="0049622A" w:rsidRPr="00765C97" w:rsidRDefault="008148AE" w:rsidP="00AF2FB6">
            <w:pPr>
              <w:ind w:right="90"/>
              <w:jc w:val="right"/>
              <w:rPr>
                <w:rFonts w:ascii="Arial" w:hAnsi="Arial"/>
                <w:color w:val="000000"/>
                <w:spacing w:val="-3"/>
                <w:sz w:val="20"/>
                <w:lang w:val="pl-PL"/>
              </w:rPr>
            </w:pPr>
            <w:r w:rsidRPr="00765C97">
              <w:rPr>
                <w:rFonts w:ascii="Arial" w:hAnsi="Arial"/>
                <w:color w:val="000000"/>
                <w:spacing w:val="-3"/>
                <w:sz w:val="20"/>
                <w:lang w:val="pl-PL"/>
              </w:rPr>
              <w:t>(183)</w:t>
            </w:r>
          </w:p>
        </w:tc>
        <w:tc>
          <w:tcPr>
            <w:tcW w:w="992" w:type="dxa"/>
            <w:tcBorders>
              <w:top w:val="nil"/>
              <w:left w:val="nil"/>
              <w:bottom w:val="nil"/>
              <w:right w:val="nil"/>
            </w:tcBorders>
            <w:vAlign w:val="center"/>
          </w:tcPr>
          <w:p w:rsidR="0049622A" w:rsidRPr="00765C97" w:rsidRDefault="004F67E3" w:rsidP="004F67E3">
            <w:pPr>
              <w:ind w:right="90"/>
              <w:jc w:val="right"/>
              <w:rPr>
                <w:rFonts w:ascii="Arial" w:hAnsi="Arial"/>
                <w:color w:val="000000"/>
                <w:sz w:val="20"/>
                <w:lang w:val="pl-PL"/>
              </w:rPr>
            </w:pPr>
            <w:r w:rsidRPr="00765C97">
              <w:rPr>
                <w:rFonts w:ascii="Arial" w:hAnsi="Arial"/>
                <w:color w:val="000000"/>
                <w:sz w:val="20"/>
                <w:lang w:val="pl-PL"/>
              </w:rPr>
              <w:t>(33 403</w:t>
            </w:r>
            <w:r w:rsidR="008148AE" w:rsidRPr="00765C97">
              <w:rPr>
                <w:rFonts w:ascii="Arial" w:hAnsi="Arial"/>
                <w:color w:val="000000"/>
                <w:sz w:val="20"/>
                <w:lang w:val="pl-PL"/>
              </w:rPr>
              <w:t>)</w:t>
            </w: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pPr>
              <w:rPr>
                <w:rFonts w:ascii="Arial" w:hAnsi="Arial"/>
                <w:color w:val="000000"/>
                <w:sz w:val="20"/>
                <w:lang w:val="pl-PL"/>
              </w:rPr>
            </w:pPr>
            <w:r w:rsidRPr="00765C97">
              <w:rPr>
                <w:rFonts w:ascii="Arial" w:hAnsi="Arial"/>
                <w:color w:val="000000"/>
                <w:sz w:val="20"/>
                <w:lang w:val="pl-PL"/>
              </w:rPr>
              <w:t>Amortyzacja</w:t>
            </w:r>
          </w:p>
        </w:tc>
        <w:tc>
          <w:tcPr>
            <w:tcW w:w="1141" w:type="dxa"/>
            <w:tcBorders>
              <w:top w:val="nil"/>
              <w:left w:val="nil"/>
              <w:bottom w:val="single" w:sz="2" w:space="0" w:color="auto"/>
              <w:right w:val="nil"/>
            </w:tcBorders>
            <w:vAlign w:val="center"/>
          </w:tcPr>
          <w:p w:rsidR="0049622A" w:rsidRPr="00765C97" w:rsidRDefault="000756AD" w:rsidP="00AF2FB6">
            <w:pPr>
              <w:ind w:right="90"/>
              <w:jc w:val="right"/>
              <w:rPr>
                <w:rFonts w:ascii="Arial" w:hAnsi="Arial"/>
                <w:color w:val="000000"/>
                <w:spacing w:val="-3"/>
                <w:sz w:val="20"/>
                <w:lang w:val="pl-PL"/>
              </w:rPr>
            </w:pPr>
            <w:r w:rsidRPr="00765C97">
              <w:rPr>
                <w:rFonts w:ascii="Arial" w:hAnsi="Arial"/>
                <w:color w:val="000000"/>
                <w:spacing w:val="-3"/>
                <w:sz w:val="20"/>
                <w:lang w:val="pl-PL"/>
              </w:rPr>
              <w:t>(5 782</w:t>
            </w:r>
            <w:r w:rsidR="008148AE" w:rsidRPr="00765C97">
              <w:rPr>
                <w:rFonts w:ascii="Arial" w:hAnsi="Arial"/>
                <w:color w:val="000000"/>
                <w:spacing w:val="-3"/>
                <w:sz w:val="20"/>
                <w:lang w:val="pl-PL"/>
              </w:rPr>
              <w:t>)</w:t>
            </w:r>
          </w:p>
        </w:tc>
        <w:tc>
          <w:tcPr>
            <w:tcW w:w="1127" w:type="dxa"/>
            <w:tcBorders>
              <w:top w:val="nil"/>
              <w:left w:val="nil"/>
              <w:bottom w:val="single" w:sz="2" w:space="0" w:color="auto"/>
              <w:right w:val="nil"/>
            </w:tcBorders>
            <w:vAlign w:val="center"/>
          </w:tcPr>
          <w:p w:rsidR="0049622A" w:rsidRPr="00765C97" w:rsidRDefault="000756AD" w:rsidP="004F67E3">
            <w:pPr>
              <w:ind w:right="90"/>
              <w:jc w:val="right"/>
              <w:rPr>
                <w:rFonts w:ascii="Arial" w:hAnsi="Arial"/>
                <w:color w:val="000000"/>
                <w:sz w:val="20"/>
                <w:lang w:val="pl-PL"/>
              </w:rPr>
            </w:pPr>
            <w:r w:rsidRPr="00765C97">
              <w:rPr>
                <w:rFonts w:ascii="Arial" w:hAnsi="Arial"/>
                <w:color w:val="000000"/>
                <w:sz w:val="20"/>
                <w:lang w:val="pl-PL"/>
              </w:rPr>
              <w:t>(17 0</w:t>
            </w:r>
            <w:r w:rsidR="004F67E3" w:rsidRPr="00765C97">
              <w:rPr>
                <w:rFonts w:ascii="Arial" w:hAnsi="Arial"/>
                <w:color w:val="000000"/>
                <w:sz w:val="20"/>
                <w:lang w:val="pl-PL"/>
              </w:rPr>
              <w:t>51</w:t>
            </w:r>
            <w:r w:rsidR="008148AE" w:rsidRPr="00765C97">
              <w:rPr>
                <w:rFonts w:ascii="Arial" w:hAnsi="Arial"/>
                <w:color w:val="000000"/>
                <w:sz w:val="20"/>
                <w:lang w:val="pl-PL"/>
              </w:rPr>
              <w:t>)</w:t>
            </w:r>
          </w:p>
        </w:tc>
        <w:tc>
          <w:tcPr>
            <w:tcW w:w="1276" w:type="dxa"/>
            <w:tcBorders>
              <w:top w:val="nil"/>
              <w:left w:val="nil"/>
              <w:bottom w:val="single" w:sz="2" w:space="0" w:color="auto"/>
              <w:right w:val="nil"/>
            </w:tcBorders>
            <w:vAlign w:val="center"/>
          </w:tcPr>
          <w:p w:rsidR="0049622A" w:rsidRPr="00765C97" w:rsidRDefault="000756AD" w:rsidP="00AF2FB6">
            <w:pPr>
              <w:ind w:right="90"/>
              <w:jc w:val="right"/>
              <w:rPr>
                <w:rFonts w:ascii="Arial" w:hAnsi="Arial"/>
                <w:color w:val="000000"/>
                <w:sz w:val="20"/>
                <w:lang w:val="pl-PL"/>
              </w:rPr>
            </w:pPr>
            <w:r w:rsidRPr="00765C97">
              <w:rPr>
                <w:rFonts w:ascii="Arial" w:hAnsi="Arial"/>
                <w:color w:val="000000"/>
                <w:sz w:val="20"/>
                <w:lang w:val="pl-PL"/>
              </w:rPr>
              <w:t>(4 103</w:t>
            </w:r>
            <w:r w:rsidR="008148AE" w:rsidRPr="00765C97">
              <w:rPr>
                <w:rFonts w:ascii="Arial" w:hAnsi="Arial"/>
                <w:color w:val="000000"/>
                <w:sz w:val="20"/>
                <w:lang w:val="pl-PL"/>
              </w:rPr>
              <w:t>)</w:t>
            </w:r>
          </w:p>
        </w:tc>
        <w:tc>
          <w:tcPr>
            <w:tcW w:w="992" w:type="dxa"/>
            <w:tcBorders>
              <w:top w:val="nil"/>
              <w:left w:val="nil"/>
              <w:bottom w:val="single" w:sz="2" w:space="0" w:color="auto"/>
              <w:right w:val="nil"/>
            </w:tcBorders>
            <w:vAlign w:val="center"/>
          </w:tcPr>
          <w:p w:rsidR="0049622A" w:rsidRPr="00765C97" w:rsidRDefault="004F67E3" w:rsidP="00AF2FB6">
            <w:pPr>
              <w:ind w:right="90"/>
              <w:jc w:val="right"/>
              <w:rPr>
                <w:rFonts w:ascii="Arial" w:hAnsi="Arial"/>
                <w:color w:val="000000"/>
                <w:sz w:val="20"/>
                <w:lang w:val="pl-PL"/>
              </w:rPr>
            </w:pPr>
            <w:r w:rsidRPr="00765C97">
              <w:rPr>
                <w:rFonts w:ascii="Arial" w:hAnsi="Arial"/>
                <w:color w:val="000000"/>
                <w:sz w:val="20"/>
                <w:lang w:val="pl-PL"/>
              </w:rPr>
              <w:t>(26 936</w:t>
            </w:r>
            <w:r w:rsidR="008148AE" w:rsidRPr="00765C97">
              <w:rPr>
                <w:rFonts w:ascii="Arial" w:hAnsi="Arial"/>
                <w:color w:val="000000"/>
                <w:sz w:val="20"/>
                <w:lang w:val="pl-PL"/>
              </w:rPr>
              <w:t>)</w:t>
            </w: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pPr>
              <w:rPr>
                <w:rFonts w:ascii="Arial" w:hAnsi="Arial"/>
                <w:color w:val="000000"/>
                <w:sz w:val="20"/>
                <w:lang w:val="pl-PL"/>
              </w:rPr>
            </w:pPr>
            <w:r w:rsidRPr="00765C97">
              <w:rPr>
                <w:rFonts w:ascii="Arial" w:hAnsi="Arial"/>
                <w:color w:val="000000"/>
                <w:sz w:val="20"/>
                <w:lang w:val="pl-PL"/>
              </w:rPr>
              <w:t>Wartość księgowa netto na koniec roku</w:t>
            </w:r>
          </w:p>
        </w:tc>
        <w:tc>
          <w:tcPr>
            <w:tcW w:w="1141" w:type="dxa"/>
            <w:tcBorders>
              <w:top w:val="single" w:sz="2" w:space="0" w:color="auto"/>
              <w:left w:val="nil"/>
              <w:bottom w:val="single" w:sz="2" w:space="0" w:color="auto"/>
              <w:right w:val="nil"/>
            </w:tcBorders>
            <w:vAlign w:val="center"/>
          </w:tcPr>
          <w:p w:rsidR="0049622A" w:rsidRPr="00765C97" w:rsidRDefault="008148AE" w:rsidP="00965811">
            <w:pPr>
              <w:ind w:right="90"/>
              <w:jc w:val="right"/>
              <w:rPr>
                <w:rFonts w:ascii="Arial" w:hAnsi="Arial"/>
                <w:color w:val="000000"/>
                <w:sz w:val="20"/>
                <w:lang w:val="pl-PL"/>
              </w:rPr>
            </w:pPr>
            <w:r w:rsidRPr="00765C97">
              <w:rPr>
                <w:rFonts w:ascii="Arial" w:hAnsi="Arial"/>
                <w:color w:val="000000"/>
                <w:sz w:val="20"/>
                <w:lang w:val="pl-PL"/>
              </w:rPr>
              <w:t>276 579</w:t>
            </w:r>
          </w:p>
        </w:tc>
        <w:tc>
          <w:tcPr>
            <w:tcW w:w="1127" w:type="dxa"/>
            <w:tcBorders>
              <w:top w:val="single" w:sz="2" w:space="0" w:color="auto"/>
              <w:left w:val="nil"/>
              <w:bottom w:val="single" w:sz="2" w:space="0" w:color="auto"/>
              <w:right w:val="nil"/>
            </w:tcBorders>
            <w:vAlign w:val="center"/>
          </w:tcPr>
          <w:p w:rsidR="0049622A" w:rsidRPr="00765C97" w:rsidRDefault="008148AE" w:rsidP="00965811">
            <w:pPr>
              <w:ind w:right="90"/>
              <w:jc w:val="right"/>
              <w:rPr>
                <w:rFonts w:ascii="Arial" w:hAnsi="Arial"/>
                <w:color w:val="000000"/>
                <w:sz w:val="20"/>
                <w:lang w:val="pl-PL"/>
              </w:rPr>
            </w:pPr>
            <w:r w:rsidRPr="00765C97">
              <w:rPr>
                <w:rFonts w:ascii="Arial" w:hAnsi="Arial"/>
                <w:color w:val="000000"/>
                <w:sz w:val="20"/>
                <w:lang w:val="pl-PL"/>
              </w:rPr>
              <w:t>60 1</w:t>
            </w:r>
            <w:r w:rsidR="004F67E3" w:rsidRPr="00765C97">
              <w:rPr>
                <w:rFonts w:ascii="Arial" w:hAnsi="Arial"/>
                <w:color w:val="000000"/>
                <w:sz w:val="20"/>
                <w:lang w:val="pl-PL"/>
              </w:rPr>
              <w:t>50</w:t>
            </w:r>
          </w:p>
        </w:tc>
        <w:tc>
          <w:tcPr>
            <w:tcW w:w="1276" w:type="dxa"/>
            <w:tcBorders>
              <w:top w:val="single" w:sz="2" w:space="0" w:color="auto"/>
              <w:left w:val="nil"/>
              <w:bottom w:val="single" w:sz="2" w:space="0" w:color="auto"/>
              <w:right w:val="nil"/>
            </w:tcBorders>
            <w:vAlign w:val="center"/>
          </w:tcPr>
          <w:p w:rsidR="0049622A" w:rsidRPr="00765C97" w:rsidRDefault="008148AE" w:rsidP="004F67E3">
            <w:pPr>
              <w:ind w:right="90"/>
              <w:jc w:val="right"/>
              <w:rPr>
                <w:rFonts w:ascii="Arial" w:hAnsi="Arial"/>
                <w:color w:val="000000"/>
                <w:sz w:val="20"/>
                <w:lang w:val="pl-PL"/>
              </w:rPr>
            </w:pPr>
            <w:r w:rsidRPr="00765C97">
              <w:rPr>
                <w:rFonts w:ascii="Arial" w:hAnsi="Arial"/>
                <w:color w:val="000000"/>
                <w:sz w:val="20"/>
                <w:lang w:val="pl-PL"/>
              </w:rPr>
              <w:t>20 98</w:t>
            </w:r>
            <w:r w:rsidR="004F67E3" w:rsidRPr="00765C97">
              <w:rPr>
                <w:rFonts w:ascii="Arial" w:hAnsi="Arial"/>
                <w:color w:val="000000"/>
                <w:sz w:val="20"/>
                <w:lang w:val="pl-PL"/>
              </w:rPr>
              <w:t>6</w:t>
            </w:r>
          </w:p>
        </w:tc>
        <w:tc>
          <w:tcPr>
            <w:tcW w:w="992" w:type="dxa"/>
            <w:tcBorders>
              <w:top w:val="single" w:sz="2" w:space="0" w:color="auto"/>
              <w:left w:val="nil"/>
              <w:bottom w:val="single" w:sz="2" w:space="0" w:color="auto"/>
              <w:right w:val="nil"/>
            </w:tcBorders>
            <w:vAlign w:val="center"/>
          </w:tcPr>
          <w:p w:rsidR="0049622A" w:rsidRPr="00765C97" w:rsidRDefault="008148AE" w:rsidP="00374C51">
            <w:pPr>
              <w:ind w:right="90"/>
              <w:jc w:val="right"/>
              <w:rPr>
                <w:rFonts w:ascii="Arial" w:hAnsi="Arial"/>
                <w:color w:val="000000"/>
                <w:sz w:val="20"/>
                <w:lang w:val="pl-PL"/>
              </w:rPr>
            </w:pPr>
            <w:r w:rsidRPr="00765C97">
              <w:rPr>
                <w:rFonts w:ascii="Arial" w:hAnsi="Arial"/>
                <w:color w:val="000000"/>
                <w:sz w:val="20"/>
                <w:lang w:val="pl-PL"/>
              </w:rPr>
              <w:t>357 7</w:t>
            </w:r>
            <w:r w:rsidR="000756AD" w:rsidRPr="00765C97">
              <w:rPr>
                <w:rFonts w:ascii="Arial" w:hAnsi="Arial"/>
                <w:color w:val="000000"/>
                <w:sz w:val="20"/>
                <w:lang w:val="pl-PL"/>
              </w:rPr>
              <w:t>15</w:t>
            </w: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rsidP="0049622A">
            <w:pPr>
              <w:rPr>
                <w:rFonts w:ascii="Arial" w:hAnsi="Arial"/>
                <w:color w:val="000000"/>
                <w:sz w:val="20"/>
                <w:lang w:val="pl-PL"/>
              </w:rPr>
            </w:pPr>
            <w:r w:rsidRPr="00765C97">
              <w:rPr>
                <w:rFonts w:ascii="Arial" w:hAnsi="Arial"/>
                <w:b/>
                <w:color w:val="000000"/>
                <w:sz w:val="20"/>
                <w:lang w:val="pl-PL"/>
              </w:rPr>
              <w:t>Stan na 31 grudnia 2012 r.</w:t>
            </w:r>
          </w:p>
        </w:tc>
        <w:tc>
          <w:tcPr>
            <w:tcW w:w="1141" w:type="dxa"/>
            <w:tcBorders>
              <w:top w:val="single" w:sz="2" w:space="0" w:color="auto"/>
              <w:left w:val="nil"/>
              <w:bottom w:val="nil"/>
              <w:right w:val="nil"/>
            </w:tcBorders>
            <w:vAlign w:val="center"/>
          </w:tcPr>
          <w:p w:rsidR="0049622A" w:rsidRPr="00765C97" w:rsidRDefault="0049622A">
            <w:pPr>
              <w:ind w:right="90"/>
              <w:jc w:val="right"/>
              <w:rPr>
                <w:rFonts w:ascii="Arial" w:hAnsi="Arial"/>
                <w:sz w:val="20"/>
                <w:lang w:val="pl-PL"/>
              </w:rPr>
            </w:pPr>
          </w:p>
        </w:tc>
        <w:tc>
          <w:tcPr>
            <w:tcW w:w="1127" w:type="dxa"/>
            <w:tcBorders>
              <w:top w:val="single" w:sz="2" w:space="0" w:color="auto"/>
              <w:left w:val="nil"/>
              <w:bottom w:val="nil"/>
              <w:right w:val="nil"/>
            </w:tcBorders>
            <w:vAlign w:val="center"/>
          </w:tcPr>
          <w:p w:rsidR="0049622A" w:rsidRPr="00765C97" w:rsidRDefault="0049622A">
            <w:pPr>
              <w:ind w:right="90"/>
              <w:jc w:val="right"/>
              <w:rPr>
                <w:rFonts w:ascii="Arial" w:hAnsi="Arial"/>
                <w:sz w:val="20"/>
                <w:lang w:val="pl-PL"/>
              </w:rPr>
            </w:pPr>
          </w:p>
        </w:tc>
        <w:tc>
          <w:tcPr>
            <w:tcW w:w="1276" w:type="dxa"/>
            <w:tcBorders>
              <w:top w:val="single" w:sz="2" w:space="0" w:color="auto"/>
              <w:left w:val="nil"/>
              <w:bottom w:val="nil"/>
              <w:right w:val="nil"/>
            </w:tcBorders>
            <w:vAlign w:val="center"/>
          </w:tcPr>
          <w:p w:rsidR="0049622A" w:rsidRPr="00765C97" w:rsidRDefault="0049622A">
            <w:pPr>
              <w:ind w:right="90"/>
              <w:jc w:val="right"/>
              <w:rPr>
                <w:rFonts w:ascii="Arial" w:hAnsi="Arial"/>
                <w:sz w:val="20"/>
                <w:lang w:val="pl-PL"/>
              </w:rPr>
            </w:pPr>
          </w:p>
        </w:tc>
        <w:tc>
          <w:tcPr>
            <w:tcW w:w="992" w:type="dxa"/>
            <w:tcBorders>
              <w:top w:val="single" w:sz="2" w:space="0" w:color="auto"/>
              <w:left w:val="nil"/>
              <w:bottom w:val="nil"/>
              <w:right w:val="nil"/>
            </w:tcBorders>
            <w:vAlign w:val="center"/>
          </w:tcPr>
          <w:p w:rsidR="0049622A" w:rsidRPr="00765C97" w:rsidRDefault="0049622A">
            <w:pPr>
              <w:ind w:right="90"/>
              <w:jc w:val="right"/>
              <w:rPr>
                <w:rFonts w:ascii="Arial" w:hAnsi="Arial"/>
                <w:sz w:val="20"/>
                <w:lang w:val="pl-PL"/>
              </w:rPr>
            </w:pP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pPr>
              <w:rPr>
                <w:rFonts w:ascii="Arial" w:hAnsi="Arial"/>
                <w:color w:val="000000"/>
                <w:sz w:val="20"/>
                <w:lang w:val="pl-PL"/>
              </w:rPr>
            </w:pPr>
            <w:r w:rsidRPr="00765C97">
              <w:rPr>
                <w:rFonts w:ascii="Arial" w:hAnsi="Arial"/>
                <w:color w:val="000000"/>
                <w:sz w:val="20"/>
                <w:lang w:val="pl-PL"/>
              </w:rPr>
              <w:t>Koszt lub wartość z wyceny (brutto)</w:t>
            </w:r>
          </w:p>
        </w:tc>
        <w:tc>
          <w:tcPr>
            <w:tcW w:w="1141" w:type="dxa"/>
            <w:tcBorders>
              <w:top w:val="nil"/>
              <w:left w:val="nil"/>
              <w:bottom w:val="nil"/>
              <w:right w:val="nil"/>
            </w:tcBorders>
            <w:vAlign w:val="center"/>
          </w:tcPr>
          <w:p w:rsidR="0049622A" w:rsidRPr="00765C97" w:rsidRDefault="008148AE" w:rsidP="00DC33A0">
            <w:pPr>
              <w:ind w:right="90"/>
              <w:jc w:val="right"/>
              <w:rPr>
                <w:rFonts w:ascii="Arial" w:hAnsi="Arial"/>
                <w:sz w:val="20"/>
                <w:lang w:val="pl-PL"/>
              </w:rPr>
            </w:pPr>
            <w:r w:rsidRPr="00765C97">
              <w:rPr>
                <w:rFonts w:ascii="Arial" w:hAnsi="Arial"/>
                <w:sz w:val="20"/>
                <w:lang w:val="pl-PL"/>
              </w:rPr>
              <w:t xml:space="preserve">311 </w:t>
            </w:r>
            <w:r w:rsidR="000756AD" w:rsidRPr="00765C97">
              <w:rPr>
                <w:rFonts w:ascii="Arial" w:hAnsi="Arial"/>
                <w:sz w:val="20"/>
                <w:lang w:val="pl-PL"/>
              </w:rPr>
              <w:t>105</w:t>
            </w:r>
          </w:p>
        </w:tc>
        <w:tc>
          <w:tcPr>
            <w:tcW w:w="1127" w:type="dxa"/>
            <w:tcBorders>
              <w:top w:val="nil"/>
              <w:left w:val="nil"/>
              <w:bottom w:val="nil"/>
              <w:right w:val="nil"/>
            </w:tcBorders>
            <w:vAlign w:val="center"/>
          </w:tcPr>
          <w:p w:rsidR="0049622A" w:rsidRPr="00765C97" w:rsidRDefault="008148AE" w:rsidP="000756AD">
            <w:pPr>
              <w:ind w:right="90"/>
              <w:jc w:val="right"/>
              <w:rPr>
                <w:rFonts w:ascii="Arial" w:hAnsi="Arial"/>
                <w:sz w:val="20"/>
                <w:lang w:val="pl-PL"/>
              </w:rPr>
            </w:pPr>
            <w:r w:rsidRPr="00765C97">
              <w:rPr>
                <w:rFonts w:ascii="Arial" w:hAnsi="Arial"/>
                <w:sz w:val="20"/>
                <w:lang w:val="pl-PL"/>
              </w:rPr>
              <w:t xml:space="preserve">202 </w:t>
            </w:r>
            <w:r w:rsidR="000756AD" w:rsidRPr="00765C97">
              <w:rPr>
                <w:rFonts w:ascii="Arial" w:hAnsi="Arial"/>
                <w:sz w:val="20"/>
                <w:lang w:val="pl-PL"/>
              </w:rPr>
              <w:t>354</w:t>
            </w:r>
          </w:p>
        </w:tc>
        <w:tc>
          <w:tcPr>
            <w:tcW w:w="1276" w:type="dxa"/>
            <w:tcBorders>
              <w:top w:val="nil"/>
              <w:left w:val="nil"/>
              <w:bottom w:val="nil"/>
              <w:right w:val="nil"/>
            </w:tcBorders>
            <w:vAlign w:val="center"/>
          </w:tcPr>
          <w:p w:rsidR="0049622A" w:rsidRPr="00765C97" w:rsidRDefault="008148AE" w:rsidP="004F67E3">
            <w:pPr>
              <w:ind w:right="90"/>
              <w:jc w:val="right"/>
              <w:rPr>
                <w:rFonts w:ascii="Arial" w:hAnsi="Arial"/>
                <w:sz w:val="20"/>
                <w:lang w:val="pl-PL"/>
              </w:rPr>
            </w:pPr>
            <w:r w:rsidRPr="00765C97">
              <w:rPr>
                <w:rFonts w:ascii="Arial" w:hAnsi="Arial"/>
                <w:sz w:val="20"/>
                <w:lang w:val="pl-PL"/>
              </w:rPr>
              <w:t>40 7</w:t>
            </w:r>
            <w:r w:rsidR="000756AD" w:rsidRPr="00765C97">
              <w:rPr>
                <w:rFonts w:ascii="Arial" w:hAnsi="Arial"/>
                <w:sz w:val="20"/>
                <w:lang w:val="pl-PL"/>
              </w:rPr>
              <w:t>4</w:t>
            </w:r>
            <w:r w:rsidR="004F67E3" w:rsidRPr="00765C97">
              <w:rPr>
                <w:rFonts w:ascii="Arial" w:hAnsi="Arial"/>
                <w:sz w:val="20"/>
                <w:lang w:val="pl-PL"/>
              </w:rPr>
              <w:t>7</w:t>
            </w:r>
          </w:p>
        </w:tc>
        <w:tc>
          <w:tcPr>
            <w:tcW w:w="992" w:type="dxa"/>
            <w:tcBorders>
              <w:top w:val="nil"/>
              <w:left w:val="nil"/>
              <w:bottom w:val="nil"/>
              <w:right w:val="nil"/>
            </w:tcBorders>
            <w:vAlign w:val="center"/>
          </w:tcPr>
          <w:p w:rsidR="0049622A" w:rsidRPr="00765C97" w:rsidRDefault="008148AE" w:rsidP="004F67E3">
            <w:pPr>
              <w:ind w:right="90"/>
              <w:jc w:val="right"/>
              <w:rPr>
                <w:rFonts w:ascii="Arial" w:hAnsi="Arial"/>
                <w:sz w:val="20"/>
                <w:lang w:val="pl-PL"/>
              </w:rPr>
            </w:pPr>
            <w:r w:rsidRPr="00765C97">
              <w:rPr>
                <w:rFonts w:ascii="Arial" w:hAnsi="Arial"/>
                <w:sz w:val="20"/>
                <w:lang w:val="pl-PL"/>
              </w:rPr>
              <w:t xml:space="preserve">554 </w:t>
            </w:r>
            <w:r w:rsidR="000756AD" w:rsidRPr="00765C97">
              <w:rPr>
                <w:rFonts w:ascii="Arial" w:hAnsi="Arial"/>
                <w:sz w:val="20"/>
                <w:lang w:val="pl-PL"/>
              </w:rPr>
              <w:t>20</w:t>
            </w:r>
            <w:r w:rsidR="004F67E3" w:rsidRPr="00765C97">
              <w:rPr>
                <w:rFonts w:ascii="Arial" w:hAnsi="Arial"/>
                <w:sz w:val="20"/>
                <w:lang w:val="pl-PL"/>
              </w:rPr>
              <w:t>6</w:t>
            </w: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pPr>
              <w:rPr>
                <w:rFonts w:ascii="Arial" w:hAnsi="Arial"/>
                <w:color w:val="000000"/>
                <w:sz w:val="20"/>
                <w:lang w:val="pl-PL"/>
              </w:rPr>
            </w:pPr>
            <w:r w:rsidRPr="00765C97">
              <w:rPr>
                <w:rFonts w:ascii="Arial" w:hAnsi="Arial"/>
                <w:color w:val="000000"/>
                <w:sz w:val="20"/>
                <w:lang w:val="pl-PL"/>
              </w:rPr>
              <w:t>Umorzenie</w:t>
            </w:r>
          </w:p>
        </w:tc>
        <w:tc>
          <w:tcPr>
            <w:tcW w:w="1141" w:type="dxa"/>
            <w:tcBorders>
              <w:left w:val="nil"/>
              <w:right w:val="nil"/>
            </w:tcBorders>
            <w:vAlign w:val="center"/>
          </w:tcPr>
          <w:p w:rsidR="0049622A" w:rsidRPr="00765C97" w:rsidRDefault="000756AD" w:rsidP="004B6AC7">
            <w:pPr>
              <w:ind w:right="90"/>
              <w:jc w:val="right"/>
              <w:rPr>
                <w:rFonts w:ascii="Arial" w:hAnsi="Arial"/>
                <w:sz w:val="20"/>
                <w:lang w:val="pl-PL"/>
              </w:rPr>
            </w:pPr>
            <w:r w:rsidRPr="00765C97">
              <w:rPr>
                <w:rFonts w:ascii="Arial" w:hAnsi="Arial"/>
                <w:sz w:val="20"/>
                <w:lang w:val="pl-PL"/>
              </w:rPr>
              <w:t>(34 526</w:t>
            </w:r>
            <w:r w:rsidR="008148AE" w:rsidRPr="00765C97">
              <w:rPr>
                <w:rFonts w:ascii="Arial" w:hAnsi="Arial"/>
                <w:sz w:val="20"/>
                <w:lang w:val="pl-PL"/>
              </w:rPr>
              <w:t>)</w:t>
            </w:r>
          </w:p>
        </w:tc>
        <w:tc>
          <w:tcPr>
            <w:tcW w:w="1127" w:type="dxa"/>
            <w:tcBorders>
              <w:left w:val="nil"/>
              <w:right w:val="nil"/>
            </w:tcBorders>
            <w:vAlign w:val="center"/>
          </w:tcPr>
          <w:p w:rsidR="0049622A" w:rsidRPr="00765C97" w:rsidRDefault="008148AE" w:rsidP="004F67E3">
            <w:pPr>
              <w:ind w:right="90"/>
              <w:jc w:val="right"/>
              <w:rPr>
                <w:rFonts w:ascii="Arial" w:hAnsi="Arial"/>
                <w:sz w:val="20"/>
                <w:lang w:val="pl-PL"/>
              </w:rPr>
            </w:pPr>
            <w:r w:rsidRPr="00765C97">
              <w:rPr>
                <w:rFonts w:ascii="Arial" w:hAnsi="Arial"/>
                <w:sz w:val="20"/>
                <w:lang w:val="pl-PL"/>
              </w:rPr>
              <w:t>(142</w:t>
            </w:r>
            <w:r w:rsidR="000756AD" w:rsidRPr="00765C97">
              <w:rPr>
                <w:rFonts w:ascii="Arial" w:hAnsi="Arial"/>
                <w:sz w:val="20"/>
                <w:lang w:val="pl-PL"/>
              </w:rPr>
              <w:t> </w:t>
            </w:r>
            <w:r w:rsidR="004F67E3" w:rsidRPr="00765C97">
              <w:rPr>
                <w:rFonts w:ascii="Arial" w:hAnsi="Arial"/>
                <w:sz w:val="20"/>
                <w:lang w:val="pl-PL"/>
              </w:rPr>
              <w:t>204</w:t>
            </w:r>
            <w:r w:rsidRPr="00765C97">
              <w:rPr>
                <w:rFonts w:ascii="Arial" w:hAnsi="Arial"/>
                <w:sz w:val="20"/>
                <w:lang w:val="pl-PL"/>
              </w:rPr>
              <w:t>)</w:t>
            </w:r>
          </w:p>
        </w:tc>
        <w:tc>
          <w:tcPr>
            <w:tcW w:w="1276" w:type="dxa"/>
            <w:tcBorders>
              <w:left w:val="nil"/>
              <w:right w:val="nil"/>
            </w:tcBorders>
            <w:vAlign w:val="center"/>
          </w:tcPr>
          <w:p w:rsidR="0049622A" w:rsidRPr="00765C97" w:rsidRDefault="000756AD" w:rsidP="00AF2FB6">
            <w:pPr>
              <w:ind w:right="90"/>
              <w:jc w:val="right"/>
              <w:rPr>
                <w:rFonts w:ascii="Arial" w:hAnsi="Arial"/>
                <w:sz w:val="20"/>
                <w:lang w:val="pl-PL"/>
              </w:rPr>
            </w:pPr>
            <w:r w:rsidRPr="00765C97">
              <w:rPr>
                <w:rFonts w:ascii="Arial" w:hAnsi="Arial"/>
                <w:sz w:val="20"/>
                <w:lang w:val="pl-PL"/>
              </w:rPr>
              <w:t>(19 761</w:t>
            </w:r>
            <w:r w:rsidR="008148AE" w:rsidRPr="00765C97">
              <w:rPr>
                <w:rFonts w:ascii="Arial" w:hAnsi="Arial"/>
                <w:sz w:val="20"/>
                <w:lang w:val="pl-PL"/>
              </w:rPr>
              <w:t>)</w:t>
            </w:r>
          </w:p>
        </w:tc>
        <w:tc>
          <w:tcPr>
            <w:tcW w:w="992" w:type="dxa"/>
            <w:tcBorders>
              <w:left w:val="nil"/>
              <w:right w:val="nil"/>
            </w:tcBorders>
            <w:vAlign w:val="center"/>
          </w:tcPr>
          <w:p w:rsidR="0049622A" w:rsidRPr="00765C97" w:rsidRDefault="000756AD" w:rsidP="00C11557">
            <w:pPr>
              <w:ind w:right="90"/>
              <w:jc w:val="right"/>
              <w:rPr>
                <w:rFonts w:ascii="Arial" w:hAnsi="Arial"/>
                <w:sz w:val="20"/>
                <w:lang w:val="pl-PL"/>
              </w:rPr>
            </w:pPr>
            <w:r w:rsidRPr="00765C97">
              <w:rPr>
                <w:rFonts w:ascii="Arial" w:hAnsi="Arial"/>
                <w:sz w:val="20"/>
                <w:lang w:val="pl-PL"/>
              </w:rPr>
              <w:t>(196 </w:t>
            </w:r>
            <w:r w:rsidR="004F67E3" w:rsidRPr="00765C97">
              <w:rPr>
                <w:rFonts w:ascii="Arial" w:hAnsi="Arial"/>
                <w:sz w:val="20"/>
                <w:lang w:val="pl-PL"/>
              </w:rPr>
              <w:t>491</w:t>
            </w:r>
            <w:r w:rsidR="00C11557" w:rsidRPr="00765C97">
              <w:rPr>
                <w:rFonts w:ascii="Arial" w:hAnsi="Arial"/>
                <w:sz w:val="20"/>
                <w:lang w:val="pl-PL"/>
              </w:rPr>
              <w:t>)</w:t>
            </w:r>
          </w:p>
        </w:tc>
      </w:tr>
      <w:tr w:rsidR="0049622A" w:rsidRPr="00765C97">
        <w:trPr>
          <w:cantSplit/>
          <w:trHeight w:val="255"/>
        </w:trPr>
        <w:tc>
          <w:tcPr>
            <w:tcW w:w="3789" w:type="dxa"/>
            <w:tcBorders>
              <w:top w:val="nil"/>
              <w:left w:val="nil"/>
              <w:bottom w:val="nil"/>
              <w:right w:val="nil"/>
            </w:tcBorders>
            <w:vAlign w:val="center"/>
          </w:tcPr>
          <w:p w:rsidR="0049622A" w:rsidRPr="00765C97" w:rsidRDefault="0049622A">
            <w:pPr>
              <w:rPr>
                <w:rFonts w:ascii="Arial" w:hAnsi="Arial"/>
                <w:color w:val="000000"/>
                <w:sz w:val="20"/>
                <w:lang w:val="pl-PL"/>
              </w:rPr>
            </w:pPr>
            <w:r w:rsidRPr="00765C97">
              <w:rPr>
                <w:rFonts w:ascii="Arial" w:hAnsi="Arial"/>
                <w:color w:val="000000"/>
                <w:sz w:val="20"/>
                <w:lang w:val="pl-PL"/>
              </w:rPr>
              <w:t>Wartość księgowa netto</w:t>
            </w:r>
          </w:p>
        </w:tc>
        <w:tc>
          <w:tcPr>
            <w:tcW w:w="1141" w:type="dxa"/>
            <w:tcBorders>
              <w:top w:val="single" w:sz="2" w:space="0" w:color="auto"/>
              <w:left w:val="nil"/>
              <w:bottom w:val="single" w:sz="2" w:space="0" w:color="auto"/>
              <w:right w:val="nil"/>
            </w:tcBorders>
            <w:vAlign w:val="center"/>
          </w:tcPr>
          <w:p w:rsidR="0049622A" w:rsidRPr="00765C97" w:rsidRDefault="00C11557" w:rsidP="004B6AC7">
            <w:pPr>
              <w:ind w:right="90"/>
              <w:jc w:val="right"/>
              <w:rPr>
                <w:rFonts w:ascii="Arial" w:hAnsi="Arial"/>
                <w:spacing w:val="-3"/>
                <w:sz w:val="20"/>
                <w:lang w:val="pl-PL"/>
              </w:rPr>
            </w:pPr>
            <w:r w:rsidRPr="00765C97">
              <w:rPr>
                <w:rFonts w:ascii="Arial" w:hAnsi="Arial"/>
                <w:spacing w:val="-3"/>
                <w:sz w:val="20"/>
                <w:lang w:val="pl-PL"/>
              </w:rPr>
              <w:t>276 579</w:t>
            </w:r>
          </w:p>
        </w:tc>
        <w:tc>
          <w:tcPr>
            <w:tcW w:w="1127" w:type="dxa"/>
            <w:tcBorders>
              <w:top w:val="single" w:sz="2" w:space="0" w:color="auto"/>
              <w:left w:val="nil"/>
              <w:bottom w:val="single" w:sz="2" w:space="0" w:color="auto"/>
              <w:right w:val="nil"/>
            </w:tcBorders>
            <w:vAlign w:val="center"/>
          </w:tcPr>
          <w:p w:rsidR="0049622A" w:rsidRPr="00765C97" w:rsidRDefault="00C11557" w:rsidP="000756AD">
            <w:pPr>
              <w:ind w:left="142" w:right="90"/>
              <w:jc w:val="right"/>
              <w:rPr>
                <w:rFonts w:ascii="Arial" w:hAnsi="Arial"/>
                <w:color w:val="000000"/>
                <w:sz w:val="20"/>
                <w:lang w:val="pl-PL"/>
              </w:rPr>
            </w:pPr>
            <w:r w:rsidRPr="00765C97">
              <w:rPr>
                <w:rFonts w:ascii="Arial" w:hAnsi="Arial"/>
                <w:color w:val="000000"/>
                <w:sz w:val="20"/>
                <w:lang w:val="pl-PL"/>
              </w:rPr>
              <w:t>60 1</w:t>
            </w:r>
            <w:r w:rsidR="004F67E3" w:rsidRPr="00765C97">
              <w:rPr>
                <w:rFonts w:ascii="Arial" w:hAnsi="Arial"/>
                <w:color w:val="000000"/>
                <w:sz w:val="20"/>
                <w:lang w:val="pl-PL"/>
              </w:rPr>
              <w:t>50</w:t>
            </w:r>
          </w:p>
        </w:tc>
        <w:tc>
          <w:tcPr>
            <w:tcW w:w="1276" w:type="dxa"/>
            <w:tcBorders>
              <w:top w:val="single" w:sz="2" w:space="0" w:color="auto"/>
              <w:left w:val="nil"/>
              <w:bottom w:val="single" w:sz="2" w:space="0" w:color="auto"/>
              <w:right w:val="nil"/>
            </w:tcBorders>
            <w:vAlign w:val="center"/>
          </w:tcPr>
          <w:p w:rsidR="0049622A" w:rsidRPr="00765C97" w:rsidRDefault="00C11557" w:rsidP="004F67E3">
            <w:pPr>
              <w:ind w:left="142" w:right="90"/>
              <w:jc w:val="right"/>
              <w:rPr>
                <w:rFonts w:ascii="Arial" w:hAnsi="Arial"/>
                <w:color w:val="000000"/>
                <w:sz w:val="20"/>
                <w:lang w:val="pl-PL"/>
              </w:rPr>
            </w:pPr>
            <w:r w:rsidRPr="00765C97">
              <w:rPr>
                <w:rFonts w:ascii="Arial" w:hAnsi="Arial"/>
                <w:color w:val="000000"/>
                <w:sz w:val="20"/>
                <w:lang w:val="pl-PL"/>
              </w:rPr>
              <w:t>20 98</w:t>
            </w:r>
            <w:r w:rsidR="004F67E3" w:rsidRPr="00765C97">
              <w:rPr>
                <w:rFonts w:ascii="Arial" w:hAnsi="Arial"/>
                <w:color w:val="000000"/>
                <w:sz w:val="20"/>
                <w:lang w:val="pl-PL"/>
              </w:rPr>
              <w:t>6</w:t>
            </w:r>
          </w:p>
        </w:tc>
        <w:tc>
          <w:tcPr>
            <w:tcW w:w="992" w:type="dxa"/>
            <w:tcBorders>
              <w:top w:val="single" w:sz="2" w:space="0" w:color="auto"/>
              <w:left w:val="nil"/>
              <w:bottom w:val="single" w:sz="2" w:space="0" w:color="auto"/>
              <w:right w:val="nil"/>
            </w:tcBorders>
            <w:vAlign w:val="center"/>
          </w:tcPr>
          <w:p w:rsidR="0049622A" w:rsidRPr="00765C97" w:rsidRDefault="00C11557" w:rsidP="00DC33A0">
            <w:pPr>
              <w:ind w:left="142" w:right="90"/>
              <w:jc w:val="right"/>
              <w:rPr>
                <w:rFonts w:ascii="Arial" w:hAnsi="Arial"/>
                <w:color w:val="000000"/>
                <w:sz w:val="20"/>
                <w:lang w:val="pl-PL"/>
              </w:rPr>
            </w:pPr>
            <w:r w:rsidRPr="00765C97">
              <w:rPr>
                <w:rFonts w:ascii="Arial" w:hAnsi="Arial"/>
                <w:color w:val="000000"/>
                <w:sz w:val="20"/>
                <w:lang w:val="pl-PL"/>
              </w:rPr>
              <w:t>357 7</w:t>
            </w:r>
            <w:r w:rsidR="004F67E3" w:rsidRPr="00765C97">
              <w:rPr>
                <w:rFonts w:ascii="Arial" w:hAnsi="Arial"/>
                <w:color w:val="000000"/>
                <w:sz w:val="20"/>
                <w:lang w:val="pl-PL"/>
              </w:rPr>
              <w:t>15</w:t>
            </w:r>
          </w:p>
        </w:tc>
      </w:tr>
    </w:tbl>
    <w:p w:rsidR="00B24DA9" w:rsidRPr="00765C97" w:rsidRDefault="00B24DA9">
      <w:pPr>
        <w:widowControl/>
        <w:adjustRightInd w:val="0"/>
        <w:ind w:left="142"/>
        <w:jc w:val="both"/>
        <w:rPr>
          <w:rFonts w:ascii="Arial" w:hAnsi="Arial"/>
          <w:sz w:val="20"/>
          <w:lang w:val="pl-PL"/>
        </w:rPr>
      </w:pPr>
    </w:p>
    <w:p w:rsidR="009652C1" w:rsidRPr="00765C97" w:rsidRDefault="009652C1" w:rsidP="009652C1">
      <w:pPr>
        <w:ind w:left="181"/>
        <w:jc w:val="both"/>
        <w:rPr>
          <w:rFonts w:ascii="Arial" w:hAnsi="Arial" w:cs="Arial"/>
          <w:sz w:val="20"/>
          <w:szCs w:val="20"/>
          <w:lang w:val="pl-PL"/>
        </w:rPr>
      </w:pPr>
      <w:r w:rsidRPr="00765C97">
        <w:rPr>
          <w:rFonts w:ascii="Arial" w:hAnsi="Arial" w:cs="Arial"/>
          <w:sz w:val="20"/>
          <w:szCs w:val="20"/>
          <w:lang w:val="pl-PL"/>
        </w:rPr>
        <w:t>Rzeczowe aktywa trwałe obejmują głównie nieruchomości i urządzenia posiadane przez Grupę Comarch. Na dzień 31 grudnia 2012 r. własnością Grupy jest sześć budynków biurowych położonych w Krakowie, w tym pięć w Specjalnej Strefie Ekonomicznej o powierzchni całkowitej 36 584 m. kw., dwa budynki biurowe położone w Warszawie o powierzchni całkowitej 2 582 m. kw., budynki biurowe i magazynowe w Łodzi, budynek biurowy i magazynowy w Lille</w:t>
      </w:r>
      <w:r w:rsidR="000C4F42" w:rsidRPr="00765C97">
        <w:rPr>
          <w:rFonts w:ascii="Arial" w:hAnsi="Arial" w:cs="Arial"/>
          <w:sz w:val="20"/>
          <w:szCs w:val="20"/>
          <w:lang w:val="pl-PL"/>
        </w:rPr>
        <w:t>,</w:t>
      </w:r>
      <w:r w:rsidRPr="00765C97">
        <w:rPr>
          <w:rFonts w:ascii="Arial" w:hAnsi="Arial" w:cs="Arial"/>
          <w:sz w:val="20"/>
          <w:szCs w:val="20"/>
          <w:lang w:val="pl-PL"/>
        </w:rPr>
        <w:t xml:space="preserve"> </w:t>
      </w:r>
      <w:r w:rsidR="000C4F42" w:rsidRPr="00765C97">
        <w:rPr>
          <w:rFonts w:ascii="Arial" w:hAnsi="Arial" w:cs="Arial"/>
          <w:sz w:val="20"/>
          <w:szCs w:val="20"/>
          <w:lang w:val="pl-PL"/>
        </w:rPr>
        <w:t xml:space="preserve">a także </w:t>
      </w:r>
      <w:r w:rsidRPr="00765C97">
        <w:rPr>
          <w:rFonts w:ascii="Arial" w:hAnsi="Arial" w:cs="Arial"/>
          <w:sz w:val="20"/>
          <w:szCs w:val="20"/>
          <w:lang w:val="pl-PL"/>
        </w:rPr>
        <w:t xml:space="preserve">budynek biurowy </w:t>
      </w:r>
      <w:r w:rsidR="000C4F42" w:rsidRPr="00765C97">
        <w:rPr>
          <w:rFonts w:ascii="Arial" w:hAnsi="Arial" w:cs="Arial"/>
          <w:sz w:val="20"/>
          <w:szCs w:val="20"/>
          <w:lang w:val="pl-PL"/>
        </w:rPr>
        <w:t>i</w:t>
      </w:r>
      <w:r w:rsidRPr="00765C97">
        <w:rPr>
          <w:rFonts w:ascii="Arial" w:hAnsi="Arial" w:cs="Arial"/>
          <w:sz w:val="20"/>
          <w:szCs w:val="20"/>
          <w:lang w:val="pl-PL"/>
        </w:rPr>
        <w:t xml:space="preserve"> budynek </w:t>
      </w:r>
      <w:r w:rsidR="003B0DE4" w:rsidRPr="00765C97">
        <w:rPr>
          <w:rFonts w:ascii="Arial" w:hAnsi="Arial" w:cs="Arial"/>
          <w:sz w:val="20"/>
          <w:szCs w:val="20"/>
          <w:lang w:val="pl-PL"/>
        </w:rPr>
        <w:t>d</w:t>
      </w:r>
      <w:r w:rsidRPr="00765C97">
        <w:rPr>
          <w:rFonts w:ascii="Arial" w:hAnsi="Arial" w:cs="Arial"/>
          <w:sz w:val="20"/>
          <w:szCs w:val="20"/>
          <w:lang w:val="pl-PL"/>
        </w:rPr>
        <w:t xml:space="preserve">ata </w:t>
      </w:r>
      <w:r w:rsidR="003B0DE4" w:rsidRPr="00765C97">
        <w:rPr>
          <w:rFonts w:ascii="Arial" w:hAnsi="Arial" w:cs="Arial"/>
          <w:sz w:val="20"/>
          <w:szCs w:val="20"/>
          <w:lang w:val="pl-PL"/>
        </w:rPr>
        <w:t>c</w:t>
      </w:r>
      <w:r w:rsidRPr="00765C97">
        <w:rPr>
          <w:rFonts w:ascii="Arial" w:hAnsi="Arial" w:cs="Arial"/>
          <w:sz w:val="20"/>
          <w:szCs w:val="20"/>
          <w:lang w:val="pl-PL"/>
        </w:rPr>
        <w:t>enter w Dreźnie. Grupa jest również w posiadaniu niezabudowanych nieruchomości gruntowych na terenie Specjalnej Strefy Ekonomicznej w Krakowie o powierzchni ok. 3,5 ha. Środki trwałe w budowie na dzień 31 grudnia 2012 roku obejmują głównie nakłady związane z rozpoczętymi inwestycjami budowlanymi oraz nakłady na prace modernizacyjne obiektów użytkowanych przez Grupę.</w:t>
      </w:r>
    </w:p>
    <w:p w:rsidR="009652C1" w:rsidRPr="00765C97" w:rsidRDefault="009652C1" w:rsidP="009652C1">
      <w:pPr>
        <w:ind w:left="181"/>
        <w:jc w:val="both"/>
        <w:rPr>
          <w:rFonts w:ascii="Arial" w:hAnsi="Arial" w:cs="Arial"/>
          <w:sz w:val="20"/>
          <w:szCs w:val="20"/>
          <w:lang w:val="pl-PL"/>
        </w:rPr>
      </w:pPr>
    </w:p>
    <w:p w:rsidR="009652C1" w:rsidRPr="00765C97" w:rsidRDefault="0031442C" w:rsidP="009652C1">
      <w:pPr>
        <w:ind w:left="181"/>
        <w:jc w:val="both"/>
        <w:rPr>
          <w:rFonts w:ascii="Arial" w:hAnsi="Arial" w:cs="Arial"/>
          <w:sz w:val="20"/>
          <w:szCs w:val="20"/>
          <w:lang w:val="pl-PL"/>
        </w:rPr>
      </w:pPr>
      <w:r w:rsidRPr="00765C97">
        <w:rPr>
          <w:rFonts w:ascii="Arial" w:hAnsi="Arial" w:cs="Arial"/>
          <w:sz w:val="20"/>
          <w:szCs w:val="20"/>
          <w:lang w:val="pl-PL"/>
        </w:rPr>
        <w:t>Jednostka</w:t>
      </w:r>
      <w:r w:rsidR="009652C1" w:rsidRPr="00765C97">
        <w:rPr>
          <w:rFonts w:ascii="Arial" w:hAnsi="Arial" w:cs="Arial"/>
          <w:sz w:val="20"/>
          <w:szCs w:val="20"/>
          <w:lang w:val="pl-PL"/>
        </w:rPr>
        <w:t xml:space="preserve"> zależna iMed24 S.A. rozpoczęła w </w:t>
      </w:r>
      <w:r w:rsidR="00692BDC" w:rsidRPr="00765C97">
        <w:rPr>
          <w:rFonts w:ascii="Arial" w:hAnsi="Arial" w:cs="Arial"/>
          <w:sz w:val="20"/>
          <w:szCs w:val="20"/>
          <w:lang w:val="pl-PL"/>
        </w:rPr>
        <w:t>pierwszym</w:t>
      </w:r>
      <w:r w:rsidR="009652C1" w:rsidRPr="00765C97">
        <w:rPr>
          <w:rFonts w:ascii="Arial" w:hAnsi="Arial" w:cs="Arial"/>
          <w:sz w:val="20"/>
          <w:szCs w:val="20"/>
          <w:lang w:val="pl-PL"/>
        </w:rPr>
        <w:t xml:space="preserve"> kwartale 2012 roku prowadzenie działalności diagnostycznej i medycznej (Centrum Medyczne iMed24) i rozpoczęła użytkowanie sprzętu diagnostycznego i medycznego zakupionego w 2011 roku. Na dzień 31 grudnia 2012 r. wartość księgowa tego sprzętu wynosi 16 730 tys. zł. Wyższa wartość w stosunku do stanu na dzień 30 września 2012 r. wynika z korekty amortyzacji w związku z wydłużeniem przewidywanego okresu użytkowania sprzętu. </w:t>
      </w:r>
    </w:p>
    <w:p w:rsidR="009652C1" w:rsidRPr="00765C97" w:rsidRDefault="009652C1" w:rsidP="009652C1">
      <w:pPr>
        <w:ind w:left="181"/>
        <w:jc w:val="both"/>
        <w:rPr>
          <w:rFonts w:ascii="Arial" w:hAnsi="Arial" w:cs="Arial"/>
          <w:sz w:val="20"/>
          <w:szCs w:val="20"/>
          <w:lang w:val="pl-PL"/>
        </w:rPr>
      </w:pPr>
    </w:p>
    <w:p w:rsidR="009652C1" w:rsidRPr="00765C97" w:rsidRDefault="009652C1" w:rsidP="009652C1">
      <w:pPr>
        <w:ind w:left="181"/>
        <w:jc w:val="both"/>
        <w:rPr>
          <w:rFonts w:ascii="Arial" w:hAnsi="Arial" w:cs="Arial"/>
          <w:sz w:val="20"/>
          <w:szCs w:val="20"/>
          <w:lang w:val="pl-PL"/>
        </w:rPr>
      </w:pPr>
      <w:r w:rsidRPr="00765C97">
        <w:rPr>
          <w:rFonts w:ascii="Arial" w:hAnsi="Arial" w:cs="Arial"/>
          <w:sz w:val="20"/>
          <w:szCs w:val="20"/>
          <w:lang w:val="pl-PL"/>
        </w:rPr>
        <w:t>Spółka Comarch AG jest w trakcie realizacji inwestycji w Dreźnie, polegającej na renowacji istniejącego budynku i przystosowaniu go do celów biurowych oraz na budowie nowego budynku dla Comarch Data Center. Prace budowlane rozpoczęły się pod koniec pierwszego kwartału 2011 roku</w:t>
      </w:r>
      <w:r w:rsidR="00FA68CB" w:rsidRPr="00765C97">
        <w:rPr>
          <w:rFonts w:ascii="Arial" w:hAnsi="Arial" w:cs="Arial"/>
          <w:sz w:val="20"/>
          <w:szCs w:val="20"/>
          <w:lang w:val="pl-PL"/>
        </w:rPr>
        <w:t xml:space="preserve"> i zostały zakończone w marcu 2013 r.</w:t>
      </w:r>
      <w:r w:rsidRPr="00765C97">
        <w:rPr>
          <w:rFonts w:ascii="Arial" w:hAnsi="Arial" w:cs="Arial"/>
          <w:sz w:val="20"/>
          <w:szCs w:val="20"/>
          <w:lang w:val="pl-PL"/>
        </w:rPr>
        <w:t xml:space="preserve"> </w:t>
      </w:r>
      <w:r w:rsidR="00FA68CB" w:rsidRPr="00765C97">
        <w:rPr>
          <w:rFonts w:ascii="Arial" w:hAnsi="Arial" w:cs="Arial"/>
          <w:sz w:val="20"/>
          <w:szCs w:val="20"/>
          <w:lang w:val="pl-PL"/>
        </w:rPr>
        <w:t>Ł</w:t>
      </w:r>
      <w:r w:rsidRPr="00765C97">
        <w:rPr>
          <w:rFonts w:ascii="Arial" w:hAnsi="Arial" w:cs="Arial"/>
          <w:sz w:val="20"/>
          <w:szCs w:val="20"/>
          <w:lang w:val="pl-PL"/>
        </w:rPr>
        <w:t>ączny koszt inwestycji wyn</w:t>
      </w:r>
      <w:r w:rsidR="00FA68CB" w:rsidRPr="00765C97">
        <w:rPr>
          <w:rFonts w:ascii="Arial" w:hAnsi="Arial" w:cs="Arial"/>
          <w:sz w:val="20"/>
          <w:szCs w:val="20"/>
          <w:lang w:val="pl-PL"/>
        </w:rPr>
        <w:t>iósł</w:t>
      </w:r>
      <w:r w:rsidRPr="00765C97">
        <w:rPr>
          <w:rFonts w:ascii="Arial" w:hAnsi="Arial" w:cs="Arial"/>
          <w:sz w:val="20"/>
          <w:szCs w:val="20"/>
          <w:lang w:val="pl-PL"/>
        </w:rPr>
        <w:t xml:space="preserve"> ok. 1</w:t>
      </w:r>
      <w:r w:rsidR="00690CAC" w:rsidRPr="00765C97">
        <w:rPr>
          <w:rFonts w:ascii="Arial" w:hAnsi="Arial" w:cs="Arial"/>
          <w:sz w:val="20"/>
          <w:szCs w:val="20"/>
          <w:lang w:val="pl-PL"/>
        </w:rPr>
        <w:t>2</w:t>
      </w:r>
      <w:r w:rsidRPr="00765C97">
        <w:rPr>
          <w:rFonts w:ascii="Arial" w:hAnsi="Arial" w:cs="Arial"/>
          <w:sz w:val="20"/>
          <w:szCs w:val="20"/>
          <w:lang w:val="pl-PL"/>
        </w:rPr>
        <w:t xml:space="preserve"> mln EUR.</w:t>
      </w:r>
    </w:p>
    <w:p w:rsidR="009652C1" w:rsidRPr="00765C97" w:rsidRDefault="009652C1" w:rsidP="009652C1">
      <w:pPr>
        <w:ind w:left="181"/>
        <w:jc w:val="both"/>
        <w:rPr>
          <w:rFonts w:ascii="Arial" w:hAnsi="Arial" w:cs="Arial"/>
          <w:sz w:val="20"/>
          <w:szCs w:val="20"/>
          <w:lang w:val="pl-PL"/>
        </w:rPr>
      </w:pPr>
    </w:p>
    <w:p w:rsidR="00B24DA9" w:rsidRPr="00765C97" w:rsidRDefault="009652C1" w:rsidP="009652C1">
      <w:pPr>
        <w:widowControl/>
        <w:adjustRightInd w:val="0"/>
        <w:ind w:left="142"/>
        <w:jc w:val="both"/>
        <w:rPr>
          <w:rFonts w:ascii="Arial" w:hAnsi="Arial"/>
          <w:sz w:val="20"/>
          <w:lang w:val="pl-PL"/>
        </w:rPr>
      </w:pPr>
      <w:r w:rsidRPr="00765C97">
        <w:rPr>
          <w:rFonts w:ascii="Arial" w:hAnsi="Arial" w:cs="Arial"/>
          <w:sz w:val="20"/>
          <w:szCs w:val="20"/>
          <w:lang w:val="pl-PL"/>
        </w:rPr>
        <w:t xml:space="preserve">Budynek biurowy nabyty w Lille przez Comarch SAS został dostosowany do funkcji biurowej i stanowi obecnie siedzibę spółki. Budynek magazynowy zostanie docelowo przekształcony w Comarch Data Center o powierzchni ok. 1 700 m. kw. Planowany koszt inwestycji wynosi ok. 5,5 mln EUR. Do końca </w:t>
      </w:r>
      <w:r w:rsidR="00FA68CB" w:rsidRPr="00765C97">
        <w:rPr>
          <w:rFonts w:ascii="Arial" w:hAnsi="Arial" w:cs="Arial"/>
          <w:sz w:val="20"/>
          <w:szCs w:val="20"/>
          <w:lang w:val="pl-PL"/>
        </w:rPr>
        <w:t>drugi</w:t>
      </w:r>
      <w:r w:rsidRPr="00765C97">
        <w:rPr>
          <w:rFonts w:ascii="Arial" w:hAnsi="Arial" w:cs="Arial"/>
          <w:sz w:val="20"/>
          <w:szCs w:val="20"/>
          <w:lang w:val="pl-PL"/>
        </w:rPr>
        <w:t>ego kwartału 2013 r. będą trwały prace przygotowawcze, a rozpoczęcie inwestycji planowane jest w trzecim kwartale 2013 r.</w:t>
      </w:r>
    </w:p>
    <w:p w:rsidR="00B24DA9" w:rsidRPr="00765C97" w:rsidRDefault="00B24DA9">
      <w:pPr>
        <w:widowControl/>
        <w:adjustRightInd w:val="0"/>
        <w:ind w:left="142"/>
        <w:jc w:val="both"/>
        <w:rPr>
          <w:rFonts w:ascii="Arial" w:hAnsi="Arial"/>
          <w:sz w:val="20"/>
          <w:lang w:val="pl-PL"/>
        </w:rPr>
      </w:pPr>
    </w:p>
    <w:p w:rsidR="00B24DA9" w:rsidRPr="00765C97" w:rsidRDefault="00B24DA9">
      <w:pPr>
        <w:widowControl/>
        <w:adjustRightInd w:val="0"/>
        <w:ind w:left="142"/>
        <w:jc w:val="both"/>
        <w:rPr>
          <w:rFonts w:ascii="Arial" w:hAnsi="Arial"/>
          <w:color w:val="000000"/>
          <w:sz w:val="20"/>
          <w:lang w:val="pl-PL"/>
        </w:rPr>
      </w:pPr>
      <w:r w:rsidRPr="00765C97">
        <w:rPr>
          <w:rFonts w:ascii="Arial" w:hAnsi="Arial"/>
          <w:sz w:val="20"/>
          <w:lang w:val="pl-PL"/>
        </w:rPr>
        <w:t xml:space="preserve">Kredyty bankowe zabezpieczone są na gruntach i budynkach do kwoty </w:t>
      </w:r>
      <w:r w:rsidR="00420E51" w:rsidRPr="00765C97">
        <w:rPr>
          <w:rFonts w:ascii="Arial" w:hAnsi="Arial"/>
          <w:sz w:val="20"/>
          <w:lang w:val="pl-PL"/>
        </w:rPr>
        <w:t>15</w:t>
      </w:r>
      <w:r w:rsidR="00D248F8" w:rsidRPr="00765C97">
        <w:rPr>
          <w:rFonts w:ascii="Arial" w:hAnsi="Arial"/>
          <w:sz w:val="20"/>
          <w:lang w:val="pl-PL"/>
        </w:rPr>
        <w:t>0</w:t>
      </w:r>
      <w:r w:rsidR="00420E51" w:rsidRPr="00765C97">
        <w:rPr>
          <w:rFonts w:ascii="Arial" w:hAnsi="Arial"/>
          <w:sz w:val="20"/>
          <w:lang w:val="pl-PL"/>
        </w:rPr>
        <w:t xml:space="preserve"> </w:t>
      </w:r>
      <w:r w:rsidR="00D248F8" w:rsidRPr="00765C97">
        <w:rPr>
          <w:rFonts w:ascii="Arial" w:hAnsi="Arial"/>
          <w:sz w:val="20"/>
          <w:lang w:val="pl-PL"/>
        </w:rPr>
        <w:t>159</w:t>
      </w:r>
      <w:r w:rsidRPr="00765C97">
        <w:rPr>
          <w:rFonts w:ascii="Arial" w:hAnsi="Arial"/>
          <w:sz w:val="20"/>
          <w:lang w:val="pl-PL"/>
        </w:rPr>
        <w:t xml:space="preserve"> tys. zł (hipoteki zwykłe i kaucyjne na rzecz </w:t>
      </w:r>
      <w:r w:rsidR="0098042B" w:rsidRPr="00765C97">
        <w:rPr>
          <w:rFonts w:ascii="Arial" w:hAnsi="Arial"/>
          <w:sz w:val="20"/>
          <w:lang w:val="pl-PL"/>
        </w:rPr>
        <w:t>BNP Paribas Bank Polska S</w:t>
      </w:r>
      <w:r w:rsidR="00C73F2A" w:rsidRPr="00765C97">
        <w:rPr>
          <w:rFonts w:ascii="Arial" w:hAnsi="Arial"/>
          <w:sz w:val="20"/>
          <w:lang w:val="pl-PL"/>
        </w:rPr>
        <w:t>.</w:t>
      </w:r>
      <w:r w:rsidR="0098042B" w:rsidRPr="00765C97">
        <w:rPr>
          <w:rFonts w:ascii="Arial" w:hAnsi="Arial"/>
          <w:sz w:val="20"/>
          <w:lang w:val="pl-PL"/>
        </w:rPr>
        <w:t>A</w:t>
      </w:r>
      <w:r w:rsidR="00C73F2A" w:rsidRPr="00765C97">
        <w:rPr>
          <w:rFonts w:ascii="Arial" w:hAnsi="Arial"/>
          <w:sz w:val="20"/>
          <w:lang w:val="pl-PL"/>
        </w:rPr>
        <w:t>.</w:t>
      </w:r>
      <w:r w:rsidR="0098042B" w:rsidRPr="00765C97">
        <w:rPr>
          <w:rFonts w:ascii="Arial" w:hAnsi="Arial"/>
          <w:sz w:val="20"/>
          <w:lang w:val="pl-PL"/>
        </w:rPr>
        <w:t xml:space="preserve"> (dawniej: </w:t>
      </w:r>
      <w:r w:rsidRPr="00765C97">
        <w:rPr>
          <w:rFonts w:ascii="Arial" w:hAnsi="Arial"/>
          <w:sz w:val="20"/>
          <w:lang w:val="pl-PL"/>
        </w:rPr>
        <w:t>Fortis Bank Polska S.A.</w:t>
      </w:r>
      <w:r w:rsidR="00DD16E7" w:rsidRPr="00765C97">
        <w:rPr>
          <w:rFonts w:ascii="Arial" w:hAnsi="Arial"/>
          <w:sz w:val="20"/>
          <w:lang w:val="pl-PL"/>
        </w:rPr>
        <w:t>,</w:t>
      </w:r>
      <w:r w:rsidR="00FC645A" w:rsidRPr="00765C97">
        <w:rPr>
          <w:rFonts w:ascii="Arial" w:hAnsi="Arial"/>
          <w:sz w:val="20"/>
          <w:lang w:val="pl-PL"/>
        </w:rPr>
        <w:t xml:space="preserve"> </w:t>
      </w:r>
      <w:r w:rsidRPr="00765C97">
        <w:rPr>
          <w:rFonts w:ascii="Arial" w:hAnsi="Arial"/>
          <w:sz w:val="20"/>
          <w:lang w:val="pl-PL"/>
        </w:rPr>
        <w:t>Kredyt Banku S.A.</w:t>
      </w:r>
      <w:r w:rsidR="00420E51" w:rsidRPr="00765C97">
        <w:rPr>
          <w:rFonts w:ascii="Arial" w:hAnsi="Arial"/>
          <w:sz w:val="20"/>
          <w:lang w:val="pl-PL"/>
        </w:rPr>
        <w:t>,</w:t>
      </w:r>
      <w:r w:rsidRPr="00765C97">
        <w:rPr>
          <w:rFonts w:ascii="Arial" w:hAnsi="Arial"/>
          <w:sz w:val="20"/>
          <w:lang w:val="pl-PL"/>
        </w:rPr>
        <w:t xml:space="preserve"> </w:t>
      </w:r>
      <w:r w:rsidR="00420E51" w:rsidRPr="00765C97">
        <w:rPr>
          <w:rFonts w:ascii="Arial" w:hAnsi="Arial"/>
          <w:sz w:val="20"/>
          <w:lang w:val="pl-PL"/>
        </w:rPr>
        <w:t>b</w:t>
      </w:r>
      <w:r w:rsidRPr="00765C97">
        <w:rPr>
          <w:rFonts w:ascii="Arial" w:hAnsi="Arial"/>
          <w:sz w:val="20"/>
          <w:lang w:val="pl-PL"/>
        </w:rPr>
        <w:t>anku Pekao S.A.</w:t>
      </w:r>
      <w:r w:rsidR="00420E51" w:rsidRPr="00765C97">
        <w:rPr>
          <w:rFonts w:ascii="Arial" w:hAnsi="Arial"/>
          <w:sz w:val="20"/>
          <w:lang w:val="pl-PL"/>
        </w:rPr>
        <w:t xml:space="preserve"> i banku DnB Nord S.A.</w:t>
      </w:r>
      <w:r w:rsidRPr="00765C97">
        <w:rPr>
          <w:rFonts w:ascii="Arial" w:hAnsi="Arial"/>
          <w:sz w:val="20"/>
          <w:lang w:val="pl-PL"/>
        </w:rPr>
        <w:t>)</w:t>
      </w:r>
      <w:r w:rsidR="00DD16E7" w:rsidRPr="00765C97">
        <w:rPr>
          <w:rFonts w:ascii="Arial" w:hAnsi="Arial"/>
          <w:sz w:val="20"/>
          <w:lang w:val="pl-PL"/>
        </w:rPr>
        <w:t xml:space="preserve"> oraz pozostałych środkach trwałych w kwocie 13 940 tys. zł</w:t>
      </w:r>
      <w:r w:rsidRPr="00765C97">
        <w:rPr>
          <w:rFonts w:ascii="Arial" w:hAnsi="Arial"/>
          <w:sz w:val="20"/>
          <w:lang w:val="pl-PL"/>
        </w:rPr>
        <w:t>. Wartość bilansowa środków trwałych, na których ustanowiono zabezpieczenie zobowiązań finansowych wynosi</w:t>
      </w:r>
      <w:r w:rsidRPr="00765C97">
        <w:rPr>
          <w:rFonts w:ascii="Arial" w:hAnsi="Arial"/>
          <w:color w:val="FF0000"/>
          <w:sz w:val="20"/>
          <w:lang w:val="pl-PL"/>
        </w:rPr>
        <w:t xml:space="preserve"> </w:t>
      </w:r>
      <w:r w:rsidR="00A93C9B" w:rsidRPr="00765C97">
        <w:rPr>
          <w:rFonts w:ascii="Arial" w:hAnsi="Arial"/>
          <w:color w:val="000000"/>
          <w:sz w:val="20"/>
          <w:lang w:val="pl-PL"/>
        </w:rPr>
        <w:t>125 091</w:t>
      </w:r>
      <w:r w:rsidRPr="00765C97">
        <w:rPr>
          <w:rFonts w:ascii="Arial" w:hAnsi="Arial"/>
          <w:color w:val="000000"/>
          <w:sz w:val="20"/>
          <w:lang w:val="pl-PL"/>
        </w:rPr>
        <w:t xml:space="preserve"> tys. zł.</w:t>
      </w:r>
    </w:p>
    <w:p w:rsidR="00B24DA9" w:rsidRPr="00765C97" w:rsidRDefault="00B24DA9">
      <w:pPr>
        <w:adjustRightInd w:val="0"/>
        <w:ind w:left="142"/>
        <w:jc w:val="both"/>
        <w:rPr>
          <w:rFonts w:ascii="Arial" w:hAnsi="Arial"/>
          <w:sz w:val="20"/>
          <w:lang w:val="pl-PL"/>
        </w:rPr>
      </w:pPr>
    </w:p>
    <w:tbl>
      <w:tblPr>
        <w:tblW w:w="82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760"/>
        <w:gridCol w:w="1260"/>
        <w:gridCol w:w="1260"/>
      </w:tblGrid>
      <w:tr w:rsidR="0098042B" w:rsidRPr="00765C97" w:rsidTr="0098042B">
        <w:trPr>
          <w:trHeight w:val="255"/>
        </w:trPr>
        <w:tc>
          <w:tcPr>
            <w:tcW w:w="5760" w:type="dxa"/>
            <w:vAlign w:val="center"/>
          </w:tcPr>
          <w:p w:rsidR="0098042B" w:rsidRPr="00765C97" w:rsidRDefault="0098042B">
            <w:pPr>
              <w:adjustRightInd w:val="0"/>
              <w:rPr>
                <w:rFonts w:ascii="Arial" w:hAnsi="Arial"/>
                <w:b/>
                <w:sz w:val="20"/>
                <w:lang w:val="pl-PL"/>
              </w:rPr>
            </w:pPr>
          </w:p>
        </w:tc>
        <w:tc>
          <w:tcPr>
            <w:tcW w:w="1260" w:type="dxa"/>
            <w:vAlign w:val="center"/>
          </w:tcPr>
          <w:p w:rsidR="0098042B" w:rsidRPr="00765C97" w:rsidRDefault="0049622A" w:rsidP="0098042B">
            <w:pPr>
              <w:adjustRightInd w:val="0"/>
              <w:jc w:val="right"/>
              <w:rPr>
                <w:rFonts w:ascii="Arial" w:hAnsi="Arial"/>
                <w:b/>
                <w:sz w:val="20"/>
                <w:lang w:val="pl-PL"/>
              </w:rPr>
            </w:pPr>
            <w:r w:rsidRPr="00765C97">
              <w:rPr>
                <w:rFonts w:ascii="Arial" w:hAnsi="Arial"/>
                <w:b/>
                <w:sz w:val="20"/>
                <w:lang w:val="pl-PL"/>
              </w:rPr>
              <w:t>2012</w:t>
            </w:r>
          </w:p>
        </w:tc>
        <w:tc>
          <w:tcPr>
            <w:tcW w:w="1260" w:type="dxa"/>
            <w:vAlign w:val="center"/>
          </w:tcPr>
          <w:p w:rsidR="0098042B" w:rsidRPr="00765C97" w:rsidRDefault="0049622A" w:rsidP="0098042B">
            <w:pPr>
              <w:adjustRightInd w:val="0"/>
              <w:jc w:val="right"/>
              <w:rPr>
                <w:rFonts w:ascii="Arial" w:hAnsi="Arial"/>
                <w:b/>
                <w:sz w:val="20"/>
                <w:lang w:val="pl-PL"/>
              </w:rPr>
            </w:pPr>
            <w:r w:rsidRPr="00765C97">
              <w:rPr>
                <w:rFonts w:ascii="Arial" w:hAnsi="Arial"/>
                <w:b/>
                <w:sz w:val="20"/>
                <w:lang w:val="pl-PL"/>
              </w:rPr>
              <w:t>2011</w:t>
            </w:r>
          </w:p>
        </w:tc>
      </w:tr>
      <w:tr w:rsidR="0098042B" w:rsidRPr="00765C97" w:rsidTr="0098042B">
        <w:trPr>
          <w:trHeight w:val="255"/>
        </w:trPr>
        <w:tc>
          <w:tcPr>
            <w:tcW w:w="5760" w:type="dxa"/>
            <w:vAlign w:val="center"/>
          </w:tcPr>
          <w:p w:rsidR="0098042B" w:rsidRPr="00765C97" w:rsidRDefault="0098042B">
            <w:pPr>
              <w:adjustRightInd w:val="0"/>
              <w:rPr>
                <w:rFonts w:ascii="Arial" w:hAnsi="Arial"/>
                <w:b/>
                <w:sz w:val="20"/>
                <w:lang w:val="pl-PL"/>
              </w:rPr>
            </w:pPr>
            <w:r w:rsidRPr="00765C97">
              <w:rPr>
                <w:rFonts w:ascii="Arial" w:hAnsi="Arial"/>
                <w:sz w:val="20"/>
                <w:lang w:val="pl-PL"/>
              </w:rPr>
              <w:t>Kwota odsetek od kredytów skapitalizowanych w nakładach na aktywa trwałe</w:t>
            </w:r>
          </w:p>
        </w:tc>
        <w:tc>
          <w:tcPr>
            <w:tcW w:w="1260" w:type="dxa"/>
            <w:vAlign w:val="center"/>
          </w:tcPr>
          <w:p w:rsidR="0098042B" w:rsidRPr="00765C97" w:rsidRDefault="00DF24A5" w:rsidP="005151F4">
            <w:pPr>
              <w:adjustRightInd w:val="0"/>
              <w:jc w:val="right"/>
              <w:rPr>
                <w:rFonts w:ascii="Arial" w:hAnsi="Arial"/>
                <w:sz w:val="20"/>
                <w:lang w:val="pl-PL"/>
              </w:rPr>
            </w:pPr>
            <w:r w:rsidRPr="00765C97">
              <w:rPr>
                <w:rFonts w:ascii="Arial" w:hAnsi="Arial"/>
                <w:sz w:val="20"/>
                <w:lang w:val="pl-PL"/>
              </w:rPr>
              <w:t>19</w:t>
            </w:r>
          </w:p>
        </w:tc>
        <w:tc>
          <w:tcPr>
            <w:tcW w:w="1260" w:type="dxa"/>
            <w:vAlign w:val="center"/>
          </w:tcPr>
          <w:p w:rsidR="0098042B" w:rsidRPr="00765C97" w:rsidRDefault="0049622A" w:rsidP="0098042B">
            <w:pPr>
              <w:adjustRightInd w:val="0"/>
              <w:jc w:val="right"/>
              <w:rPr>
                <w:rFonts w:ascii="Arial" w:hAnsi="Arial"/>
                <w:sz w:val="20"/>
                <w:lang w:val="pl-PL"/>
              </w:rPr>
            </w:pPr>
            <w:r w:rsidRPr="00765C97">
              <w:rPr>
                <w:rFonts w:ascii="Arial" w:hAnsi="Arial"/>
                <w:sz w:val="20"/>
                <w:lang w:val="pl-PL"/>
              </w:rPr>
              <w:t>183</w:t>
            </w:r>
          </w:p>
        </w:tc>
      </w:tr>
    </w:tbl>
    <w:p w:rsidR="00B24DA9" w:rsidRPr="00765C97" w:rsidRDefault="00B24DA9">
      <w:pPr>
        <w:adjustRightInd w:val="0"/>
        <w:ind w:left="180"/>
        <w:jc w:val="both"/>
        <w:rPr>
          <w:rFonts w:ascii="Arial" w:hAnsi="Arial"/>
          <w:sz w:val="20"/>
          <w:lang w:val="pl-PL"/>
        </w:rPr>
      </w:pPr>
    </w:p>
    <w:p w:rsidR="00B24DA9" w:rsidRPr="00765C97" w:rsidRDefault="00B24DA9">
      <w:pPr>
        <w:adjustRightInd w:val="0"/>
        <w:ind w:left="180"/>
        <w:jc w:val="both"/>
        <w:rPr>
          <w:rFonts w:ascii="Arial" w:hAnsi="Arial"/>
          <w:sz w:val="20"/>
          <w:lang w:val="pl-PL"/>
        </w:rPr>
      </w:pPr>
      <w:r w:rsidRPr="00765C97">
        <w:rPr>
          <w:rFonts w:ascii="Arial" w:hAnsi="Arial"/>
          <w:sz w:val="20"/>
          <w:lang w:val="pl-PL"/>
        </w:rPr>
        <w:t>W wartości bilansowej netto rzeczowych aktywów trwałych ujęte są nakłady na aktywa trwałe w toku budowy:</w:t>
      </w:r>
    </w:p>
    <w:p w:rsidR="00B24DA9" w:rsidRPr="00765C97" w:rsidRDefault="00B24DA9">
      <w:pPr>
        <w:adjustRightInd w:val="0"/>
        <w:ind w:left="180"/>
        <w:jc w:val="both"/>
        <w:rPr>
          <w:rFonts w:ascii="Arial" w:hAnsi="Arial"/>
          <w:sz w:val="20"/>
          <w:lang w:val="pl-PL"/>
        </w:rPr>
      </w:pPr>
    </w:p>
    <w:tbl>
      <w:tblPr>
        <w:tblW w:w="82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760"/>
        <w:gridCol w:w="1260"/>
        <w:gridCol w:w="1260"/>
      </w:tblGrid>
      <w:tr w:rsidR="0098042B" w:rsidRPr="00765C97" w:rsidTr="0098042B">
        <w:trPr>
          <w:trHeight w:val="255"/>
        </w:trPr>
        <w:tc>
          <w:tcPr>
            <w:tcW w:w="5760" w:type="dxa"/>
            <w:vAlign w:val="center"/>
          </w:tcPr>
          <w:p w:rsidR="0098042B" w:rsidRPr="00765C97" w:rsidRDefault="0098042B">
            <w:pPr>
              <w:tabs>
                <w:tab w:val="right" w:pos="2880"/>
                <w:tab w:val="right" w:pos="4860"/>
                <w:tab w:val="right" w:pos="6300"/>
              </w:tabs>
              <w:adjustRightInd w:val="0"/>
              <w:rPr>
                <w:rFonts w:ascii="Arial" w:hAnsi="Arial"/>
                <w:b/>
                <w:color w:val="000000"/>
                <w:sz w:val="20"/>
                <w:lang w:val="pl-PL"/>
              </w:rPr>
            </w:pPr>
          </w:p>
        </w:tc>
        <w:tc>
          <w:tcPr>
            <w:tcW w:w="1260" w:type="dxa"/>
            <w:shd w:val="clear" w:color="auto" w:fill="auto"/>
            <w:vAlign w:val="center"/>
          </w:tcPr>
          <w:p w:rsidR="0098042B" w:rsidRPr="00765C97" w:rsidRDefault="0049622A" w:rsidP="0098042B">
            <w:pPr>
              <w:tabs>
                <w:tab w:val="right" w:pos="2880"/>
                <w:tab w:val="right" w:pos="4860"/>
                <w:tab w:val="right" w:pos="6300"/>
              </w:tabs>
              <w:adjustRightInd w:val="0"/>
              <w:jc w:val="right"/>
              <w:rPr>
                <w:rFonts w:ascii="Arial" w:hAnsi="Arial"/>
                <w:b/>
                <w:color w:val="000000"/>
                <w:sz w:val="20"/>
                <w:lang w:val="pl-PL"/>
              </w:rPr>
            </w:pPr>
            <w:r w:rsidRPr="00765C97">
              <w:rPr>
                <w:rFonts w:ascii="Arial" w:hAnsi="Arial"/>
                <w:b/>
                <w:color w:val="000000"/>
                <w:sz w:val="20"/>
                <w:lang w:val="pl-PL"/>
              </w:rPr>
              <w:t>31 grudnia 2012</w:t>
            </w:r>
            <w:r w:rsidR="0098042B" w:rsidRPr="00765C97">
              <w:rPr>
                <w:rFonts w:ascii="Arial" w:hAnsi="Arial"/>
                <w:b/>
                <w:color w:val="000000"/>
                <w:sz w:val="20"/>
                <w:lang w:val="pl-PL"/>
              </w:rPr>
              <w:t xml:space="preserve"> r.</w:t>
            </w:r>
          </w:p>
        </w:tc>
        <w:tc>
          <w:tcPr>
            <w:tcW w:w="1260" w:type="dxa"/>
            <w:vAlign w:val="center"/>
          </w:tcPr>
          <w:p w:rsidR="0098042B" w:rsidRPr="00765C97" w:rsidRDefault="0049622A" w:rsidP="0098042B">
            <w:pPr>
              <w:tabs>
                <w:tab w:val="right" w:pos="2880"/>
                <w:tab w:val="right" w:pos="4860"/>
                <w:tab w:val="right" w:pos="6300"/>
              </w:tabs>
              <w:adjustRightInd w:val="0"/>
              <w:jc w:val="right"/>
              <w:rPr>
                <w:rFonts w:ascii="Arial" w:hAnsi="Arial"/>
                <w:b/>
                <w:color w:val="000000"/>
                <w:sz w:val="20"/>
                <w:lang w:val="pl-PL"/>
              </w:rPr>
            </w:pPr>
            <w:r w:rsidRPr="00765C97">
              <w:rPr>
                <w:rFonts w:ascii="Arial" w:hAnsi="Arial"/>
                <w:b/>
                <w:color w:val="000000"/>
                <w:sz w:val="20"/>
                <w:lang w:val="pl-PL"/>
              </w:rPr>
              <w:t>31 grudnia 2011</w:t>
            </w:r>
            <w:r w:rsidR="0098042B" w:rsidRPr="00765C97">
              <w:rPr>
                <w:rFonts w:ascii="Arial" w:hAnsi="Arial"/>
                <w:b/>
                <w:color w:val="000000"/>
                <w:sz w:val="20"/>
                <w:lang w:val="pl-PL"/>
              </w:rPr>
              <w:t xml:space="preserve"> r.</w:t>
            </w:r>
          </w:p>
        </w:tc>
      </w:tr>
      <w:tr w:rsidR="0049622A" w:rsidRPr="00765C97" w:rsidTr="0098042B">
        <w:trPr>
          <w:trHeight w:val="255"/>
        </w:trPr>
        <w:tc>
          <w:tcPr>
            <w:tcW w:w="5760" w:type="dxa"/>
            <w:vAlign w:val="center"/>
          </w:tcPr>
          <w:p w:rsidR="0049622A" w:rsidRPr="00765C97" w:rsidRDefault="0049622A">
            <w:pPr>
              <w:tabs>
                <w:tab w:val="right" w:pos="2880"/>
                <w:tab w:val="right" w:pos="4860"/>
                <w:tab w:val="right" w:pos="6300"/>
              </w:tabs>
              <w:adjustRightInd w:val="0"/>
              <w:rPr>
                <w:rFonts w:ascii="Arial" w:hAnsi="Arial"/>
                <w:b/>
                <w:color w:val="000000"/>
                <w:sz w:val="20"/>
                <w:lang w:val="pl-PL"/>
              </w:rPr>
            </w:pPr>
            <w:r w:rsidRPr="00765C97">
              <w:rPr>
                <w:rFonts w:ascii="Arial" w:hAnsi="Arial"/>
                <w:color w:val="000000"/>
                <w:sz w:val="20"/>
                <w:lang w:val="pl-PL"/>
              </w:rPr>
              <w:t>Budynki</w:t>
            </w:r>
          </w:p>
        </w:tc>
        <w:tc>
          <w:tcPr>
            <w:tcW w:w="1260" w:type="dxa"/>
            <w:shd w:val="clear" w:color="auto" w:fill="auto"/>
            <w:vAlign w:val="center"/>
          </w:tcPr>
          <w:p w:rsidR="0049622A" w:rsidRPr="00765C97" w:rsidRDefault="005151F4">
            <w:pPr>
              <w:tabs>
                <w:tab w:val="right" w:pos="2880"/>
                <w:tab w:val="right" w:pos="4860"/>
                <w:tab w:val="right" w:pos="6300"/>
              </w:tabs>
              <w:adjustRightInd w:val="0"/>
              <w:jc w:val="right"/>
              <w:rPr>
                <w:rFonts w:ascii="Arial" w:hAnsi="Arial"/>
                <w:color w:val="000000"/>
                <w:sz w:val="20"/>
                <w:lang w:val="pl-PL"/>
              </w:rPr>
            </w:pPr>
            <w:r w:rsidRPr="00765C97">
              <w:rPr>
                <w:rFonts w:ascii="Arial" w:hAnsi="Arial"/>
                <w:color w:val="000000"/>
                <w:sz w:val="20"/>
                <w:lang w:val="pl-PL"/>
              </w:rPr>
              <w:t>46 629</w:t>
            </w:r>
          </w:p>
        </w:tc>
        <w:tc>
          <w:tcPr>
            <w:tcW w:w="1260" w:type="dxa"/>
            <w:vAlign w:val="center"/>
          </w:tcPr>
          <w:p w:rsidR="0049622A" w:rsidRPr="00765C97" w:rsidRDefault="0049622A" w:rsidP="00385F70">
            <w:pPr>
              <w:tabs>
                <w:tab w:val="right" w:pos="2880"/>
                <w:tab w:val="right" w:pos="4860"/>
                <w:tab w:val="right" w:pos="6300"/>
              </w:tabs>
              <w:adjustRightInd w:val="0"/>
              <w:jc w:val="right"/>
              <w:rPr>
                <w:rFonts w:ascii="Arial" w:hAnsi="Arial"/>
                <w:color w:val="000000"/>
                <w:sz w:val="20"/>
                <w:lang w:val="pl-PL"/>
              </w:rPr>
            </w:pPr>
            <w:r w:rsidRPr="00765C97">
              <w:rPr>
                <w:rFonts w:ascii="Arial" w:hAnsi="Arial"/>
                <w:color w:val="000000"/>
                <w:sz w:val="20"/>
                <w:lang w:val="pl-PL"/>
              </w:rPr>
              <w:t>19 037</w:t>
            </w:r>
          </w:p>
        </w:tc>
      </w:tr>
      <w:tr w:rsidR="0049622A" w:rsidRPr="00765C97" w:rsidTr="0098042B">
        <w:trPr>
          <w:trHeight w:val="255"/>
        </w:trPr>
        <w:tc>
          <w:tcPr>
            <w:tcW w:w="5760" w:type="dxa"/>
            <w:vAlign w:val="center"/>
          </w:tcPr>
          <w:p w:rsidR="0049622A" w:rsidRPr="00765C97" w:rsidRDefault="0049622A">
            <w:pPr>
              <w:tabs>
                <w:tab w:val="right" w:pos="2880"/>
                <w:tab w:val="right" w:pos="4860"/>
                <w:tab w:val="right" w:pos="6300"/>
              </w:tabs>
              <w:adjustRightInd w:val="0"/>
              <w:rPr>
                <w:rFonts w:ascii="Arial" w:hAnsi="Arial"/>
                <w:b/>
                <w:color w:val="000000"/>
                <w:sz w:val="20"/>
                <w:lang w:val="pl-PL"/>
              </w:rPr>
            </w:pPr>
            <w:r w:rsidRPr="00765C97">
              <w:rPr>
                <w:rFonts w:ascii="Arial" w:hAnsi="Arial"/>
                <w:color w:val="000000"/>
                <w:sz w:val="20"/>
                <w:lang w:val="pl-PL"/>
              </w:rPr>
              <w:t>Urządzenia</w:t>
            </w:r>
          </w:p>
        </w:tc>
        <w:tc>
          <w:tcPr>
            <w:tcW w:w="1260" w:type="dxa"/>
            <w:vAlign w:val="center"/>
          </w:tcPr>
          <w:p w:rsidR="0049622A" w:rsidRPr="00765C97" w:rsidRDefault="005151F4" w:rsidP="004F301A">
            <w:pPr>
              <w:tabs>
                <w:tab w:val="right" w:pos="2880"/>
                <w:tab w:val="right" w:pos="4860"/>
                <w:tab w:val="right" w:pos="6300"/>
              </w:tabs>
              <w:adjustRightInd w:val="0"/>
              <w:jc w:val="right"/>
              <w:rPr>
                <w:rFonts w:ascii="Arial" w:hAnsi="Arial"/>
                <w:color w:val="000000"/>
                <w:sz w:val="20"/>
                <w:lang w:val="pl-PL"/>
              </w:rPr>
            </w:pPr>
            <w:r w:rsidRPr="00765C97">
              <w:rPr>
                <w:rFonts w:ascii="Arial" w:hAnsi="Arial"/>
                <w:color w:val="000000"/>
                <w:sz w:val="20"/>
                <w:lang w:val="pl-PL"/>
              </w:rPr>
              <w:t>552</w:t>
            </w:r>
          </w:p>
        </w:tc>
        <w:tc>
          <w:tcPr>
            <w:tcW w:w="1260" w:type="dxa"/>
            <w:vAlign w:val="center"/>
          </w:tcPr>
          <w:p w:rsidR="0049622A" w:rsidRPr="00765C97" w:rsidRDefault="0049622A" w:rsidP="00385F70">
            <w:pPr>
              <w:tabs>
                <w:tab w:val="right" w:pos="2880"/>
                <w:tab w:val="right" w:pos="4860"/>
                <w:tab w:val="right" w:pos="6300"/>
              </w:tabs>
              <w:adjustRightInd w:val="0"/>
              <w:jc w:val="right"/>
              <w:rPr>
                <w:rFonts w:ascii="Arial" w:hAnsi="Arial"/>
                <w:color w:val="000000"/>
                <w:sz w:val="20"/>
                <w:lang w:val="pl-PL"/>
              </w:rPr>
            </w:pPr>
            <w:r w:rsidRPr="00765C97">
              <w:rPr>
                <w:rFonts w:ascii="Arial" w:hAnsi="Arial"/>
                <w:color w:val="000000"/>
                <w:sz w:val="20"/>
                <w:lang w:val="pl-PL"/>
              </w:rPr>
              <w:t>20 237</w:t>
            </w:r>
          </w:p>
        </w:tc>
      </w:tr>
      <w:tr w:rsidR="0049622A" w:rsidRPr="00765C97" w:rsidTr="0098042B">
        <w:trPr>
          <w:trHeight w:val="255"/>
        </w:trPr>
        <w:tc>
          <w:tcPr>
            <w:tcW w:w="5760" w:type="dxa"/>
            <w:vAlign w:val="center"/>
          </w:tcPr>
          <w:p w:rsidR="0049622A" w:rsidRPr="00765C97" w:rsidRDefault="0049622A">
            <w:pPr>
              <w:tabs>
                <w:tab w:val="right" w:pos="2880"/>
                <w:tab w:val="right" w:pos="4860"/>
                <w:tab w:val="right" w:pos="6300"/>
              </w:tabs>
              <w:adjustRightInd w:val="0"/>
              <w:rPr>
                <w:rFonts w:ascii="Arial" w:hAnsi="Arial"/>
                <w:color w:val="000000"/>
                <w:sz w:val="20"/>
                <w:lang w:val="pl-PL"/>
              </w:rPr>
            </w:pPr>
            <w:r w:rsidRPr="00765C97">
              <w:rPr>
                <w:rFonts w:ascii="Arial" w:hAnsi="Arial"/>
                <w:color w:val="000000"/>
                <w:sz w:val="20"/>
                <w:lang w:val="pl-PL"/>
              </w:rPr>
              <w:t>Pozostałe</w:t>
            </w:r>
          </w:p>
        </w:tc>
        <w:tc>
          <w:tcPr>
            <w:tcW w:w="1260" w:type="dxa"/>
            <w:vAlign w:val="center"/>
          </w:tcPr>
          <w:p w:rsidR="0049622A" w:rsidRPr="00765C97" w:rsidRDefault="005151F4">
            <w:pPr>
              <w:tabs>
                <w:tab w:val="right" w:pos="2880"/>
                <w:tab w:val="right" w:pos="4860"/>
                <w:tab w:val="right" w:pos="6300"/>
              </w:tabs>
              <w:adjustRightInd w:val="0"/>
              <w:jc w:val="right"/>
              <w:rPr>
                <w:rFonts w:ascii="Arial" w:hAnsi="Arial"/>
                <w:color w:val="000000"/>
                <w:sz w:val="20"/>
                <w:lang w:val="pl-PL"/>
              </w:rPr>
            </w:pPr>
            <w:r w:rsidRPr="00765C97">
              <w:rPr>
                <w:rFonts w:ascii="Arial" w:hAnsi="Arial"/>
                <w:color w:val="000000"/>
                <w:sz w:val="20"/>
                <w:lang w:val="pl-PL"/>
              </w:rPr>
              <w:t>19</w:t>
            </w:r>
          </w:p>
        </w:tc>
        <w:tc>
          <w:tcPr>
            <w:tcW w:w="1260" w:type="dxa"/>
            <w:vAlign w:val="center"/>
          </w:tcPr>
          <w:p w:rsidR="0049622A" w:rsidRPr="00765C97" w:rsidRDefault="0049622A" w:rsidP="00385F70">
            <w:pPr>
              <w:tabs>
                <w:tab w:val="right" w:pos="2880"/>
                <w:tab w:val="right" w:pos="4860"/>
                <w:tab w:val="right" w:pos="6300"/>
              </w:tabs>
              <w:adjustRightInd w:val="0"/>
              <w:jc w:val="right"/>
              <w:rPr>
                <w:rFonts w:ascii="Arial" w:hAnsi="Arial"/>
                <w:color w:val="000000"/>
                <w:sz w:val="20"/>
                <w:lang w:val="pl-PL"/>
              </w:rPr>
            </w:pPr>
            <w:r w:rsidRPr="00765C97">
              <w:rPr>
                <w:rFonts w:ascii="Arial" w:hAnsi="Arial"/>
                <w:color w:val="000000"/>
                <w:sz w:val="20"/>
                <w:lang w:val="pl-PL"/>
              </w:rPr>
              <w:t>70</w:t>
            </w:r>
          </w:p>
        </w:tc>
      </w:tr>
      <w:tr w:rsidR="0049622A" w:rsidRPr="00765C97" w:rsidTr="0098042B">
        <w:trPr>
          <w:trHeight w:val="255"/>
        </w:trPr>
        <w:tc>
          <w:tcPr>
            <w:tcW w:w="5760" w:type="dxa"/>
            <w:vAlign w:val="center"/>
          </w:tcPr>
          <w:p w:rsidR="0049622A" w:rsidRPr="00765C97" w:rsidRDefault="0049622A">
            <w:pPr>
              <w:tabs>
                <w:tab w:val="right" w:pos="2880"/>
                <w:tab w:val="right" w:pos="4860"/>
                <w:tab w:val="right" w:pos="6300"/>
              </w:tabs>
              <w:adjustRightInd w:val="0"/>
              <w:rPr>
                <w:rFonts w:ascii="Arial" w:hAnsi="Arial"/>
                <w:b/>
                <w:color w:val="000000"/>
                <w:sz w:val="20"/>
                <w:lang w:val="pl-PL"/>
              </w:rPr>
            </w:pPr>
            <w:r w:rsidRPr="00765C97">
              <w:rPr>
                <w:rFonts w:ascii="Arial" w:hAnsi="Arial"/>
                <w:b/>
                <w:color w:val="000000"/>
                <w:sz w:val="20"/>
                <w:lang w:val="pl-PL"/>
              </w:rPr>
              <w:t>Razem</w:t>
            </w:r>
          </w:p>
        </w:tc>
        <w:tc>
          <w:tcPr>
            <w:tcW w:w="1260" w:type="dxa"/>
            <w:vAlign w:val="center"/>
          </w:tcPr>
          <w:p w:rsidR="0049622A" w:rsidRPr="00765C97" w:rsidRDefault="005151F4">
            <w:pPr>
              <w:tabs>
                <w:tab w:val="right" w:pos="2880"/>
                <w:tab w:val="right" w:pos="4860"/>
                <w:tab w:val="right" w:pos="6300"/>
              </w:tabs>
              <w:adjustRightInd w:val="0"/>
              <w:jc w:val="right"/>
              <w:rPr>
                <w:rFonts w:ascii="Arial" w:hAnsi="Arial"/>
                <w:b/>
                <w:color w:val="000000"/>
                <w:sz w:val="20"/>
                <w:lang w:val="pl-PL"/>
              </w:rPr>
            </w:pPr>
            <w:r w:rsidRPr="00765C97">
              <w:rPr>
                <w:rFonts w:ascii="Arial" w:hAnsi="Arial"/>
                <w:b/>
                <w:color w:val="000000"/>
                <w:sz w:val="20"/>
                <w:lang w:val="pl-PL"/>
              </w:rPr>
              <w:t>47 200</w:t>
            </w:r>
          </w:p>
        </w:tc>
        <w:tc>
          <w:tcPr>
            <w:tcW w:w="1260" w:type="dxa"/>
            <w:vAlign w:val="center"/>
          </w:tcPr>
          <w:p w:rsidR="0049622A" w:rsidRPr="00765C97" w:rsidRDefault="0049622A" w:rsidP="00385F70">
            <w:pPr>
              <w:tabs>
                <w:tab w:val="right" w:pos="2880"/>
                <w:tab w:val="right" w:pos="4860"/>
                <w:tab w:val="right" w:pos="6300"/>
              </w:tabs>
              <w:adjustRightInd w:val="0"/>
              <w:jc w:val="right"/>
              <w:rPr>
                <w:rFonts w:ascii="Arial" w:hAnsi="Arial"/>
                <w:b/>
                <w:color w:val="000000"/>
                <w:sz w:val="20"/>
                <w:lang w:val="pl-PL"/>
              </w:rPr>
            </w:pPr>
            <w:r w:rsidRPr="00765C97">
              <w:rPr>
                <w:rFonts w:ascii="Arial" w:hAnsi="Arial"/>
                <w:b/>
                <w:color w:val="000000"/>
                <w:sz w:val="20"/>
                <w:lang w:val="pl-PL"/>
              </w:rPr>
              <w:t>39 344</w:t>
            </w:r>
          </w:p>
        </w:tc>
      </w:tr>
    </w:tbl>
    <w:p w:rsidR="00B24DA9" w:rsidRPr="00765C97" w:rsidRDefault="00B24DA9">
      <w:pPr>
        <w:tabs>
          <w:tab w:val="right" w:pos="2880"/>
          <w:tab w:val="right" w:pos="4860"/>
          <w:tab w:val="right" w:pos="6300"/>
        </w:tabs>
        <w:adjustRightInd w:val="0"/>
        <w:ind w:left="180"/>
        <w:jc w:val="both"/>
        <w:rPr>
          <w:rFonts w:ascii="Arial" w:hAnsi="Arial"/>
          <w:b/>
          <w:color w:val="000000"/>
          <w:sz w:val="20"/>
          <w:lang w:val="pl-PL"/>
        </w:rPr>
      </w:pPr>
    </w:p>
    <w:p w:rsidR="00B24DA9" w:rsidRPr="00765C97" w:rsidRDefault="00B24DA9">
      <w:pPr>
        <w:tabs>
          <w:tab w:val="right" w:pos="4320"/>
        </w:tabs>
        <w:adjustRightInd w:val="0"/>
        <w:ind w:left="180"/>
        <w:jc w:val="both"/>
        <w:rPr>
          <w:rFonts w:ascii="Arial" w:hAnsi="Arial"/>
          <w:color w:val="000000"/>
          <w:spacing w:val="-1"/>
          <w:sz w:val="20"/>
          <w:lang w:val="pl-PL"/>
        </w:rPr>
      </w:pPr>
      <w:r w:rsidRPr="00765C97">
        <w:rPr>
          <w:rFonts w:ascii="Arial" w:hAnsi="Arial"/>
          <w:color w:val="000000"/>
          <w:spacing w:val="-1"/>
          <w:sz w:val="20"/>
          <w:lang w:val="pl-PL"/>
        </w:rPr>
        <w:t xml:space="preserve">Odpisy amortyzacyjne zostały ujęte w rachunku zysków i strat powiększając koszty sprzedanych produktów, towarów i materiałów w kwocie </w:t>
      </w:r>
      <w:r w:rsidR="0057058B" w:rsidRPr="00765C97">
        <w:rPr>
          <w:rFonts w:ascii="Arial" w:hAnsi="Arial"/>
          <w:color w:val="000000"/>
          <w:spacing w:val="-1"/>
          <w:sz w:val="20"/>
          <w:lang w:val="pl-PL"/>
        </w:rPr>
        <w:t>23 894</w:t>
      </w:r>
      <w:r w:rsidR="003C2946" w:rsidRPr="00765C97">
        <w:rPr>
          <w:rFonts w:ascii="Arial" w:hAnsi="Arial"/>
          <w:color w:val="000000"/>
          <w:spacing w:val="-1"/>
          <w:sz w:val="20"/>
          <w:lang w:val="pl-PL"/>
        </w:rPr>
        <w:t xml:space="preserve"> tys. zł (</w:t>
      </w:r>
      <w:r w:rsidR="005A1EFE" w:rsidRPr="00765C97">
        <w:rPr>
          <w:rFonts w:ascii="Arial" w:hAnsi="Arial"/>
          <w:color w:val="000000"/>
          <w:spacing w:val="-1"/>
          <w:sz w:val="20"/>
          <w:lang w:val="pl-PL"/>
        </w:rPr>
        <w:t>21 361</w:t>
      </w:r>
      <w:r w:rsidRPr="00765C97">
        <w:rPr>
          <w:rFonts w:ascii="Arial" w:hAnsi="Arial"/>
          <w:color w:val="000000"/>
          <w:spacing w:val="-1"/>
          <w:sz w:val="20"/>
          <w:lang w:val="pl-PL"/>
        </w:rPr>
        <w:t xml:space="preserve"> tys. zł</w:t>
      </w:r>
      <w:r w:rsidR="003C2946" w:rsidRPr="00765C97">
        <w:rPr>
          <w:rFonts w:ascii="Arial" w:hAnsi="Arial"/>
          <w:color w:val="000000"/>
          <w:spacing w:val="-1"/>
          <w:sz w:val="20"/>
          <w:lang w:val="pl-PL"/>
        </w:rPr>
        <w:t xml:space="preserve"> w 2011</w:t>
      </w:r>
      <w:r w:rsidR="00C9402C" w:rsidRPr="00765C97">
        <w:rPr>
          <w:rFonts w:ascii="Arial" w:hAnsi="Arial"/>
          <w:color w:val="000000"/>
          <w:spacing w:val="-1"/>
          <w:sz w:val="20"/>
          <w:lang w:val="pl-PL"/>
        </w:rPr>
        <w:t xml:space="preserve"> </w:t>
      </w:r>
      <w:r w:rsidR="003C2946" w:rsidRPr="00765C97">
        <w:rPr>
          <w:rFonts w:ascii="Arial" w:hAnsi="Arial"/>
          <w:color w:val="000000"/>
          <w:spacing w:val="-1"/>
          <w:sz w:val="20"/>
          <w:lang w:val="pl-PL"/>
        </w:rPr>
        <w:t>r.)</w:t>
      </w:r>
      <w:r w:rsidRPr="00765C97">
        <w:rPr>
          <w:rFonts w:ascii="Arial" w:hAnsi="Arial"/>
          <w:color w:val="000000"/>
          <w:spacing w:val="-1"/>
          <w:sz w:val="20"/>
          <w:lang w:val="pl-PL"/>
        </w:rPr>
        <w:t>, koszty sprzedaży</w:t>
      </w:r>
      <w:r w:rsidR="003C2946" w:rsidRPr="00765C97">
        <w:rPr>
          <w:rFonts w:ascii="Arial" w:hAnsi="Arial"/>
          <w:color w:val="000000"/>
          <w:spacing w:val="-1"/>
          <w:sz w:val="20"/>
          <w:lang w:val="pl-PL"/>
        </w:rPr>
        <w:t xml:space="preserve"> </w:t>
      </w:r>
      <w:r w:rsidR="009B4C93" w:rsidRPr="00765C97">
        <w:rPr>
          <w:rFonts w:ascii="Arial" w:hAnsi="Arial"/>
          <w:color w:val="000000"/>
          <w:spacing w:val="-1"/>
          <w:sz w:val="20"/>
          <w:lang w:val="pl-PL"/>
        </w:rPr>
        <w:t>1 176</w:t>
      </w:r>
      <w:r w:rsidR="003C2946" w:rsidRPr="00765C97">
        <w:rPr>
          <w:rFonts w:ascii="Arial" w:hAnsi="Arial"/>
          <w:color w:val="000000"/>
          <w:spacing w:val="-1"/>
          <w:sz w:val="20"/>
          <w:lang w:val="pl-PL"/>
        </w:rPr>
        <w:t xml:space="preserve"> tys. zł</w:t>
      </w:r>
      <w:r w:rsidRPr="00765C97">
        <w:rPr>
          <w:rFonts w:ascii="Arial" w:hAnsi="Arial"/>
          <w:color w:val="000000"/>
          <w:spacing w:val="-1"/>
          <w:sz w:val="20"/>
          <w:lang w:val="pl-PL"/>
        </w:rPr>
        <w:t xml:space="preserve"> </w:t>
      </w:r>
      <w:r w:rsidR="003C2946" w:rsidRPr="00765C97">
        <w:rPr>
          <w:rFonts w:ascii="Arial" w:hAnsi="Arial"/>
          <w:color w:val="000000"/>
          <w:spacing w:val="-1"/>
          <w:sz w:val="20"/>
          <w:lang w:val="pl-PL"/>
        </w:rPr>
        <w:t>(</w:t>
      </w:r>
      <w:r w:rsidR="005A1EFE" w:rsidRPr="00765C97">
        <w:rPr>
          <w:rFonts w:ascii="Arial" w:hAnsi="Arial"/>
          <w:color w:val="000000"/>
          <w:spacing w:val="-1"/>
          <w:sz w:val="20"/>
          <w:lang w:val="pl-PL"/>
        </w:rPr>
        <w:t>1 332</w:t>
      </w:r>
      <w:r w:rsidRPr="00765C97">
        <w:rPr>
          <w:rFonts w:ascii="Arial" w:hAnsi="Arial"/>
          <w:color w:val="000000"/>
          <w:spacing w:val="-1"/>
          <w:sz w:val="20"/>
          <w:lang w:val="pl-PL"/>
        </w:rPr>
        <w:t xml:space="preserve"> tys. zł</w:t>
      </w:r>
      <w:r w:rsidR="003C2946" w:rsidRPr="00765C97">
        <w:rPr>
          <w:rFonts w:ascii="Arial" w:hAnsi="Arial"/>
          <w:color w:val="000000"/>
          <w:spacing w:val="-1"/>
          <w:sz w:val="20"/>
          <w:lang w:val="pl-PL"/>
        </w:rPr>
        <w:t xml:space="preserve"> w 2011</w:t>
      </w:r>
      <w:r w:rsidR="00C9402C" w:rsidRPr="00765C97">
        <w:rPr>
          <w:rFonts w:ascii="Arial" w:hAnsi="Arial"/>
          <w:color w:val="000000"/>
          <w:spacing w:val="-1"/>
          <w:sz w:val="20"/>
          <w:lang w:val="pl-PL"/>
        </w:rPr>
        <w:t xml:space="preserve"> </w:t>
      </w:r>
      <w:r w:rsidR="003C2946" w:rsidRPr="00765C97">
        <w:rPr>
          <w:rFonts w:ascii="Arial" w:hAnsi="Arial"/>
          <w:color w:val="000000"/>
          <w:spacing w:val="-1"/>
          <w:sz w:val="20"/>
          <w:lang w:val="pl-PL"/>
        </w:rPr>
        <w:t>r.)</w:t>
      </w:r>
      <w:r w:rsidR="00D3149B" w:rsidRPr="00765C97">
        <w:rPr>
          <w:rFonts w:ascii="Arial" w:hAnsi="Arial"/>
          <w:color w:val="000000"/>
          <w:spacing w:val="-1"/>
          <w:sz w:val="20"/>
          <w:lang w:val="pl-PL"/>
        </w:rPr>
        <w:t>,</w:t>
      </w:r>
      <w:r w:rsidRPr="00765C97">
        <w:rPr>
          <w:rFonts w:ascii="Arial" w:hAnsi="Arial"/>
          <w:color w:val="000000"/>
          <w:spacing w:val="-1"/>
          <w:sz w:val="20"/>
          <w:lang w:val="pl-PL"/>
        </w:rPr>
        <w:t xml:space="preserve"> koszty ogólnego </w:t>
      </w:r>
      <w:r w:rsidR="005A3574" w:rsidRPr="00765C97">
        <w:rPr>
          <w:rFonts w:ascii="Arial" w:hAnsi="Arial"/>
          <w:color w:val="000000"/>
          <w:spacing w:val="-1"/>
          <w:sz w:val="20"/>
          <w:lang w:val="pl-PL"/>
        </w:rPr>
        <w:t>z</w:t>
      </w:r>
      <w:r w:rsidRPr="00765C97">
        <w:rPr>
          <w:rFonts w:ascii="Arial" w:hAnsi="Arial"/>
          <w:color w:val="000000"/>
          <w:spacing w:val="-1"/>
          <w:sz w:val="20"/>
          <w:lang w:val="pl-PL"/>
        </w:rPr>
        <w:t>arządu</w:t>
      </w:r>
      <w:r w:rsidR="009B4C93" w:rsidRPr="00765C97">
        <w:rPr>
          <w:rFonts w:ascii="Arial" w:hAnsi="Arial"/>
          <w:color w:val="000000"/>
          <w:spacing w:val="-1"/>
          <w:sz w:val="20"/>
          <w:lang w:val="pl-PL"/>
        </w:rPr>
        <w:t xml:space="preserve"> 1 670</w:t>
      </w:r>
      <w:r w:rsidR="003C2946" w:rsidRPr="00765C97">
        <w:rPr>
          <w:rFonts w:ascii="Arial" w:hAnsi="Arial"/>
          <w:color w:val="000000"/>
          <w:spacing w:val="-1"/>
          <w:sz w:val="20"/>
          <w:lang w:val="pl-PL"/>
        </w:rPr>
        <w:t xml:space="preserve"> tys. zł</w:t>
      </w:r>
      <w:r w:rsidRPr="00765C97">
        <w:rPr>
          <w:rFonts w:ascii="Arial" w:hAnsi="Arial"/>
          <w:color w:val="000000"/>
          <w:spacing w:val="-1"/>
          <w:sz w:val="20"/>
          <w:lang w:val="pl-PL"/>
        </w:rPr>
        <w:t xml:space="preserve"> </w:t>
      </w:r>
      <w:r w:rsidR="003C2946" w:rsidRPr="00765C97">
        <w:rPr>
          <w:rFonts w:ascii="Arial" w:hAnsi="Arial"/>
          <w:color w:val="000000"/>
          <w:spacing w:val="-1"/>
          <w:sz w:val="20"/>
          <w:lang w:val="pl-PL"/>
        </w:rPr>
        <w:t>(</w:t>
      </w:r>
      <w:r w:rsidR="005A1EFE" w:rsidRPr="00765C97">
        <w:rPr>
          <w:rFonts w:ascii="Arial" w:hAnsi="Arial"/>
          <w:color w:val="000000"/>
          <w:spacing w:val="-1"/>
          <w:sz w:val="20"/>
          <w:lang w:val="pl-PL"/>
        </w:rPr>
        <w:t>1 597</w:t>
      </w:r>
      <w:r w:rsidRPr="00765C97">
        <w:rPr>
          <w:rFonts w:ascii="Arial" w:hAnsi="Arial"/>
          <w:color w:val="000000"/>
          <w:spacing w:val="-1"/>
          <w:sz w:val="20"/>
          <w:lang w:val="pl-PL"/>
        </w:rPr>
        <w:t xml:space="preserve"> tys. zł</w:t>
      </w:r>
      <w:r w:rsidR="003C2946" w:rsidRPr="00765C97">
        <w:rPr>
          <w:rFonts w:ascii="Arial" w:hAnsi="Arial"/>
          <w:color w:val="000000"/>
          <w:spacing w:val="-1"/>
          <w:sz w:val="20"/>
          <w:lang w:val="pl-PL"/>
        </w:rPr>
        <w:t xml:space="preserve"> w 2011</w:t>
      </w:r>
      <w:r w:rsidR="00C9402C" w:rsidRPr="00765C97">
        <w:rPr>
          <w:rFonts w:ascii="Arial" w:hAnsi="Arial"/>
          <w:color w:val="000000"/>
          <w:spacing w:val="-1"/>
          <w:sz w:val="20"/>
          <w:lang w:val="pl-PL"/>
        </w:rPr>
        <w:t xml:space="preserve"> </w:t>
      </w:r>
      <w:r w:rsidR="003C2946" w:rsidRPr="00765C97">
        <w:rPr>
          <w:rFonts w:ascii="Arial" w:hAnsi="Arial"/>
          <w:color w:val="000000"/>
          <w:spacing w:val="-1"/>
          <w:sz w:val="20"/>
          <w:lang w:val="pl-PL"/>
        </w:rPr>
        <w:t>r.)</w:t>
      </w:r>
      <w:r w:rsidRPr="00765C97">
        <w:rPr>
          <w:rFonts w:ascii="Arial" w:hAnsi="Arial"/>
          <w:color w:val="000000"/>
          <w:spacing w:val="-1"/>
          <w:sz w:val="20"/>
          <w:lang w:val="pl-PL"/>
        </w:rPr>
        <w:t xml:space="preserve"> oraz koszty działalności socjalnej w kwocie</w:t>
      </w:r>
      <w:r w:rsidR="003C2946" w:rsidRPr="00765C97">
        <w:rPr>
          <w:rFonts w:ascii="Arial" w:hAnsi="Arial"/>
          <w:color w:val="000000"/>
          <w:spacing w:val="-1"/>
          <w:sz w:val="20"/>
          <w:lang w:val="pl-PL"/>
        </w:rPr>
        <w:t xml:space="preserve"> 196 tys. zł</w:t>
      </w:r>
      <w:r w:rsidRPr="00765C97">
        <w:rPr>
          <w:rFonts w:ascii="Arial" w:hAnsi="Arial"/>
          <w:color w:val="000000"/>
          <w:spacing w:val="-1"/>
          <w:sz w:val="20"/>
          <w:lang w:val="pl-PL"/>
        </w:rPr>
        <w:t xml:space="preserve"> </w:t>
      </w:r>
      <w:r w:rsidR="003C2946" w:rsidRPr="00765C97">
        <w:rPr>
          <w:rFonts w:ascii="Arial" w:hAnsi="Arial"/>
          <w:color w:val="000000"/>
          <w:spacing w:val="-1"/>
          <w:sz w:val="20"/>
          <w:lang w:val="pl-PL"/>
        </w:rPr>
        <w:t>(</w:t>
      </w:r>
      <w:r w:rsidR="005A1EFE" w:rsidRPr="00765C97">
        <w:rPr>
          <w:rFonts w:ascii="Arial" w:hAnsi="Arial"/>
          <w:color w:val="000000"/>
          <w:spacing w:val="-1"/>
          <w:sz w:val="20"/>
          <w:lang w:val="pl-PL"/>
        </w:rPr>
        <w:t>254</w:t>
      </w:r>
      <w:r w:rsidRPr="00765C97">
        <w:rPr>
          <w:rFonts w:ascii="Arial" w:hAnsi="Arial"/>
          <w:color w:val="000000"/>
          <w:spacing w:val="-1"/>
          <w:sz w:val="20"/>
          <w:lang w:val="pl-PL"/>
        </w:rPr>
        <w:t xml:space="preserve"> tys. zł</w:t>
      </w:r>
      <w:r w:rsidR="003C2946" w:rsidRPr="00765C97">
        <w:rPr>
          <w:rFonts w:ascii="Arial" w:hAnsi="Arial"/>
          <w:color w:val="000000"/>
          <w:spacing w:val="-1"/>
          <w:sz w:val="20"/>
          <w:lang w:val="pl-PL"/>
        </w:rPr>
        <w:t xml:space="preserve"> w 2011</w:t>
      </w:r>
      <w:r w:rsidR="00C9402C" w:rsidRPr="00765C97">
        <w:rPr>
          <w:rFonts w:ascii="Arial" w:hAnsi="Arial"/>
          <w:color w:val="000000"/>
          <w:spacing w:val="-1"/>
          <w:sz w:val="20"/>
          <w:lang w:val="pl-PL"/>
        </w:rPr>
        <w:t xml:space="preserve"> </w:t>
      </w:r>
      <w:r w:rsidR="003C2946" w:rsidRPr="00765C97">
        <w:rPr>
          <w:rFonts w:ascii="Arial" w:hAnsi="Arial"/>
          <w:color w:val="000000"/>
          <w:spacing w:val="-1"/>
          <w:sz w:val="20"/>
          <w:lang w:val="pl-PL"/>
        </w:rPr>
        <w:t>r.)</w:t>
      </w:r>
      <w:r w:rsidRPr="00765C97">
        <w:rPr>
          <w:rFonts w:ascii="Arial" w:hAnsi="Arial"/>
          <w:color w:val="000000"/>
          <w:spacing w:val="-1"/>
          <w:sz w:val="20"/>
          <w:lang w:val="pl-PL"/>
        </w:rPr>
        <w:t>.</w:t>
      </w:r>
    </w:p>
    <w:p w:rsidR="00B24DA9" w:rsidRPr="00765C97" w:rsidRDefault="00B24DA9">
      <w:pPr>
        <w:tabs>
          <w:tab w:val="right" w:pos="4320"/>
        </w:tabs>
        <w:adjustRightInd w:val="0"/>
        <w:ind w:left="180"/>
        <w:jc w:val="both"/>
        <w:rPr>
          <w:rFonts w:ascii="Arial" w:hAnsi="Arial"/>
          <w:color w:val="000000"/>
          <w:spacing w:val="-1"/>
          <w:sz w:val="20"/>
          <w:lang w:val="pl-PL"/>
        </w:rPr>
      </w:pPr>
    </w:p>
    <w:p w:rsidR="00B24DA9" w:rsidRPr="00765C97" w:rsidRDefault="00B24DA9">
      <w:pPr>
        <w:tabs>
          <w:tab w:val="right" w:pos="4320"/>
        </w:tabs>
        <w:adjustRightInd w:val="0"/>
        <w:ind w:left="180"/>
        <w:jc w:val="both"/>
        <w:rPr>
          <w:rFonts w:ascii="Arial" w:hAnsi="Arial"/>
          <w:b/>
          <w:spacing w:val="-1"/>
          <w:sz w:val="20"/>
          <w:lang w:val="pl-PL"/>
        </w:rPr>
      </w:pPr>
      <w:r w:rsidRPr="00765C97">
        <w:rPr>
          <w:rFonts w:ascii="Arial" w:hAnsi="Arial"/>
          <w:b/>
          <w:spacing w:val="-1"/>
          <w:sz w:val="20"/>
          <w:lang w:val="pl-PL"/>
        </w:rPr>
        <w:t>Aktywa w leasingu finansowym</w:t>
      </w:r>
    </w:p>
    <w:p w:rsidR="00B24DA9" w:rsidRPr="00765C97" w:rsidRDefault="00B24DA9">
      <w:pPr>
        <w:adjustRightInd w:val="0"/>
        <w:ind w:left="180"/>
        <w:jc w:val="both"/>
        <w:rPr>
          <w:rFonts w:ascii="Arial" w:hAnsi="Arial"/>
          <w:sz w:val="20"/>
          <w:lang w:val="pl-PL"/>
        </w:rPr>
      </w:pPr>
    </w:p>
    <w:p w:rsidR="00C362CD" w:rsidRPr="00765C97" w:rsidRDefault="0049622A" w:rsidP="00C362CD">
      <w:pPr>
        <w:adjustRightInd w:val="0"/>
        <w:ind w:left="180"/>
        <w:jc w:val="both"/>
        <w:rPr>
          <w:rFonts w:ascii="Arial" w:hAnsi="Arial"/>
          <w:sz w:val="20"/>
          <w:lang w:val="pl-PL"/>
        </w:rPr>
      </w:pPr>
      <w:r w:rsidRPr="00765C97">
        <w:rPr>
          <w:rFonts w:ascii="Arial" w:hAnsi="Arial"/>
          <w:sz w:val="20"/>
          <w:lang w:val="pl-PL"/>
        </w:rPr>
        <w:t>Na dzień 31 grudnia 2012</w:t>
      </w:r>
      <w:r w:rsidR="00C362CD" w:rsidRPr="00765C97">
        <w:rPr>
          <w:rFonts w:ascii="Arial" w:hAnsi="Arial"/>
          <w:sz w:val="20"/>
          <w:lang w:val="pl-PL"/>
        </w:rPr>
        <w:t xml:space="preserve"> r. Grupa nie wykazuje zobowiązań z tytułu leasingu, gdyż umowy zawarte są wyłącznie pomiędzy spółkami Grupy.</w:t>
      </w:r>
    </w:p>
    <w:p w:rsidR="00B24DA9" w:rsidRPr="00765C97" w:rsidRDefault="00B24DA9">
      <w:pPr>
        <w:adjustRightInd w:val="0"/>
        <w:ind w:left="180"/>
        <w:jc w:val="both"/>
        <w:rPr>
          <w:rFonts w:ascii="Arial" w:hAnsi="Arial"/>
          <w:sz w:val="20"/>
          <w:lang w:val="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80"/>
        <w:gridCol w:w="1620"/>
      </w:tblGrid>
      <w:tr w:rsidR="00972B9C" w:rsidRPr="00765C97">
        <w:trPr>
          <w:trHeight w:val="255"/>
        </w:trPr>
        <w:tc>
          <w:tcPr>
            <w:tcW w:w="1980" w:type="dxa"/>
            <w:vAlign w:val="center"/>
          </w:tcPr>
          <w:p w:rsidR="00972B9C" w:rsidRPr="00765C97" w:rsidRDefault="00972B9C">
            <w:pPr>
              <w:adjustRightInd w:val="0"/>
              <w:rPr>
                <w:rFonts w:ascii="Arial" w:hAnsi="Arial"/>
                <w:sz w:val="20"/>
                <w:lang w:val="pl-PL"/>
              </w:rPr>
            </w:pPr>
            <w:r w:rsidRPr="00765C97">
              <w:rPr>
                <w:rFonts w:ascii="Arial" w:hAnsi="Arial"/>
                <w:sz w:val="20"/>
                <w:lang w:val="pl-PL"/>
              </w:rPr>
              <w:t>Kapitał netto</w:t>
            </w:r>
          </w:p>
        </w:tc>
        <w:tc>
          <w:tcPr>
            <w:tcW w:w="1620" w:type="dxa"/>
            <w:vAlign w:val="center"/>
          </w:tcPr>
          <w:p w:rsidR="00972B9C" w:rsidRPr="00765C97" w:rsidRDefault="005A1EFE" w:rsidP="00964DBD">
            <w:pPr>
              <w:adjustRightInd w:val="0"/>
              <w:jc w:val="right"/>
              <w:rPr>
                <w:rFonts w:ascii="Arial" w:hAnsi="Arial"/>
                <w:sz w:val="20"/>
                <w:lang w:val="pl-PL"/>
              </w:rPr>
            </w:pPr>
            <w:r w:rsidRPr="00765C97">
              <w:rPr>
                <w:rFonts w:ascii="Arial" w:hAnsi="Arial"/>
                <w:sz w:val="20"/>
                <w:lang w:val="pl-PL"/>
              </w:rPr>
              <w:t>0</w:t>
            </w:r>
          </w:p>
        </w:tc>
      </w:tr>
      <w:tr w:rsidR="00972B9C" w:rsidRPr="00765C97">
        <w:trPr>
          <w:trHeight w:val="255"/>
        </w:trPr>
        <w:tc>
          <w:tcPr>
            <w:tcW w:w="1980" w:type="dxa"/>
            <w:vAlign w:val="center"/>
          </w:tcPr>
          <w:p w:rsidR="00972B9C" w:rsidRPr="00765C97" w:rsidRDefault="00972B9C">
            <w:pPr>
              <w:adjustRightInd w:val="0"/>
              <w:rPr>
                <w:rFonts w:ascii="Arial" w:hAnsi="Arial"/>
                <w:sz w:val="20"/>
                <w:lang w:val="pl-PL"/>
              </w:rPr>
            </w:pPr>
            <w:r w:rsidRPr="00765C97">
              <w:rPr>
                <w:rFonts w:ascii="Arial" w:hAnsi="Arial"/>
                <w:sz w:val="20"/>
                <w:lang w:val="pl-PL"/>
              </w:rPr>
              <w:t>Kwota odsetek</w:t>
            </w:r>
          </w:p>
        </w:tc>
        <w:tc>
          <w:tcPr>
            <w:tcW w:w="1620" w:type="dxa"/>
            <w:vAlign w:val="center"/>
          </w:tcPr>
          <w:p w:rsidR="00972B9C" w:rsidRPr="00765C97" w:rsidRDefault="005A1EFE" w:rsidP="00964DBD">
            <w:pPr>
              <w:adjustRightInd w:val="0"/>
              <w:jc w:val="right"/>
              <w:rPr>
                <w:rFonts w:ascii="Arial" w:hAnsi="Arial"/>
                <w:sz w:val="20"/>
                <w:lang w:val="pl-PL"/>
              </w:rPr>
            </w:pPr>
            <w:r w:rsidRPr="00765C97">
              <w:rPr>
                <w:rFonts w:ascii="Arial" w:hAnsi="Arial"/>
                <w:sz w:val="20"/>
                <w:lang w:val="pl-PL"/>
              </w:rPr>
              <w:t>0</w:t>
            </w:r>
          </w:p>
        </w:tc>
      </w:tr>
    </w:tbl>
    <w:p w:rsidR="00B24DA9" w:rsidRPr="00765C97" w:rsidRDefault="00B24DA9">
      <w:pPr>
        <w:adjustRightInd w:val="0"/>
        <w:ind w:left="180"/>
        <w:jc w:val="both"/>
        <w:rPr>
          <w:rFonts w:ascii="Arial" w:hAnsi="Arial"/>
          <w:sz w:val="20"/>
          <w:lang w:val="pl-PL"/>
        </w:rPr>
      </w:pPr>
    </w:p>
    <w:p w:rsidR="00B24DA9" w:rsidRPr="00765C97" w:rsidRDefault="00B24DA9">
      <w:pPr>
        <w:adjustRightInd w:val="0"/>
        <w:ind w:left="180"/>
        <w:jc w:val="both"/>
        <w:rPr>
          <w:rFonts w:ascii="Arial" w:hAnsi="Arial"/>
          <w:sz w:val="20"/>
          <w:lang w:val="pl-PL"/>
        </w:rPr>
      </w:pPr>
      <w:r w:rsidRPr="00765C97">
        <w:rPr>
          <w:rFonts w:ascii="Arial" w:hAnsi="Arial"/>
          <w:sz w:val="20"/>
          <w:lang w:val="pl-PL"/>
        </w:rPr>
        <w:t>Grupa nie posiada należnych do zapłaty opłat leasingowych.</w:t>
      </w:r>
    </w:p>
    <w:p w:rsidR="00B24DA9" w:rsidRPr="00765C97" w:rsidRDefault="00B24DA9">
      <w:pPr>
        <w:adjustRightInd w:val="0"/>
        <w:ind w:left="180"/>
        <w:jc w:val="both"/>
        <w:rPr>
          <w:rFonts w:ascii="Arial" w:hAnsi="Arial"/>
          <w:sz w:val="20"/>
          <w:lang w:val="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80"/>
        <w:gridCol w:w="1620"/>
      </w:tblGrid>
      <w:tr w:rsidR="00B24DA9" w:rsidRPr="00765C97">
        <w:trPr>
          <w:trHeight w:val="255"/>
        </w:trPr>
        <w:tc>
          <w:tcPr>
            <w:tcW w:w="1980" w:type="dxa"/>
            <w:vAlign w:val="center"/>
          </w:tcPr>
          <w:p w:rsidR="00B24DA9" w:rsidRPr="00765C97" w:rsidRDefault="00B24DA9">
            <w:pPr>
              <w:adjustRightInd w:val="0"/>
              <w:rPr>
                <w:rFonts w:ascii="Arial" w:hAnsi="Arial"/>
                <w:sz w:val="20"/>
                <w:lang w:val="pl-PL"/>
              </w:rPr>
            </w:pPr>
            <w:r w:rsidRPr="00765C97">
              <w:rPr>
                <w:rFonts w:ascii="Arial" w:hAnsi="Arial"/>
                <w:sz w:val="20"/>
                <w:lang w:val="pl-PL"/>
              </w:rPr>
              <w:t>Odsetki</w:t>
            </w:r>
          </w:p>
        </w:tc>
        <w:tc>
          <w:tcPr>
            <w:tcW w:w="1620" w:type="dxa"/>
            <w:vAlign w:val="center"/>
          </w:tcPr>
          <w:p w:rsidR="00B24DA9" w:rsidRPr="00765C97" w:rsidRDefault="005A1EFE">
            <w:pPr>
              <w:adjustRightInd w:val="0"/>
              <w:jc w:val="right"/>
              <w:rPr>
                <w:rFonts w:ascii="Arial" w:hAnsi="Arial"/>
                <w:sz w:val="20"/>
                <w:lang w:val="pl-PL"/>
              </w:rPr>
            </w:pPr>
            <w:r w:rsidRPr="00765C97">
              <w:rPr>
                <w:rFonts w:ascii="Arial" w:hAnsi="Arial"/>
                <w:sz w:val="20"/>
                <w:lang w:val="pl-PL"/>
              </w:rPr>
              <w:t>0</w:t>
            </w:r>
          </w:p>
        </w:tc>
      </w:tr>
      <w:tr w:rsidR="00B24DA9" w:rsidRPr="00765C97">
        <w:trPr>
          <w:trHeight w:val="255"/>
        </w:trPr>
        <w:tc>
          <w:tcPr>
            <w:tcW w:w="1980" w:type="dxa"/>
            <w:vAlign w:val="center"/>
          </w:tcPr>
          <w:p w:rsidR="00B24DA9" w:rsidRPr="00765C97" w:rsidRDefault="00B24DA9">
            <w:pPr>
              <w:adjustRightInd w:val="0"/>
              <w:rPr>
                <w:rFonts w:ascii="Arial" w:hAnsi="Arial"/>
                <w:sz w:val="20"/>
                <w:lang w:val="pl-PL"/>
              </w:rPr>
            </w:pPr>
            <w:r w:rsidRPr="00765C97">
              <w:rPr>
                <w:rFonts w:ascii="Arial" w:hAnsi="Arial"/>
                <w:sz w:val="20"/>
                <w:lang w:val="pl-PL"/>
              </w:rPr>
              <w:t>Kapitał netto</w:t>
            </w:r>
          </w:p>
        </w:tc>
        <w:tc>
          <w:tcPr>
            <w:tcW w:w="1620" w:type="dxa"/>
            <w:vAlign w:val="center"/>
          </w:tcPr>
          <w:p w:rsidR="00B24DA9" w:rsidRPr="00765C97" w:rsidRDefault="005A1EFE">
            <w:pPr>
              <w:adjustRightInd w:val="0"/>
              <w:jc w:val="right"/>
              <w:rPr>
                <w:rFonts w:ascii="Arial" w:hAnsi="Arial"/>
                <w:sz w:val="20"/>
                <w:lang w:val="pl-PL"/>
              </w:rPr>
            </w:pPr>
            <w:r w:rsidRPr="00765C97">
              <w:rPr>
                <w:rFonts w:ascii="Arial" w:hAnsi="Arial"/>
                <w:sz w:val="20"/>
                <w:lang w:val="pl-PL"/>
              </w:rPr>
              <w:t>0</w:t>
            </w:r>
          </w:p>
        </w:tc>
      </w:tr>
    </w:tbl>
    <w:p w:rsidR="005A1EFE" w:rsidRPr="00765C97" w:rsidRDefault="005A1EFE">
      <w:pPr>
        <w:widowControl/>
        <w:autoSpaceDE/>
        <w:autoSpaceDN/>
        <w:rPr>
          <w:rFonts w:ascii="Arial" w:hAnsi="Arial" w:cs="Arial"/>
          <w:b/>
          <w:bCs/>
          <w:sz w:val="20"/>
          <w:szCs w:val="26"/>
          <w:lang w:val="pl-PL"/>
        </w:rPr>
      </w:pPr>
      <w:r w:rsidRPr="00765C97">
        <w:rPr>
          <w:sz w:val="20"/>
          <w:lang w:val="pl-PL"/>
        </w:rPr>
        <w:br w:type="page"/>
      </w:r>
    </w:p>
    <w:p w:rsidR="00B24DA9" w:rsidRPr="00765C97" w:rsidRDefault="00B24DA9" w:rsidP="00135A9A">
      <w:pPr>
        <w:pStyle w:val="Nagwek3"/>
        <w:numPr>
          <w:ilvl w:val="1"/>
          <w:numId w:val="22"/>
        </w:numPr>
        <w:spacing w:after="240"/>
        <w:ind w:left="709" w:hanging="567"/>
        <w:rPr>
          <w:sz w:val="20"/>
          <w:lang w:val="pl-PL"/>
        </w:rPr>
      </w:pPr>
      <w:bookmarkStart w:id="46" w:name="_Toc353973212"/>
      <w:r w:rsidRPr="00765C97">
        <w:rPr>
          <w:sz w:val="20"/>
          <w:lang w:val="pl-PL"/>
        </w:rPr>
        <w:t>Wartość firmy</w:t>
      </w:r>
      <w:bookmarkEnd w:id="46"/>
    </w:p>
    <w:p w:rsidR="00B24DA9" w:rsidRPr="00765C97" w:rsidRDefault="00B24DA9">
      <w:pPr>
        <w:tabs>
          <w:tab w:val="left" w:pos="1134"/>
          <w:tab w:val="left" w:pos="1188"/>
        </w:tabs>
        <w:ind w:left="1276" w:hanging="1096"/>
        <w:rPr>
          <w:rFonts w:ascii="Arial" w:hAnsi="Arial"/>
          <w:spacing w:val="-1"/>
          <w:sz w:val="20"/>
          <w:lang w:val="pl-PL"/>
        </w:rPr>
      </w:pPr>
      <w:r w:rsidRPr="00765C97">
        <w:rPr>
          <w:rFonts w:ascii="Arial" w:hAnsi="Arial"/>
          <w:spacing w:val="-1"/>
          <w:sz w:val="20"/>
          <w:lang w:val="pl-PL"/>
        </w:rPr>
        <w:t>Obejmuje wartość firmy ustaloną przy nabywaniu udziałów następujących spółek:</w:t>
      </w:r>
    </w:p>
    <w:p w:rsidR="00B24DA9" w:rsidRPr="00765C97" w:rsidRDefault="00B24DA9">
      <w:pPr>
        <w:tabs>
          <w:tab w:val="left" w:pos="1134"/>
          <w:tab w:val="left" w:pos="1188"/>
        </w:tabs>
        <w:ind w:left="1276" w:hanging="1096"/>
        <w:rPr>
          <w:rFonts w:ascii="Arial" w:hAnsi="Arial"/>
          <w:spacing w:val="-1"/>
          <w:sz w:val="20"/>
          <w:lang w:val="pl-PL"/>
        </w:rPr>
      </w:pPr>
    </w:p>
    <w:tbl>
      <w:tblPr>
        <w:tblW w:w="79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89"/>
        <w:gridCol w:w="2096"/>
        <w:gridCol w:w="2096"/>
      </w:tblGrid>
      <w:tr w:rsidR="0049622A" w:rsidRPr="00765C97" w:rsidTr="0049622A">
        <w:trPr>
          <w:trHeight w:val="255"/>
        </w:trPr>
        <w:tc>
          <w:tcPr>
            <w:tcW w:w="3789" w:type="dxa"/>
          </w:tcPr>
          <w:p w:rsidR="0049622A" w:rsidRPr="00765C97" w:rsidRDefault="0049622A" w:rsidP="00385F70">
            <w:pPr>
              <w:tabs>
                <w:tab w:val="left" w:pos="1134"/>
                <w:tab w:val="left" w:pos="1188"/>
              </w:tabs>
              <w:rPr>
                <w:rFonts w:ascii="Arial" w:hAnsi="Arial"/>
                <w:spacing w:val="-1"/>
                <w:sz w:val="20"/>
                <w:lang w:val="pl-PL"/>
              </w:rPr>
            </w:pPr>
          </w:p>
        </w:tc>
        <w:tc>
          <w:tcPr>
            <w:tcW w:w="2096" w:type="dxa"/>
            <w:vAlign w:val="center"/>
          </w:tcPr>
          <w:p w:rsidR="0049622A" w:rsidRPr="00765C97" w:rsidRDefault="0049622A" w:rsidP="00385F70">
            <w:pPr>
              <w:tabs>
                <w:tab w:val="left" w:pos="1134"/>
                <w:tab w:val="left" w:pos="1188"/>
              </w:tabs>
              <w:jc w:val="right"/>
              <w:rPr>
                <w:rFonts w:ascii="Arial" w:hAnsi="Arial" w:cs="Arial"/>
                <w:spacing w:val="-1"/>
                <w:sz w:val="20"/>
                <w:szCs w:val="20"/>
                <w:lang w:val="pl-PL"/>
              </w:rPr>
            </w:pPr>
            <w:r w:rsidRPr="00765C97">
              <w:rPr>
                <w:rFonts w:ascii="Arial" w:hAnsi="Arial" w:cs="Arial"/>
                <w:b/>
                <w:spacing w:val="-1"/>
                <w:sz w:val="20"/>
                <w:szCs w:val="20"/>
                <w:lang w:val="pl-PL"/>
              </w:rPr>
              <w:t>31 grudnia 2012 r.</w:t>
            </w:r>
          </w:p>
        </w:tc>
        <w:tc>
          <w:tcPr>
            <w:tcW w:w="2096" w:type="dxa"/>
            <w:vAlign w:val="center"/>
          </w:tcPr>
          <w:p w:rsidR="0049622A" w:rsidRPr="00765C97" w:rsidRDefault="0049622A" w:rsidP="00385F70">
            <w:pPr>
              <w:tabs>
                <w:tab w:val="left" w:pos="1134"/>
                <w:tab w:val="left" w:pos="1188"/>
              </w:tabs>
              <w:jc w:val="right"/>
              <w:rPr>
                <w:rFonts w:ascii="Arial" w:hAnsi="Arial"/>
                <w:spacing w:val="-1"/>
                <w:sz w:val="20"/>
                <w:lang w:val="pl-PL"/>
              </w:rPr>
            </w:pPr>
            <w:r w:rsidRPr="00765C97">
              <w:rPr>
                <w:rFonts w:ascii="Arial" w:hAnsi="Arial"/>
                <w:b/>
                <w:sz w:val="20"/>
                <w:lang w:val="pl-PL"/>
              </w:rPr>
              <w:t>31 grudnia 2011 r.</w:t>
            </w:r>
          </w:p>
        </w:tc>
      </w:tr>
      <w:tr w:rsidR="0049622A" w:rsidRPr="00765C97" w:rsidTr="0049622A">
        <w:trPr>
          <w:trHeight w:val="255"/>
        </w:trPr>
        <w:tc>
          <w:tcPr>
            <w:tcW w:w="3789" w:type="dxa"/>
            <w:vAlign w:val="center"/>
          </w:tcPr>
          <w:p w:rsidR="0049622A" w:rsidRPr="00765C97" w:rsidRDefault="0049622A" w:rsidP="00385F70">
            <w:pPr>
              <w:tabs>
                <w:tab w:val="left" w:pos="1134"/>
                <w:tab w:val="left" w:pos="1188"/>
              </w:tabs>
              <w:rPr>
                <w:rFonts w:ascii="Arial" w:hAnsi="Arial" w:cs="Arial"/>
                <w:spacing w:val="-1"/>
                <w:sz w:val="20"/>
                <w:szCs w:val="20"/>
                <w:lang w:val="pl-PL"/>
              </w:rPr>
            </w:pPr>
            <w:r w:rsidRPr="00765C97">
              <w:rPr>
                <w:rFonts w:ascii="Arial" w:hAnsi="Arial" w:cs="Arial"/>
                <w:spacing w:val="-1"/>
                <w:sz w:val="20"/>
                <w:szCs w:val="20"/>
                <w:lang w:val="pl-PL"/>
              </w:rPr>
              <w:t>Comarch Kraków</w:t>
            </w:r>
          </w:p>
        </w:tc>
        <w:tc>
          <w:tcPr>
            <w:tcW w:w="2096" w:type="dxa"/>
            <w:vAlign w:val="center"/>
          </w:tcPr>
          <w:p w:rsidR="0049622A" w:rsidRPr="00765C97" w:rsidRDefault="0049622A" w:rsidP="00385F70">
            <w:pPr>
              <w:spacing w:line="276" w:lineRule="auto"/>
              <w:jc w:val="right"/>
              <w:rPr>
                <w:rFonts w:ascii="Arial" w:eastAsia="Calibri" w:hAnsi="Arial" w:cs="Arial"/>
                <w:spacing w:val="-1"/>
                <w:sz w:val="20"/>
                <w:szCs w:val="20"/>
              </w:rPr>
            </w:pPr>
            <w:r w:rsidRPr="00765C97">
              <w:rPr>
                <w:rFonts w:ascii="Arial" w:hAnsi="Arial" w:cs="Arial"/>
                <w:spacing w:val="-1"/>
                <w:sz w:val="20"/>
                <w:szCs w:val="20"/>
              </w:rPr>
              <w:t>99</w:t>
            </w:r>
          </w:p>
        </w:tc>
        <w:tc>
          <w:tcPr>
            <w:tcW w:w="2096" w:type="dxa"/>
            <w:vAlign w:val="center"/>
          </w:tcPr>
          <w:p w:rsidR="0049622A" w:rsidRPr="00765C97" w:rsidRDefault="0049622A" w:rsidP="00385F70">
            <w:pPr>
              <w:tabs>
                <w:tab w:val="left" w:pos="1134"/>
                <w:tab w:val="left" w:pos="1188"/>
              </w:tabs>
              <w:jc w:val="right"/>
              <w:rPr>
                <w:rFonts w:ascii="Arial" w:hAnsi="Arial"/>
                <w:spacing w:val="-1"/>
                <w:sz w:val="20"/>
                <w:lang w:val="pl-PL"/>
              </w:rPr>
            </w:pPr>
            <w:r w:rsidRPr="00765C97">
              <w:rPr>
                <w:rFonts w:ascii="Arial" w:hAnsi="Arial"/>
                <w:spacing w:val="-1"/>
                <w:sz w:val="20"/>
                <w:lang w:val="pl-PL"/>
              </w:rPr>
              <w:t>99</w:t>
            </w:r>
          </w:p>
        </w:tc>
      </w:tr>
      <w:tr w:rsidR="0049622A" w:rsidRPr="00765C97" w:rsidTr="0049622A">
        <w:trPr>
          <w:trHeight w:val="255"/>
        </w:trPr>
        <w:tc>
          <w:tcPr>
            <w:tcW w:w="3789" w:type="dxa"/>
            <w:vAlign w:val="center"/>
          </w:tcPr>
          <w:p w:rsidR="0049622A" w:rsidRPr="00765C97" w:rsidRDefault="0049622A" w:rsidP="00385F70">
            <w:pPr>
              <w:tabs>
                <w:tab w:val="left" w:pos="1134"/>
                <w:tab w:val="left" w:pos="1188"/>
              </w:tabs>
              <w:rPr>
                <w:rFonts w:ascii="Arial" w:hAnsi="Arial" w:cs="Arial"/>
                <w:spacing w:val="-1"/>
                <w:sz w:val="20"/>
                <w:szCs w:val="20"/>
                <w:lang w:val="pl-PL"/>
              </w:rPr>
            </w:pPr>
            <w:r w:rsidRPr="00765C97">
              <w:rPr>
                <w:rFonts w:ascii="Arial" w:hAnsi="Arial" w:cs="Arial"/>
                <w:spacing w:val="-1"/>
                <w:sz w:val="20"/>
                <w:szCs w:val="20"/>
                <w:lang w:val="pl-PL"/>
              </w:rPr>
              <w:t>CDN Comarch</w:t>
            </w:r>
          </w:p>
        </w:tc>
        <w:tc>
          <w:tcPr>
            <w:tcW w:w="2096" w:type="dxa"/>
            <w:vAlign w:val="center"/>
          </w:tcPr>
          <w:p w:rsidR="0049622A" w:rsidRPr="00765C97" w:rsidRDefault="0049622A" w:rsidP="00385F70">
            <w:pPr>
              <w:spacing w:line="276" w:lineRule="auto"/>
              <w:jc w:val="right"/>
              <w:rPr>
                <w:rFonts w:ascii="Arial" w:eastAsia="Calibri" w:hAnsi="Arial" w:cs="Arial"/>
                <w:spacing w:val="-1"/>
                <w:sz w:val="20"/>
                <w:szCs w:val="20"/>
              </w:rPr>
            </w:pPr>
            <w:r w:rsidRPr="00765C97">
              <w:rPr>
                <w:rFonts w:ascii="Arial" w:hAnsi="Arial" w:cs="Arial"/>
                <w:spacing w:val="-1"/>
                <w:sz w:val="20"/>
                <w:szCs w:val="20"/>
              </w:rPr>
              <w:t>1 227</w:t>
            </w:r>
          </w:p>
        </w:tc>
        <w:tc>
          <w:tcPr>
            <w:tcW w:w="2096" w:type="dxa"/>
            <w:vAlign w:val="center"/>
          </w:tcPr>
          <w:p w:rsidR="0049622A" w:rsidRPr="00765C97" w:rsidRDefault="0049622A" w:rsidP="00385F70">
            <w:pPr>
              <w:tabs>
                <w:tab w:val="left" w:pos="1134"/>
                <w:tab w:val="left" w:pos="1188"/>
              </w:tabs>
              <w:jc w:val="right"/>
              <w:rPr>
                <w:rFonts w:ascii="Arial" w:hAnsi="Arial"/>
                <w:spacing w:val="-1"/>
                <w:sz w:val="20"/>
                <w:lang w:val="pl-PL"/>
              </w:rPr>
            </w:pPr>
            <w:r w:rsidRPr="00765C97">
              <w:rPr>
                <w:rFonts w:ascii="Arial" w:hAnsi="Arial"/>
                <w:spacing w:val="-1"/>
                <w:sz w:val="20"/>
                <w:lang w:val="pl-PL"/>
              </w:rPr>
              <w:t>1 227</w:t>
            </w:r>
          </w:p>
        </w:tc>
      </w:tr>
      <w:tr w:rsidR="0049622A" w:rsidRPr="00765C97" w:rsidTr="0049622A">
        <w:trPr>
          <w:trHeight w:val="255"/>
        </w:trPr>
        <w:tc>
          <w:tcPr>
            <w:tcW w:w="3789" w:type="dxa"/>
            <w:vAlign w:val="center"/>
          </w:tcPr>
          <w:p w:rsidR="0049622A" w:rsidRPr="00765C97" w:rsidRDefault="0049622A" w:rsidP="00385F70">
            <w:pPr>
              <w:tabs>
                <w:tab w:val="left" w:pos="1134"/>
                <w:tab w:val="left" w:pos="1188"/>
              </w:tabs>
              <w:rPr>
                <w:rFonts w:ascii="Arial" w:hAnsi="Arial" w:cs="Arial"/>
                <w:spacing w:val="-1"/>
                <w:sz w:val="20"/>
                <w:szCs w:val="20"/>
                <w:lang w:val="pl-PL"/>
              </w:rPr>
            </w:pPr>
            <w:r w:rsidRPr="00765C97">
              <w:rPr>
                <w:rFonts w:ascii="Arial" w:hAnsi="Arial" w:cs="Arial"/>
                <w:spacing w:val="-1"/>
                <w:sz w:val="20"/>
                <w:szCs w:val="20"/>
                <w:lang w:val="pl-PL"/>
              </w:rPr>
              <w:t>Comarch AG</w:t>
            </w:r>
          </w:p>
        </w:tc>
        <w:tc>
          <w:tcPr>
            <w:tcW w:w="2096" w:type="dxa"/>
            <w:vAlign w:val="center"/>
          </w:tcPr>
          <w:p w:rsidR="0049622A" w:rsidRPr="00765C97" w:rsidRDefault="0049622A" w:rsidP="00385F70">
            <w:pPr>
              <w:spacing w:line="276" w:lineRule="auto"/>
              <w:jc w:val="right"/>
              <w:rPr>
                <w:rFonts w:ascii="Arial" w:eastAsia="Calibri" w:hAnsi="Arial" w:cs="Arial"/>
                <w:spacing w:val="-1"/>
                <w:sz w:val="20"/>
                <w:szCs w:val="20"/>
              </w:rPr>
            </w:pPr>
            <w:r w:rsidRPr="00765C97">
              <w:rPr>
                <w:rFonts w:ascii="Arial" w:hAnsi="Arial" w:cs="Arial"/>
                <w:spacing w:val="-1"/>
                <w:sz w:val="20"/>
                <w:szCs w:val="20"/>
              </w:rPr>
              <w:t>1 900</w:t>
            </w:r>
          </w:p>
        </w:tc>
        <w:tc>
          <w:tcPr>
            <w:tcW w:w="2096" w:type="dxa"/>
            <w:vAlign w:val="center"/>
          </w:tcPr>
          <w:p w:rsidR="0049622A" w:rsidRPr="00765C97" w:rsidRDefault="0049622A" w:rsidP="00385F70">
            <w:pPr>
              <w:tabs>
                <w:tab w:val="left" w:pos="1134"/>
                <w:tab w:val="left" w:pos="1188"/>
              </w:tabs>
              <w:jc w:val="right"/>
              <w:rPr>
                <w:rFonts w:ascii="Arial" w:hAnsi="Arial"/>
                <w:spacing w:val="-1"/>
                <w:sz w:val="20"/>
                <w:lang w:val="pl-PL"/>
              </w:rPr>
            </w:pPr>
            <w:r w:rsidRPr="00765C97">
              <w:rPr>
                <w:rFonts w:ascii="Arial" w:hAnsi="Arial"/>
                <w:spacing w:val="-1"/>
                <w:sz w:val="20"/>
                <w:lang w:val="pl-PL"/>
              </w:rPr>
              <w:t>1 900</w:t>
            </w:r>
          </w:p>
        </w:tc>
      </w:tr>
      <w:tr w:rsidR="0049622A" w:rsidRPr="00765C97" w:rsidTr="0049622A">
        <w:trPr>
          <w:trHeight w:val="255"/>
        </w:trPr>
        <w:tc>
          <w:tcPr>
            <w:tcW w:w="3789" w:type="dxa"/>
            <w:vAlign w:val="center"/>
          </w:tcPr>
          <w:p w:rsidR="0049622A" w:rsidRPr="00765C97" w:rsidRDefault="0049622A" w:rsidP="00385F70">
            <w:pPr>
              <w:tabs>
                <w:tab w:val="left" w:pos="1134"/>
                <w:tab w:val="left" w:pos="1188"/>
              </w:tabs>
              <w:rPr>
                <w:rFonts w:ascii="Arial" w:hAnsi="Arial" w:cs="Arial"/>
                <w:spacing w:val="-1"/>
                <w:sz w:val="20"/>
                <w:szCs w:val="20"/>
                <w:lang w:val="pl-PL"/>
              </w:rPr>
            </w:pPr>
            <w:r w:rsidRPr="00765C97">
              <w:rPr>
                <w:rFonts w:ascii="Arial" w:hAnsi="Arial" w:cs="Arial"/>
                <w:spacing w:val="-1"/>
                <w:sz w:val="20"/>
                <w:szCs w:val="20"/>
                <w:lang w:val="pl-PL"/>
              </w:rPr>
              <w:t>Comarch, Inc.</w:t>
            </w:r>
          </w:p>
        </w:tc>
        <w:tc>
          <w:tcPr>
            <w:tcW w:w="2096" w:type="dxa"/>
            <w:vAlign w:val="center"/>
          </w:tcPr>
          <w:p w:rsidR="0049622A" w:rsidRPr="00765C97" w:rsidRDefault="0049622A" w:rsidP="00385F70">
            <w:pPr>
              <w:spacing w:line="276" w:lineRule="auto"/>
              <w:jc w:val="right"/>
              <w:rPr>
                <w:rFonts w:ascii="Arial" w:eastAsia="Calibri" w:hAnsi="Arial" w:cs="Arial"/>
                <w:spacing w:val="-1"/>
                <w:sz w:val="20"/>
                <w:szCs w:val="20"/>
              </w:rPr>
            </w:pPr>
            <w:r w:rsidRPr="00765C97">
              <w:rPr>
                <w:rFonts w:ascii="Arial" w:hAnsi="Arial" w:cs="Arial"/>
                <w:spacing w:val="-1"/>
                <w:sz w:val="20"/>
                <w:szCs w:val="20"/>
              </w:rPr>
              <w:t>58</w:t>
            </w:r>
          </w:p>
        </w:tc>
        <w:tc>
          <w:tcPr>
            <w:tcW w:w="2096" w:type="dxa"/>
            <w:vAlign w:val="center"/>
          </w:tcPr>
          <w:p w:rsidR="0049622A" w:rsidRPr="00765C97" w:rsidRDefault="0049622A" w:rsidP="00385F70">
            <w:pPr>
              <w:tabs>
                <w:tab w:val="left" w:pos="1134"/>
                <w:tab w:val="left" w:pos="1188"/>
              </w:tabs>
              <w:jc w:val="right"/>
              <w:rPr>
                <w:rFonts w:ascii="Arial" w:hAnsi="Arial"/>
                <w:spacing w:val="-1"/>
                <w:sz w:val="20"/>
                <w:lang w:val="pl-PL"/>
              </w:rPr>
            </w:pPr>
            <w:r w:rsidRPr="00765C97">
              <w:rPr>
                <w:rFonts w:ascii="Arial" w:hAnsi="Arial"/>
                <w:spacing w:val="-1"/>
                <w:sz w:val="20"/>
                <w:lang w:val="pl-PL"/>
              </w:rPr>
              <w:t>58</w:t>
            </w:r>
          </w:p>
        </w:tc>
      </w:tr>
      <w:tr w:rsidR="0049622A" w:rsidRPr="00765C97" w:rsidTr="0049622A">
        <w:trPr>
          <w:trHeight w:val="255"/>
        </w:trPr>
        <w:tc>
          <w:tcPr>
            <w:tcW w:w="3789" w:type="dxa"/>
            <w:vAlign w:val="center"/>
          </w:tcPr>
          <w:p w:rsidR="0049622A" w:rsidRPr="00765C97" w:rsidRDefault="0049622A" w:rsidP="00385F70">
            <w:pPr>
              <w:tabs>
                <w:tab w:val="left" w:pos="1134"/>
                <w:tab w:val="left" w:pos="1188"/>
              </w:tabs>
              <w:rPr>
                <w:rFonts w:ascii="Arial" w:hAnsi="Arial" w:cs="Arial"/>
                <w:spacing w:val="-1"/>
                <w:sz w:val="20"/>
                <w:szCs w:val="20"/>
                <w:lang w:val="de-DE"/>
              </w:rPr>
            </w:pPr>
            <w:r w:rsidRPr="00765C97">
              <w:rPr>
                <w:rFonts w:ascii="Arial" w:hAnsi="Arial" w:cs="Arial"/>
                <w:spacing w:val="-1"/>
                <w:sz w:val="20"/>
                <w:szCs w:val="20"/>
                <w:lang w:val="de-DE"/>
              </w:rPr>
              <w:t>Comarch Software und Beratung AG</w:t>
            </w:r>
          </w:p>
        </w:tc>
        <w:tc>
          <w:tcPr>
            <w:tcW w:w="2096" w:type="dxa"/>
            <w:vAlign w:val="center"/>
          </w:tcPr>
          <w:p w:rsidR="0049622A" w:rsidRPr="00765C97" w:rsidRDefault="0049622A" w:rsidP="00385F70">
            <w:pPr>
              <w:spacing w:line="276" w:lineRule="auto"/>
              <w:jc w:val="right"/>
              <w:rPr>
                <w:rFonts w:ascii="Arial" w:eastAsia="Calibri" w:hAnsi="Arial" w:cs="Arial"/>
                <w:b/>
                <w:bCs/>
                <w:spacing w:val="-1"/>
                <w:sz w:val="20"/>
                <w:szCs w:val="20"/>
              </w:rPr>
            </w:pPr>
            <w:r w:rsidRPr="00765C97">
              <w:rPr>
                <w:rFonts w:ascii="Arial" w:hAnsi="Arial" w:cs="Arial"/>
                <w:spacing w:val="-1"/>
                <w:sz w:val="20"/>
                <w:szCs w:val="20"/>
              </w:rPr>
              <w:t>33 871</w:t>
            </w:r>
          </w:p>
        </w:tc>
        <w:tc>
          <w:tcPr>
            <w:tcW w:w="2096" w:type="dxa"/>
            <w:vAlign w:val="center"/>
          </w:tcPr>
          <w:p w:rsidR="0049622A" w:rsidRPr="00765C97" w:rsidRDefault="0049622A" w:rsidP="00385F70">
            <w:pPr>
              <w:tabs>
                <w:tab w:val="left" w:pos="1134"/>
                <w:tab w:val="left" w:pos="1188"/>
              </w:tabs>
              <w:jc w:val="right"/>
              <w:rPr>
                <w:rFonts w:ascii="Arial" w:hAnsi="Arial"/>
                <w:b/>
                <w:spacing w:val="-1"/>
                <w:sz w:val="20"/>
                <w:lang w:val="pl-PL"/>
              </w:rPr>
            </w:pPr>
            <w:r w:rsidRPr="00765C97">
              <w:rPr>
                <w:rFonts w:ascii="Arial" w:hAnsi="Arial"/>
                <w:spacing w:val="-1"/>
                <w:sz w:val="20"/>
                <w:lang w:val="pl-PL"/>
              </w:rPr>
              <w:t>33 871</w:t>
            </w:r>
          </w:p>
        </w:tc>
      </w:tr>
      <w:tr w:rsidR="0049622A" w:rsidRPr="00765C97" w:rsidTr="0049622A">
        <w:trPr>
          <w:trHeight w:val="255"/>
        </w:trPr>
        <w:tc>
          <w:tcPr>
            <w:tcW w:w="3789" w:type="dxa"/>
            <w:vAlign w:val="center"/>
          </w:tcPr>
          <w:p w:rsidR="0049622A" w:rsidRPr="00765C97" w:rsidRDefault="0049622A" w:rsidP="00385F70">
            <w:pPr>
              <w:tabs>
                <w:tab w:val="left" w:pos="1134"/>
                <w:tab w:val="left" w:pos="1188"/>
              </w:tabs>
              <w:rPr>
                <w:rFonts w:ascii="Arial" w:hAnsi="Arial" w:cs="Arial"/>
                <w:b/>
                <w:spacing w:val="-1"/>
                <w:sz w:val="20"/>
                <w:szCs w:val="20"/>
                <w:lang w:val="pl-PL"/>
              </w:rPr>
            </w:pPr>
            <w:r w:rsidRPr="00765C97">
              <w:rPr>
                <w:rFonts w:ascii="Arial" w:hAnsi="Arial"/>
                <w:spacing w:val="-1"/>
                <w:sz w:val="20"/>
                <w:lang w:val="pl-PL"/>
              </w:rPr>
              <w:t>A-MEA Informatik AG</w:t>
            </w:r>
          </w:p>
        </w:tc>
        <w:tc>
          <w:tcPr>
            <w:tcW w:w="2096" w:type="dxa"/>
            <w:vAlign w:val="center"/>
          </w:tcPr>
          <w:p w:rsidR="0049622A" w:rsidRPr="00765C97" w:rsidRDefault="0049622A" w:rsidP="00385F70">
            <w:pPr>
              <w:spacing w:line="276" w:lineRule="auto"/>
              <w:jc w:val="right"/>
              <w:rPr>
                <w:rFonts w:ascii="Arial" w:eastAsia="Calibri" w:hAnsi="Arial" w:cs="Arial"/>
                <w:spacing w:val="-1"/>
                <w:sz w:val="20"/>
                <w:szCs w:val="20"/>
              </w:rPr>
            </w:pPr>
            <w:r w:rsidRPr="00765C97">
              <w:rPr>
                <w:rFonts w:ascii="Arial" w:hAnsi="Arial" w:cs="Arial"/>
                <w:spacing w:val="-1"/>
                <w:sz w:val="20"/>
                <w:szCs w:val="20"/>
              </w:rPr>
              <w:t>3 580</w:t>
            </w:r>
          </w:p>
        </w:tc>
        <w:tc>
          <w:tcPr>
            <w:tcW w:w="2096" w:type="dxa"/>
            <w:vAlign w:val="center"/>
          </w:tcPr>
          <w:p w:rsidR="0049622A" w:rsidRPr="00765C97" w:rsidRDefault="0049622A" w:rsidP="00385F70">
            <w:pPr>
              <w:tabs>
                <w:tab w:val="left" w:pos="1134"/>
                <w:tab w:val="left" w:pos="1188"/>
              </w:tabs>
              <w:jc w:val="right"/>
              <w:rPr>
                <w:rFonts w:ascii="Arial" w:hAnsi="Arial"/>
                <w:spacing w:val="-1"/>
                <w:sz w:val="20"/>
                <w:lang w:val="pl-PL"/>
              </w:rPr>
            </w:pPr>
            <w:r w:rsidRPr="00765C97">
              <w:rPr>
                <w:rFonts w:ascii="Arial" w:hAnsi="Arial"/>
                <w:spacing w:val="-1"/>
                <w:sz w:val="20"/>
                <w:lang w:val="pl-PL"/>
              </w:rPr>
              <w:t>-</w:t>
            </w:r>
          </w:p>
        </w:tc>
      </w:tr>
      <w:tr w:rsidR="0049622A" w:rsidRPr="00765C97" w:rsidTr="0049622A">
        <w:trPr>
          <w:trHeight w:val="255"/>
        </w:trPr>
        <w:tc>
          <w:tcPr>
            <w:tcW w:w="3789" w:type="dxa"/>
            <w:vAlign w:val="center"/>
          </w:tcPr>
          <w:p w:rsidR="0049622A" w:rsidRPr="00765C97" w:rsidRDefault="0049622A" w:rsidP="00385F70">
            <w:pPr>
              <w:tabs>
                <w:tab w:val="left" w:pos="1134"/>
                <w:tab w:val="left" w:pos="1188"/>
              </w:tabs>
              <w:rPr>
                <w:rFonts w:ascii="Arial" w:hAnsi="Arial" w:cs="Arial"/>
                <w:spacing w:val="-1"/>
                <w:sz w:val="20"/>
                <w:szCs w:val="20"/>
                <w:lang w:val="pl-PL"/>
              </w:rPr>
            </w:pPr>
            <w:r w:rsidRPr="00765C97">
              <w:rPr>
                <w:rFonts w:ascii="Arial" w:hAnsi="Arial" w:cs="Arial"/>
                <w:spacing w:val="-1"/>
                <w:sz w:val="20"/>
                <w:szCs w:val="20"/>
                <w:lang w:val="pl-PL"/>
              </w:rPr>
              <w:t>ESAProjekt Sp. z o.o.</w:t>
            </w:r>
          </w:p>
        </w:tc>
        <w:tc>
          <w:tcPr>
            <w:tcW w:w="2096" w:type="dxa"/>
            <w:vAlign w:val="center"/>
          </w:tcPr>
          <w:p w:rsidR="0049622A" w:rsidRPr="00765C97" w:rsidRDefault="0049622A" w:rsidP="00385F70">
            <w:pPr>
              <w:spacing w:line="276" w:lineRule="auto"/>
              <w:jc w:val="right"/>
              <w:rPr>
                <w:rFonts w:ascii="Arial" w:eastAsia="Calibri" w:hAnsi="Arial" w:cs="Arial"/>
                <w:spacing w:val="-1"/>
                <w:sz w:val="20"/>
                <w:szCs w:val="20"/>
              </w:rPr>
            </w:pPr>
            <w:r w:rsidRPr="00765C97">
              <w:rPr>
                <w:rFonts w:ascii="Arial" w:hAnsi="Arial" w:cs="Arial"/>
                <w:spacing w:val="-1"/>
                <w:sz w:val="20"/>
                <w:szCs w:val="20"/>
              </w:rPr>
              <w:t>3 326</w:t>
            </w:r>
          </w:p>
        </w:tc>
        <w:tc>
          <w:tcPr>
            <w:tcW w:w="2096" w:type="dxa"/>
            <w:vAlign w:val="center"/>
          </w:tcPr>
          <w:p w:rsidR="0049622A" w:rsidRPr="00765C97" w:rsidRDefault="0049622A" w:rsidP="00385F70">
            <w:pPr>
              <w:tabs>
                <w:tab w:val="left" w:pos="1134"/>
                <w:tab w:val="left" w:pos="1188"/>
              </w:tabs>
              <w:jc w:val="right"/>
              <w:rPr>
                <w:rFonts w:ascii="Arial" w:hAnsi="Arial"/>
                <w:spacing w:val="-1"/>
                <w:sz w:val="20"/>
                <w:lang w:val="pl-PL"/>
              </w:rPr>
            </w:pPr>
            <w:r w:rsidRPr="00765C97">
              <w:rPr>
                <w:rFonts w:ascii="Arial" w:hAnsi="Arial"/>
                <w:spacing w:val="-1"/>
                <w:sz w:val="20"/>
                <w:lang w:val="pl-PL"/>
              </w:rPr>
              <w:t>-</w:t>
            </w:r>
          </w:p>
        </w:tc>
      </w:tr>
      <w:tr w:rsidR="0049622A" w:rsidRPr="00765C97" w:rsidTr="0049622A">
        <w:trPr>
          <w:trHeight w:val="255"/>
        </w:trPr>
        <w:tc>
          <w:tcPr>
            <w:tcW w:w="3789" w:type="dxa"/>
            <w:vAlign w:val="center"/>
          </w:tcPr>
          <w:p w:rsidR="0049622A" w:rsidRPr="00765C97" w:rsidRDefault="0049622A" w:rsidP="00385F70">
            <w:pPr>
              <w:tabs>
                <w:tab w:val="left" w:pos="1134"/>
                <w:tab w:val="left" w:pos="1188"/>
              </w:tabs>
              <w:rPr>
                <w:rFonts w:ascii="Arial" w:hAnsi="Arial" w:cs="Arial"/>
                <w:spacing w:val="-1"/>
                <w:sz w:val="20"/>
                <w:szCs w:val="20"/>
                <w:lang w:val="pl-PL"/>
              </w:rPr>
            </w:pPr>
            <w:r w:rsidRPr="00765C97">
              <w:rPr>
                <w:rFonts w:ascii="Arial" w:hAnsi="Arial" w:cs="Arial"/>
                <w:b/>
                <w:spacing w:val="-1"/>
                <w:sz w:val="20"/>
                <w:szCs w:val="20"/>
                <w:lang w:val="pl-PL"/>
              </w:rPr>
              <w:t>Razem</w:t>
            </w:r>
          </w:p>
        </w:tc>
        <w:tc>
          <w:tcPr>
            <w:tcW w:w="2096" w:type="dxa"/>
            <w:vAlign w:val="center"/>
          </w:tcPr>
          <w:p w:rsidR="0049622A" w:rsidRPr="00765C97" w:rsidRDefault="0049622A" w:rsidP="00385F70">
            <w:pPr>
              <w:spacing w:line="276" w:lineRule="auto"/>
              <w:jc w:val="right"/>
              <w:rPr>
                <w:rFonts w:ascii="Arial" w:eastAsia="Calibri" w:hAnsi="Arial" w:cs="Arial"/>
                <w:b/>
                <w:bCs/>
                <w:spacing w:val="-1"/>
                <w:sz w:val="20"/>
                <w:szCs w:val="20"/>
              </w:rPr>
            </w:pPr>
            <w:r w:rsidRPr="00765C97">
              <w:rPr>
                <w:rFonts w:ascii="Arial" w:hAnsi="Arial" w:cs="Arial"/>
                <w:b/>
                <w:bCs/>
                <w:spacing w:val="-1"/>
                <w:sz w:val="20"/>
                <w:szCs w:val="20"/>
              </w:rPr>
              <w:t>44 061</w:t>
            </w:r>
          </w:p>
        </w:tc>
        <w:tc>
          <w:tcPr>
            <w:tcW w:w="2096" w:type="dxa"/>
            <w:vAlign w:val="center"/>
          </w:tcPr>
          <w:p w:rsidR="0049622A" w:rsidRPr="00765C97" w:rsidRDefault="0049622A" w:rsidP="00385F70">
            <w:pPr>
              <w:tabs>
                <w:tab w:val="left" w:pos="1134"/>
                <w:tab w:val="left" w:pos="1188"/>
              </w:tabs>
              <w:jc w:val="right"/>
              <w:rPr>
                <w:rFonts w:ascii="Arial" w:hAnsi="Arial"/>
                <w:spacing w:val="-1"/>
                <w:sz w:val="20"/>
                <w:lang w:val="pl-PL"/>
              </w:rPr>
            </w:pPr>
            <w:r w:rsidRPr="00765C97">
              <w:rPr>
                <w:rFonts w:ascii="Arial" w:hAnsi="Arial"/>
                <w:b/>
                <w:spacing w:val="-1"/>
                <w:sz w:val="20"/>
                <w:lang w:val="pl-PL"/>
              </w:rPr>
              <w:t>37 155</w:t>
            </w:r>
          </w:p>
        </w:tc>
      </w:tr>
    </w:tbl>
    <w:p w:rsidR="00825066" w:rsidRPr="00765C97" w:rsidRDefault="00825066" w:rsidP="00135A9A">
      <w:pPr>
        <w:numPr>
          <w:ilvl w:val="2"/>
          <w:numId w:val="22"/>
        </w:numPr>
        <w:spacing w:before="240" w:after="60"/>
        <w:ind w:left="1276" w:hanging="851"/>
        <w:jc w:val="both"/>
        <w:rPr>
          <w:rFonts w:ascii="Arial" w:hAnsi="Arial" w:cs="Arial"/>
          <w:b/>
          <w:sz w:val="20"/>
          <w:szCs w:val="20"/>
          <w:lang w:val="pl-PL"/>
        </w:rPr>
      </w:pPr>
      <w:r w:rsidRPr="00765C97">
        <w:rPr>
          <w:rFonts w:ascii="Arial" w:hAnsi="Arial" w:cs="Arial"/>
          <w:b/>
          <w:sz w:val="20"/>
          <w:szCs w:val="20"/>
          <w:lang w:val="pl-PL"/>
        </w:rPr>
        <w:t>Przejęte jednostki zależne</w:t>
      </w:r>
    </w:p>
    <w:tbl>
      <w:tblPr>
        <w:tblW w:w="8222" w:type="dxa"/>
        <w:tblInd w:w="200" w:type="dxa"/>
        <w:tblLayout w:type="fixed"/>
        <w:tblCellMar>
          <w:left w:w="58" w:type="dxa"/>
          <w:right w:w="58" w:type="dxa"/>
        </w:tblCellMar>
        <w:tblLook w:val="0000"/>
      </w:tblPr>
      <w:tblGrid>
        <w:gridCol w:w="2126"/>
        <w:gridCol w:w="1559"/>
        <w:gridCol w:w="1418"/>
        <w:gridCol w:w="1559"/>
        <w:gridCol w:w="1560"/>
      </w:tblGrid>
      <w:tr w:rsidR="00825066" w:rsidRPr="00765C97" w:rsidTr="00690CAC">
        <w:trPr>
          <w:cantSplit/>
          <w:trHeight w:val="255"/>
        </w:trPr>
        <w:tc>
          <w:tcPr>
            <w:tcW w:w="2126" w:type="dxa"/>
            <w:tcBorders>
              <w:right w:val="single" w:sz="4" w:space="0" w:color="auto"/>
            </w:tcBorders>
            <w:shd w:val="clear" w:color="000000" w:fill="auto"/>
            <w:vAlign w:val="center"/>
          </w:tcPr>
          <w:p w:rsidR="00825066" w:rsidRPr="00765C97" w:rsidRDefault="00825066" w:rsidP="00825066">
            <w:pPr>
              <w:pStyle w:val="Bodycopyheader1"/>
              <w:spacing w:before="0" w:line="240" w:lineRule="auto"/>
              <w:jc w:val="center"/>
              <w:rPr>
                <w:color w:val="auto"/>
                <w:sz w:val="20"/>
                <w:szCs w:val="20"/>
                <w:lang w:val="pl-PL"/>
              </w:rPr>
            </w:pPr>
          </w:p>
        </w:tc>
        <w:tc>
          <w:tcPr>
            <w:tcW w:w="1559" w:type="dxa"/>
            <w:tcBorders>
              <w:left w:val="single" w:sz="4" w:space="0" w:color="auto"/>
              <w:right w:val="single" w:sz="4" w:space="0" w:color="auto"/>
            </w:tcBorders>
            <w:shd w:val="clear" w:color="000000" w:fill="auto"/>
            <w:vAlign w:val="center"/>
          </w:tcPr>
          <w:p w:rsidR="00825066" w:rsidRPr="00765C97" w:rsidRDefault="00825066" w:rsidP="00825066">
            <w:pPr>
              <w:pStyle w:val="Bodycopyheader1"/>
              <w:spacing w:before="0" w:line="240" w:lineRule="auto"/>
              <w:jc w:val="center"/>
              <w:rPr>
                <w:color w:val="auto"/>
                <w:sz w:val="20"/>
                <w:szCs w:val="20"/>
                <w:lang w:val="pl-PL"/>
              </w:rPr>
            </w:pPr>
            <w:r w:rsidRPr="00765C97">
              <w:rPr>
                <w:color w:val="auto"/>
                <w:sz w:val="20"/>
                <w:szCs w:val="20"/>
                <w:lang w:val="pl-PL"/>
              </w:rPr>
              <w:t>Działalność podstawowa</w:t>
            </w:r>
          </w:p>
        </w:tc>
        <w:tc>
          <w:tcPr>
            <w:tcW w:w="1418" w:type="dxa"/>
            <w:tcBorders>
              <w:left w:val="single" w:sz="4" w:space="0" w:color="auto"/>
              <w:right w:val="single" w:sz="4" w:space="0" w:color="auto"/>
            </w:tcBorders>
            <w:shd w:val="clear" w:color="000000" w:fill="auto"/>
            <w:vAlign w:val="center"/>
          </w:tcPr>
          <w:p w:rsidR="00825066" w:rsidRPr="00765C97" w:rsidRDefault="00825066" w:rsidP="00825066">
            <w:pPr>
              <w:pStyle w:val="Bodycopyheader1"/>
              <w:spacing w:before="0" w:line="240" w:lineRule="auto"/>
              <w:jc w:val="center"/>
              <w:rPr>
                <w:color w:val="auto"/>
                <w:sz w:val="20"/>
                <w:szCs w:val="20"/>
                <w:lang w:val="pl-PL"/>
              </w:rPr>
            </w:pPr>
            <w:r w:rsidRPr="00765C97">
              <w:rPr>
                <w:color w:val="auto"/>
                <w:sz w:val="20"/>
                <w:szCs w:val="20"/>
                <w:lang w:val="pl-PL"/>
              </w:rPr>
              <w:t>Data przejęcia</w:t>
            </w:r>
          </w:p>
        </w:tc>
        <w:tc>
          <w:tcPr>
            <w:tcW w:w="1559" w:type="dxa"/>
            <w:tcBorders>
              <w:left w:val="single" w:sz="4" w:space="0" w:color="auto"/>
              <w:right w:val="single" w:sz="4" w:space="0" w:color="auto"/>
            </w:tcBorders>
            <w:shd w:val="clear" w:color="000000" w:fill="auto"/>
            <w:vAlign w:val="center"/>
          </w:tcPr>
          <w:p w:rsidR="00825066" w:rsidRPr="00765C97" w:rsidRDefault="00825066" w:rsidP="00825066">
            <w:pPr>
              <w:pStyle w:val="Bodycopyheader1"/>
              <w:spacing w:before="0" w:line="240" w:lineRule="auto"/>
              <w:jc w:val="center"/>
              <w:rPr>
                <w:color w:val="auto"/>
                <w:sz w:val="20"/>
                <w:szCs w:val="20"/>
                <w:lang w:val="pl-PL"/>
              </w:rPr>
            </w:pPr>
            <w:r w:rsidRPr="00765C97">
              <w:rPr>
                <w:color w:val="auto"/>
                <w:sz w:val="20"/>
                <w:szCs w:val="20"/>
                <w:lang w:val="pl-PL"/>
              </w:rPr>
              <w:t>Proporcja</w:t>
            </w:r>
          </w:p>
          <w:p w:rsidR="00825066" w:rsidRPr="00765C97" w:rsidRDefault="00825066" w:rsidP="00825066">
            <w:pPr>
              <w:pStyle w:val="Bodycopyheader1"/>
              <w:spacing w:before="0" w:line="240" w:lineRule="auto"/>
              <w:jc w:val="center"/>
              <w:rPr>
                <w:color w:val="auto"/>
                <w:sz w:val="20"/>
                <w:szCs w:val="20"/>
                <w:lang w:val="pl-PL"/>
              </w:rPr>
            </w:pPr>
            <w:r w:rsidRPr="00765C97">
              <w:rPr>
                <w:color w:val="auto"/>
                <w:sz w:val="20"/>
                <w:szCs w:val="20"/>
                <w:lang w:val="pl-PL"/>
              </w:rPr>
              <w:t>przejętych udziałów</w:t>
            </w:r>
          </w:p>
        </w:tc>
        <w:tc>
          <w:tcPr>
            <w:tcW w:w="1560" w:type="dxa"/>
            <w:tcBorders>
              <w:left w:val="single" w:sz="4" w:space="0" w:color="auto"/>
            </w:tcBorders>
            <w:shd w:val="clear" w:color="000000" w:fill="auto"/>
            <w:vAlign w:val="center"/>
          </w:tcPr>
          <w:p w:rsidR="00825066" w:rsidRPr="00765C97" w:rsidRDefault="00825066" w:rsidP="00825066">
            <w:pPr>
              <w:pStyle w:val="Bodycopyheader1"/>
              <w:spacing w:before="0" w:line="240" w:lineRule="auto"/>
              <w:jc w:val="center"/>
              <w:rPr>
                <w:color w:val="auto"/>
                <w:sz w:val="20"/>
                <w:szCs w:val="20"/>
                <w:lang w:val="pl-PL"/>
              </w:rPr>
            </w:pPr>
            <w:r w:rsidRPr="00765C97">
              <w:rPr>
                <w:color w:val="auto"/>
                <w:sz w:val="20"/>
                <w:szCs w:val="20"/>
                <w:lang w:val="pl-PL"/>
              </w:rPr>
              <w:t>Koszt przejęcia</w:t>
            </w:r>
          </w:p>
        </w:tc>
      </w:tr>
      <w:tr w:rsidR="00825066" w:rsidRPr="00765C97" w:rsidTr="00690CAC">
        <w:trPr>
          <w:cantSplit/>
          <w:trHeight w:val="255"/>
        </w:trPr>
        <w:tc>
          <w:tcPr>
            <w:tcW w:w="2126" w:type="dxa"/>
            <w:tcBorders>
              <w:bottom w:val="single" w:sz="4" w:space="0" w:color="auto"/>
              <w:right w:val="single" w:sz="4" w:space="0" w:color="auto"/>
            </w:tcBorders>
            <w:vAlign w:val="center"/>
          </w:tcPr>
          <w:p w:rsidR="00825066" w:rsidRPr="00765C97" w:rsidRDefault="00825066" w:rsidP="00825066">
            <w:pPr>
              <w:pStyle w:val="Bodycopyheader1"/>
              <w:spacing w:before="0" w:line="240" w:lineRule="auto"/>
              <w:jc w:val="center"/>
              <w:rPr>
                <w:color w:val="auto"/>
                <w:sz w:val="20"/>
                <w:szCs w:val="20"/>
                <w:lang w:val="pl-PL"/>
              </w:rPr>
            </w:pPr>
          </w:p>
        </w:tc>
        <w:tc>
          <w:tcPr>
            <w:tcW w:w="1559" w:type="dxa"/>
            <w:tcBorders>
              <w:left w:val="single" w:sz="4" w:space="0" w:color="auto"/>
              <w:bottom w:val="single" w:sz="4" w:space="0" w:color="auto"/>
              <w:right w:val="single" w:sz="4" w:space="0" w:color="auto"/>
            </w:tcBorders>
            <w:vAlign w:val="center"/>
          </w:tcPr>
          <w:p w:rsidR="00825066" w:rsidRPr="00765C97" w:rsidRDefault="00825066" w:rsidP="00825066">
            <w:pPr>
              <w:pStyle w:val="Bodycopy"/>
              <w:spacing w:before="0" w:line="240" w:lineRule="auto"/>
              <w:jc w:val="center"/>
              <w:rPr>
                <w:color w:val="auto"/>
                <w:sz w:val="20"/>
                <w:szCs w:val="20"/>
                <w:lang w:val="pl-PL"/>
              </w:rPr>
            </w:pPr>
          </w:p>
        </w:tc>
        <w:tc>
          <w:tcPr>
            <w:tcW w:w="1418" w:type="dxa"/>
            <w:tcBorders>
              <w:left w:val="single" w:sz="4" w:space="0" w:color="auto"/>
              <w:bottom w:val="single" w:sz="4" w:space="0" w:color="auto"/>
              <w:right w:val="single" w:sz="4" w:space="0" w:color="auto"/>
            </w:tcBorders>
            <w:vAlign w:val="center"/>
          </w:tcPr>
          <w:p w:rsidR="00825066" w:rsidRPr="00765C97" w:rsidRDefault="00825066" w:rsidP="00825066">
            <w:pPr>
              <w:pStyle w:val="Bodycopy"/>
              <w:spacing w:before="0" w:line="240" w:lineRule="auto"/>
              <w:jc w:val="center"/>
              <w:rPr>
                <w:color w:val="auto"/>
                <w:sz w:val="20"/>
                <w:szCs w:val="20"/>
                <w:lang w:val="pl-PL"/>
              </w:rPr>
            </w:pPr>
          </w:p>
        </w:tc>
        <w:tc>
          <w:tcPr>
            <w:tcW w:w="1559" w:type="dxa"/>
            <w:tcBorders>
              <w:left w:val="single" w:sz="4" w:space="0" w:color="auto"/>
              <w:bottom w:val="single" w:sz="4" w:space="0" w:color="auto"/>
              <w:right w:val="single" w:sz="4" w:space="0" w:color="auto"/>
            </w:tcBorders>
            <w:vAlign w:val="center"/>
          </w:tcPr>
          <w:p w:rsidR="00825066" w:rsidRPr="00765C97" w:rsidRDefault="00825066" w:rsidP="00825066">
            <w:pPr>
              <w:pStyle w:val="Bodycopy"/>
              <w:spacing w:before="0" w:line="240" w:lineRule="auto"/>
              <w:jc w:val="center"/>
              <w:rPr>
                <w:b/>
                <w:bCs/>
                <w:color w:val="auto"/>
                <w:sz w:val="20"/>
                <w:szCs w:val="20"/>
                <w:lang w:val="pl-PL"/>
              </w:rPr>
            </w:pPr>
            <w:r w:rsidRPr="00765C97">
              <w:rPr>
                <w:b/>
                <w:bCs/>
                <w:color w:val="auto"/>
                <w:sz w:val="20"/>
                <w:szCs w:val="20"/>
                <w:lang w:val="pl-PL"/>
              </w:rPr>
              <w:t>(%)</w:t>
            </w:r>
          </w:p>
        </w:tc>
        <w:tc>
          <w:tcPr>
            <w:tcW w:w="1560" w:type="dxa"/>
            <w:tcBorders>
              <w:left w:val="single" w:sz="4" w:space="0" w:color="auto"/>
              <w:bottom w:val="single" w:sz="4" w:space="0" w:color="auto"/>
            </w:tcBorders>
            <w:vAlign w:val="center"/>
          </w:tcPr>
          <w:p w:rsidR="00825066" w:rsidRPr="00765C97" w:rsidRDefault="00825066" w:rsidP="00825066">
            <w:pPr>
              <w:pStyle w:val="Bodycopy"/>
              <w:tabs>
                <w:tab w:val="decimal" w:pos="792"/>
              </w:tabs>
              <w:spacing w:before="0" w:line="240" w:lineRule="auto"/>
              <w:jc w:val="center"/>
              <w:rPr>
                <w:b/>
                <w:bCs/>
                <w:color w:val="auto"/>
                <w:sz w:val="20"/>
                <w:szCs w:val="20"/>
                <w:lang w:val="pl-PL"/>
              </w:rPr>
            </w:pPr>
            <w:r w:rsidRPr="00765C97">
              <w:rPr>
                <w:b/>
                <w:bCs/>
                <w:color w:val="auto"/>
                <w:sz w:val="20"/>
                <w:szCs w:val="20"/>
                <w:lang w:val="pl-PL"/>
              </w:rPr>
              <w:t>PLN’000</w:t>
            </w:r>
          </w:p>
        </w:tc>
      </w:tr>
      <w:tr w:rsidR="00825066" w:rsidRPr="00765C97" w:rsidTr="00690CAC">
        <w:trPr>
          <w:cantSplit/>
          <w:trHeight w:val="255"/>
        </w:trPr>
        <w:tc>
          <w:tcPr>
            <w:tcW w:w="2126" w:type="dxa"/>
            <w:tcBorders>
              <w:top w:val="single" w:sz="4" w:space="0" w:color="auto"/>
              <w:right w:val="single" w:sz="4" w:space="0" w:color="auto"/>
            </w:tcBorders>
            <w:vAlign w:val="center"/>
          </w:tcPr>
          <w:p w:rsidR="00825066" w:rsidRPr="00765C97" w:rsidRDefault="00825066" w:rsidP="00372102">
            <w:pPr>
              <w:pStyle w:val="Bodycopyheader1"/>
              <w:spacing w:before="0" w:line="240" w:lineRule="auto"/>
              <w:rPr>
                <w:color w:val="auto"/>
                <w:sz w:val="20"/>
                <w:szCs w:val="20"/>
                <w:lang w:val="pl-PL"/>
              </w:rPr>
            </w:pPr>
            <w:r w:rsidRPr="00765C97">
              <w:rPr>
                <w:color w:val="auto"/>
                <w:sz w:val="20"/>
                <w:szCs w:val="20"/>
                <w:lang w:val="pl-PL"/>
              </w:rPr>
              <w:t>2008</w:t>
            </w:r>
          </w:p>
        </w:tc>
        <w:tc>
          <w:tcPr>
            <w:tcW w:w="1559" w:type="dxa"/>
            <w:tcBorders>
              <w:top w:val="single" w:sz="4" w:space="0" w:color="auto"/>
              <w:left w:val="single" w:sz="4" w:space="0" w:color="auto"/>
              <w:right w:val="single" w:sz="4" w:space="0" w:color="auto"/>
            </w:tcBorders>
            <w:vAlign w:val="center"/>
          </w:tcPr>
          <w:p w:rsidR="00825066" w:rsidRPr="00765C97" w:rsidRDefault="00825066" w:rsidP="00825066">
            <w:pPr>
              <w:pStyle w:val="Bodycopy"/>
              <w:spacing w:before="0" w:line="240" w:lineRule="auto"/>
              <w:jc w:val="center"/>
              <w:rPr>
                <w:color w:val="auto"/>
                <w:sz w:val="20"/>
                <w:szCs w:val="20"/>
                <w:lang w:val="pl-PL"/>
              </w:rPr>
            </w:pPr>
          </w:p>
        </w:tc>
        <w:tc>
          <w:tcPr>
            <w:tcW w:w="1418" w:type="dxa"/>
            <w:tcBorders>
              <w:top w:val="single" w:sz="4" w:space="0" w:color="auto"/>
              <w:left w:val="single" w:sz="4" w:space="0" w:color="auto"/>
              <w:right w:val="single" w:sz="4" w:space="0" w:color="auto"/>
            </w:tcBorders>
            <w:vAlign w:val="center"/>
          </w:tcPr>
          <w:p w:rsidR="00825066" w:rsidRPr="00765C97" w:rsidRDefault="00825066" w:rsidP="00825066">
            <w:pPr>
              <w:pStyle w:val="Bodycopy"/>
              <w:spacing w:before="0" w:line="240" w:lineRule="auto"/>
              <w:jc w:val="center"/>
              <w:rPr>
                <w:color w:val="auto"/>
                <w:sz w:val="20"/>
                <w:szCs w:val="20"/>
                <w:lang w:val="pl-PL"/>
              </w:rPr>
            </w:pPr>
          </w:p>
        </w:tc>
        <w:tc>
          <w:tcPr>
            <w:tcW w:w="1559" w:type="dxa"/>
            <w:tcBorders>
              <w:top w:val="single" w:sz="4" w:space="0" w:color="auto"/>
              <w:left w:val="single" w:sz="4" w:space="0" w:color="auto"/>
              <w:right w:val="single" w:sz="4" w:space="0" w:color="auto"/>
            </w:tcBorders>
            <w:vAlign w:val="center"/>
          </w:tcPr>
          <w:p w:rsidR="00825066" w:rsidRPr="00765C97" w:rsidRDefault="00825066" w:rsidP="00825066">
            <w:pPr>
              <w:pStyle w:val="Bodycopy"/>
              <w:spacing w:before="0" w:line="240" w:lineRule="auto"/>
              <w:jc w:val="center"/>
              <w:rPr>
                <w:color w:val="auto"/>
                <w:sz w:val="20"/>
                <w:szCs w:val="20"/>
                <w:lang w:val="pl-PL"/>
              </w:rPr>
            </w:pPr>
          </w:p>
        </w:tc>
        <w:tc>
          <w:tcPr>
            <w:tcW w:w="1560" w:type="dxa"/>
            <w:tcBorders>
              <w:top w:val="single" w:sz="4" w:space="0" w:color="auto"/>
              <w:left w:val="single" w:sz="4" w:space="0" w:color="auto"/>
            </w:tcBorders>
            <w:vAlign w:val="center"/>
          </w:tcPr>
          <w:p w:rsidR="00825066" w:rsidRPr="00765C97" w:rsidRDefault="00825066" w:rsidP="00825066">
            <w:pPr>
              <w:pStyle w:val="Bodycopy"/>
              <w:tabs>
                <w:tab w:val="decimal" w:pos="792"/>
              </w:tabs>
              <w:spacing w:before="0" w:line="240" w:lineRule="auto"/>
              <w:jc w:val="center"/>
              <w:rPr>
                <w:color w:val="auto"/>
                <w:sz w:val="20"/>
                <w:szCs w:val="20"/>
                <w:lang w:val="pl-PL"/>
              </w:rPr>
            </w:pPr>
          </w:p>
        </w:tc>
      </w:tr>
      <w:tr w:rsidR="00825066" w:rsidRPr="00765C97" w:rsidTr="00690CAC">
        <w:trPr>
          <w:cantSplit/>
          <w:trHeight w:val="255"/>
        </w:trPr>
        <w:tc>
          <w:tcPr>
            <w:tcW w:w="2126" w:type="dxa"/>
            <w:tcBorders>
              <w:right w:val="single" w:sz="4" w:space="0" w:color="auto"/>
            </w:tcBorders>
            <w:vAlign w:val="center"/>
          </w:tcPr>
          <w:p w:rsidR="00825066" w:rsidRPr="00765C97" w:rsidRDefault="007171EC" w:rsidP="00372102">
            <w:pPr>
              <w:pStyle w:val="Bodycopy"/>
              <w:spacing w:before="0" w:line="240" w:lineRule="auto"/>
              <w:rPr>
                <w:color w:val="auto"/>
                <w:sz w:val="20"/>
                <w:szCs w:val="20"/>
                <w:lang w:val="de-DE"/>
              </w:rPr>
            </w:pPr>
            <w:r w:rsidRPr="00765C97">
              <w:rPr>
                <w:color w:val="auto"/>
                <w:sz w:val="20"/>
                <w:szCs w:val="20"/>
                <w:lang w:val="de-DE"/>
              </w:rPr>
              <w:t>Comarch</w:t>
            </w:r>
            <w:r w:rsidR="00825066" w:rsidRPr="00765C97">
              <w:rPr>
                <w:color w:val="auto"/>
                <w:sz w:val="20"/>
                <w:szCs w:val="20"/>
                <w:lang w:val="de-DE"/>
              </w:rPr>
              <w:t xml:space="preserve"> Software und Beratung AG</w:t>
            </w:r>
          </w:p>
        </w:tc>
        <w:tc>
          <w:tcPr>
            <w:tcW w:w="1559" w:type="dxa"/>
            <w:tcBorders>
              <w:left w:val="single" w:sz="4" w:space="0" w:color="auto"/>
              <w:right w:val="single" w:sz="4" w:space="0" w:color="auto"/>
            </w:tcBorders>
            <w:vAlign w:val="center"/>
          </w:tcPr>
          <w:p w:rsidR="00825066" w:rsidRPr="00765C97" w:rsidRDefault="00825066" w:rsidP="00825066">
            <w:pPr>
              <w:pStyle w:val="Bodycopy"/>
              <w:spacing w:before="0" w:line="240" w:lineRule="auto"/>
              <w:jc w:val="center"/>
              <w:rPr>
                <w:color w:val="auto"/>
                <w:sz w:val="20"/>
                <w:szCs w:val="20"/>
                <w:lang w:val="pl-PL"/>
              </w:rPr>
            </w:pPr>
            <w:r w:rsidRPr="00765C97">
              <w:rPr>
                <w:color w:val="auto"/>
                <w:sz w:val="20"/>
                <w:szCs w:val="20"/>
                <w:lang w:val="pl-PL"/>
              </w:rPr>
              <w:t>informatyka</w:t>
            </w:r>
          </w:p>
        </w:tc>
        <w:tc>
          <w:tcPr>
            <w:tcW w:w="1418" w:type="dxa"/>
            <w:tcBorders>
              <w:left w:val="single" w:sz="4" w:space="0" w:color="auto"/>
              <w:right w:val="single" w:sz="4" w:space="0" w:color="auto"/>
            </w:tcBorders>
            <w:vAlign w:val="center"/>
          </w:tcPr>
          <w:p w:rsidR="00825066" w:rsidRPr="00765C97" w:rsidRDefault="00825066" w:rsidP="00825066">
            <w:pPr>
              <w:pStyle w:val="Bodycopy"/>
              <w:spacing w:before="0" w:line="240" w:lineRule="auto"/>
              <w:jc w:val="center"/>
              <w:rPr>
                <w:color w:val="auto"/>
                <w:sz w:val="20"/>
                <w:szCs w:val="20"/>
                <w:lang w:val="pl-PL"/>
              </w:rPr>
            </w:pPr>
            <w:r w:rsidRPr="00765C97">
              <w:rPr>
                <w:color w:val="auto"/>
                <w:sz w:val="20"/>
                <w:szCs w:val="20"/>
                <w:lang w:val="pl-PL"/>
              </w:rPr>
              <w:t>2008-11-18</w:t>
            </w:r>
          </w:p>
        </w:tc>
        <w:tc>
          <w:tcPr>
            <w:tcW w:w="1559" w:type="dxa"/>
            <w:tcBorders>
              <w:left w:val="single" w:sz="4" w:space="0" w:color="auto"/>
              <w:right w:val="single" w:sz="4" w:space="0" w:color="auto"/>
            </w:tcBorders>
            <w:vAlign w:val="center"/>
          </w:tcPr>
          <w:p w:rsidR="00825066" w:rsidRPr="00765C97" w:rsidRDefault="00825066" w:rsidP="00825066">
            <w:pPr>
              <w:pStyle w:val="Bodycopy"/>
              <w:spacing w:before="0" w:line="240" w:lineRule="auto"/>
              <w:jc w:val="center"/>
              <w:rPr>
                <w:color w:val="auto"/>
                <w:sz w:val="20"/>
                <w:szCs w:val="20"/>
                <w:lang w:val="pl-PL"/>
              </w:rPr>
            </w:pPr>
            <w:r w:rsidRPr="00765C97">
              <w:rPr>
                <w:color w:val="auto"/>
                <w:sz w:val="20"/>
                <w:szCs w:val="20"/>
                <w:lang w:val="pl-PL"/>
              </w:rPr>
              <w:t>50,15%</w:t>
            </w:r>
          </w:p>
        </w:tc>
        <w:tc>
          <w:tcPr>
            <w:tcW w:w="1560" w:type="dxa"/>
            <w:tcBorders>
              <w:left w:val="single" w:sz="4" w:space="0" w:color="auto"/>
            </w:tcBorders>
            <w:vAlign w:val="center"/>
          </w:tcPr>
          <w:p w:rsidR="00825066" w:rsidRPr="00765C97" w:rsidRDefault="00825066" w:rsidP="00825066">
            <w:pPr>
              <w:pStyle w:val="Bodycopyrightindent"/>
              <w:tabs>
                <w:tab w:val="decimal" w:pos="792"/>
              </w:tabs>
              <w:spacing w:before="0" w:line="240" w:lineRule="auto"/>
              <w:jc w:val="center"/>
              <w:rPr>
                <w:color w:val="auto"/>
                <w:sz w:val="20"/>
                <w:szCs w:val="20"/>
                <w:lang w:val="pl-PL"/>
              </w:rPr>
            </w:pPr>
            <w:r w:rsidRPr="00765C97">
              <w:rPr>
                <w:color w:val="auto"/>
                <w:sz w:val="20"/>
                <w:szCs w:val="20"/>
                <w:lang w:val="pl-PL"/>
              </w:rPr>
              <w:t>44 685</w:t>
            </w:r>
          </w:p>
        </w:tc>
      </w:tr>
      <w:tr w:rsidR="0001201A" w:rsidRPr="00765C97" w:rsidTr="00690CAC">
        <w:trPr>
          <w:cantSplit/>
          <w:trHeight w:val="255"/>
        </w:trPr>
        <w:tc>
          <w:tcPr>
            <w:tcW w:w="2126" w:type="dxa"/>
            <w:tcBorders>
              <w:right w:val="single" w:sz="4" w:space="0" w:color="auto"/>
            </w:tcBorders>
            <w:vAlign w:val="center"/>
          </w:tcPr>
          <w:p w:rsidR="0001201A" w:rsidRPr="00765C97" w:rsidRDefault="0001201A" w:rsidP="00372102">
            <w:pPr>
              <w:pStyle w:val="Bodycopy"/>
              <w:spacing w:before="0" w:line="240" w:lineRule="auto"/>
              <w:rPr>
                <w:b/>
                <w:color w:val="auto"/>
                <w:sz w:val="20"/>
                <w:szCs w:val="20"/>
                <w:lang w:val="pl-PL"/>
              </w:rPr>
            </w:pPr>
          </w:p>
        </w:tc>
        <w:tc>
          <w:tcPr>
            <w:tcW w:w="1559" w:type="dxa"/>
            <w:tcBorders>
              <w:left w:val="single" w:sz="4" w:space="0" w:color="auto"/>
              <w:right w:val="single" w:sz="4" w:space="0" w:color="auto"/>
            </w:tcBorders>
            <w:vAlign w:val="center"/>
          </w:tcPr>
          <w:p w:rsidR="0001201A" w:rsidRPr="00765C97" w:rsidRDefault="0001201A" w:rsidP="00825066">
            <w:pPr>
              <w:pStyle w:val="Bodycopy"/>
              <w:spacing w:before="0" w:line="240" w:lineRule="auto"/>
              <w:jc w:val="center"/>
              <w:rPr>
                <w:color w:val="auto"/>
                <w:sz w:val="20"/>
                <w:szCs w:val="20"/>
                <w:lang w:val="pl-PL"/>
              </w:rPr>
            </w:pPr>
          </w:p>
        </w:tc>
        <w:tc>
          <w:tcPr>
            <w:tcW w:w="1418" w:type="dxa"/>
            <w:tcBorders>
              <w:left w:val="single" w:sz="4" w:space="0" w:color="auto"/>
              <w:right w:val="single" w:sz="4" w:space="0" w:color="auto"/>
            </w:tcBorders>
            <w:vAlign w:val="center"/>
          </w:tcPr>
          <w:p w:rsidR="0001201A" w:rsidRPr="00765C97" w:rsidRDefault="0001201A" w:rsidP="00825066">
            <w:pPr>
              <w:pStyle w:val="Bodycopy"/>
              <w:spacing w:before="0" w:line="240" w:lineRule="auto"/>
              <w:jc w:val="center"/>
              <w:rPr>
                <w:color w:val="auto"/>
                <w:sz w:val="20"/>
                <w:szCs w:val="20"/>
                <w:lang w:val="pl-PL"/>
              </w:rPr>
            </w:pPr>
          </w:p>
        </w:tc>
        <w:tc>
          <w:tcPr>
            <w:tcW w:w="1559" w:type="dxa"/>
            <w:tcBorders>
              <w:left w:val="single" w:sz="4" w:space="0" w:color="auto"/>
              <w:right w:val="single" w:sz="4" w:space="0" w:color="auto"/>
            </w:tcBorders>
            <w:vAlign w:val="center"/>
          </w:tcPr>
          <w:p w:rsidR="0001201A" w:rsidRPr="00765C97" w:rsidRDefault="0001201A" w:rsidP="00825066">
            <w:pPr>
              <w:pStyle w:val="Bodycopy"/>
              <w:spacing w:before="0" w:line="240" w:lineRule="auto"/>
              <w:jc w:val="center"/>
              <w:rPr>
                <w:color w:val="auto"/>
                <w:sz w:val="20"/>
                <w:szCs w:val="20"/>
                <w:lang w:val="pl-PL"/>
              </w:rPr>
            </w:pPr>
          </w:p>
        </w:tc>
        <w:tc>
          <w:tcPr>
            <w:tcW w:w="1560" w:type="dxa"/>
            <w:tcBorders>
              <w:left w:val="single" w:sz="4" w:space="0" w:color="auto"/>
            </w:tcBorders>
            <w:vAlign w:val="center"/>
          </w:tcPr>
          <w:p w:rsidR="0001201A" w:rsidRPr="00765C97" w:rsidRDefault="0001201A" w:rsidP="00825066">
            <w:pPr>
              <w:pStyle w:val="Bodycopyrightindent"/>
              <w:tabs>
                <w:tab w:val="decimal" w:pos="792"/>
              </w:tabs>
              <w:spacing w:before="0" w:line="240" w:lineRule="auto"/>
              <w:jc w:val="center"/>
              <w:rPr>
                <w:color w:val="auto"/>
                <w:sz w:val="20"/>
                <w:szCs w:val="20"/>
                <w:lang w:val="pl-PL"/>
              </w:rPr>
            </w:pPr>
          </w:p>
        </w:tc>
      </w:tr>
      <w:tr w:rsidR="00825066" w:rsidRPr="00765C97" w:rsidTr="00690CAC">
        <w:trPr>
          <w:cantSplit/>
          <w:trHeight w:val="255"/>
        </w:trPr>
        <w:tc>
          <w:tcPr>
            <w:tcW w:w="2126" w:type="dxa"/>
            <w:tcBorders>
              <w:right w:val="single" w:sz="4" w:space="0" w:color="auto"/>
            </w:tcBorders>
            <w:vAlign w:val="center"/>
          </w:tcPr>
          <w:p w:rsidR="00825066" w:rsidRPr="00765C97" w:rsidRDefault="00825066" w:rsidP="00372102">
            <w:pPr>
              <w:pStyle w:val="Bodycopy"/>
              <w:spacing w:before="0" w:line="240" w:lineRule="auto"/>
              <w:rPr>
                <w:b/>
                <w:color w:val="auto"/>
                <w:sz w:val="20"/>
                <w:szCs w:val="20"/>
                <w:lang w:val="pl-PL"/>
              </w:rPr>
            </w:pPr>
            <w:r w:rsidRPr="00765C97">
              <w:rPr>
                <w:b/>
                <w:color w:val="auto"/>
                <w:sz w:val="20"/>
                <w:szCs w:val="20"/>
                <w:lang w:val="pl-PL"/>
              </w:rPr>
              <w:t>2009</w:t>
            </w:r>
          </w:p>
        </w:tc>
        <w:tc>
          <w:tcPr>
            <w:tcW w:w="1559" w:type="dxa"/>
            <w:tcBorders>
              <w:left w:val="single" w:sz="4" w:space="0" w:color="auto"/>
              <w:right w:val="single" w:sz="4" w:space="0" w:color="auto"/>
            </w:tcBorders>
            <w:vAlign w:val="center"/>
          </w:tcPr>
          <w:p w:rsidR="00825066" w:rsidRPr="00765C97" w:rsidRDefault="00825066" w:rsidP="00825066">
            <w:pPr>
              <w:pStyle w:val="Bodycopy"/>
              <w:spacing w:before="0" w:line="240" w:lineRule="auto"/>
              <w:jc w:val="center"/>
              <w:rPr>
                <w:color w:val="auto"/>
                <w:sz w:val="20"/>
                <w:szCs w:val="20"/>
                <w:lang w:val="pl-PL"/>
              </w:rPr>
            </w:pPr>
          </w:p>
        </w:tc>
        <w:tc>
          <w:tcPr>
            <w:tcW w:w="1418" w:type="dxa"/>
            <w:tcBorders>
              <w:left w:val="single" w:sz="4" w:space="0" w:color="auto"/>
              <w:right w:val="single" w:sz="4" w:space="0" w:color="auto"/>
            </w:tcBorders>
            <w:vAlign w:val="center"/>
          </w:tcPr>
          <w:p w:rsidR="00825066" w:rsidRPr="00765C97" w:rsidRDefault="00825066" w:rsidP="00825066">
            <w:pPr>
              <w:pStyle w:val="Bodycopy"/>
              <w:spacing w:before="0" w:line="240" w:lineRule="auto"/>
              <w:jc w:val="center"/>
              <w:rPr>
                <w:color w:val="auto"/>
                <w:sz w:val="20"/>
                <w:szCs w:val="20"/>
                <w:lang w:val="pl-PL"/>
              </w:rPr>
            </w:pPr>
          </w:p>
        </w:tc>
        <w:tc>
          <w:tcPr>
            <w:tcW w:w="1559" w:type="dxa"/>
            <w:tcBorders>
              <w:left w:val="single" w:sz="4" w:space="0" w:color="auto"/>
              <w:right w:val="single" w:sz="4" w:space="0" w:color="auto"/>
            </w:tcBorders>
            <w:vAlign w:val="center"/>
          </w:tcPr>
          <w:p w:rsidR="00825066" w:rsidRPr="00765C97" w:rsidRDefault="00825066" w:rsidP="00825066">
            <w:pPr>
              <w:pStyle w:val="Bodycopy"/>
              <w:spacing w:before="0" w:line="240" w:lineRule="auto"/>
              <w:jc w:val="center"/>
              <w:rPr>
                <w:color w:val="auto"/>
                <w:sz w:val="20"/>
                <w:szCs w:val="20"/>
                <w:lang w:val="pl-PL"/>
              </w:rPr>
            </w:pPr>
          </w:p>
        </w:tc>
        <w:tc>
          <w:tcPr>
            <w:tcW w:w="1560" w:type="dxa"/>
            <w:tcBorders>
              <w:left w:val="single" w:sz="4" w:space="0" w:color="auto"/>
            </w:tcBorders>
            <w:vAlign w:val="center"/>
          </w:tcPr>
          <w:p w:rsidR="00825066" w:rsidRPr="00765C97" w:rsidRDefault="00825066" w:rsidP="00825066">
            <w:pPr>
              <w:pStyle w:val="Bodycopyrightindent"/>
              <w:tabs>
                <w:tab w:val="decimal" w:pos="792"/>
              </w:tabs>
              <w:spacing w:before="0" w:line="240" w:lineRule="auto"/>
              <w:jc w:val="center"/>
              <w:rPr>
                <w:color w:val="auto"/>
                <w:sz w:val="20"/>
                <w:szCs w:val="20"/>
                <w:lang w:val="pl-PL"/>
              </w:rPr>
            </w:pPr>
          </w:p>
        </w:tc>
      </w:tr>
      <w:tr w:rsidR="00825066" w:rsidRPr="00765C97" w:rsidTr="00690CAC">
        <w:trPr>
          <w:cantSplit/>
          <w:trHeight w:val="255"/>
        </w:trPr>
        <w:tc>
          <w:tcPr>
            <w:tcW w:w="2126" w:type="dxa"/>
            <w:tcBorders>
              <w:right w:val="single" w:sz="4" w:space="0" w:color="auto"/>
            </w:tcBorders>
            <w:vAlign w:val="center"/>
          </w:tcPr>
          <w:p w:rsidR="00825066" w:rsidRPr="00765C97" w:rsidRDefault="007171EC" w:rsidP="00372102">
            <w:pPr>
              <w:pStyle w:val="Bodycopy"/>
              <w:spacing w:before="0" w:line="240" w:lineRule="auto"/>
              <w:rPr>
                <w:color w:val="auto"/>
                <w:sz w:val="20"/>
                <w:szCs w:val="20"/>
                <w:lang w:val="de-DE"/>
              </w:rPr>
            </w:pPr>
            <w:r w:rsidRPr="00765C97">
              <w:rPr>
                <w:color w:val="auto"/>
                <w:sz w:val="20"/>
                <w:szCs w:val="20"/>
                <w:lang w:val="de-DE"/>
              </w:rPr>
              <w:t>Comarch</w:t>
            </w:r>
            <w:r w:rsidR="00825066" w:rsidRPr="00765C97">
              <w:rPr>
                <w:color w:val="auto"/>
                <w:sz w:val="20"/>
                <w:szCs w:val="20"/>
                <w:lang w:val="de-DE"/>
              </w:rPr>
              <w:t xml:space="preserve"> Software und Beratung AG</w:t>
            </w:r>
          </w:p>
        </w:tc>
        <w:tc>
          <w:tcPr>
            <w:tcW w:w="1559" w:type="dxa"/>
            <w:tcBorders>
              <w:left w:val="single" w:sz="4" w:space="0" w:color="auto"/>
              <w:right w:val="single" w:sz="4" w:space="0" w:color="auto"/>
            </w:tcBorders>
            <w:vAlign w:val="center"/>
          </w:tcPr>
          <w:p w:rsidR="00825066" w:rsidRPr="00765C97" w:rsidRDefault="00825066" w:rsidP="00825066">
            <w:pPr>
              <w:pStyle w:val="Bodycopy"/>
              <w:spacing w:before="0" w:line="240" w:lineRule="auto"/>
              <w:jc w:val="center"/>
              <w:rPr>
                <w:color w:val="auto"/>
                <w:sz w:val="20"/>
                <w:szCs w:val="20"/>
                <w:lang w:val="pl-PL"/>
              </w:rPr>
            </w:pPr>
            <w:r w:rsidRPr="00765C97">
              <w:rPr>
                <w:color w:val="auto"/>
                <w:sz w:val="20"/>
                <w:szCs w:val="20"/>
                <w:lang w:val="pl-PL"/>
              </w:rPr>
              <w:t>informatyka</w:t>
            </w:r>
          </w:p>
        </w:tc>
        <w:tc>
          <w:tcPr>
            <w:tcW w:w="1418" w:type="dxa"/>
            <w:tcBorders>
              <w:left w:val="single" w:sz="4" w:space="0" w:color="auto"/>
              <w:right w:val="single" w:sz="4" w:space="0" w:color="auto"/>
            </w:tcBorders>
            <w:vAlign w:val="center"/>
          </w:tcPr>
          <w:p w:rsidR="00825066" w:rsidRPr="00765C97" w:rsidRDefault="00825066" w:rsidP="00825066">
            <w:pPr>
              <w:pStyle w:val="Bodycopy"/>
              <w:spacing w:before="0" w:line="240" w:lineRule="auto"/>
              <w:jc w:val="center"/>
              <w:rPr>
                <w:color w:val="auto"/>
                <w:sz w:val="20"/>
                <w:szCs w:val="20"/>
                <w:lang w:val="pl-PL"/>
              </w:rPr>
            </w:pPr>
            <w:r w:rsidRPr="00765C97">
              <w:rPr>
                <w:color w:val="auto"/>
                <w:sz w:val="20"/>
                <w:szCs w:val="20"/>
                <w:lang w:val="pl-PL"/>
              </w:rPr>
              <w:t>2009-02-09</w:t>
            </w:r>
          </w:p>
        </w:tc>
        <w:tc>
          <w:tcPr>
            <w:tcW w:w="1559" w:type="dxa"/>
            <w:tcBorders>
              <w:left w:val="single" w:sz="4" w:space="0" w:color="auto"/>
              <w:right w:val="single" w:sz="4" w:space="0" w:color="auto"/>
            </w:tcBorders>
            <w:vAlign w:val="center"/>
          </w:tcPr>
          <w:p w:rsidR="00825066" w:rsidRPr="00765C97" w:rsidRDefault="00825066" w:rsidP="00825066">
            <w:pPr>
              <w:pStyle w:val="Bodycopy"/>
              <w:spacing w:before="0" w:line="240" w:lineRule="auto"/>
              <w:jc w:val="center"/>
              <w:rPr>
                <w:color w:val="auto"/>
                <w:sz w:val="20"/>
                <w:szCs w:val="20"/>
                <w:lang w:val="pl-PL"/>
              </w:rPr>
            </w:pPr>
            <w:r w:rsidRPr="00765C97">
              <w:rPr>
                <w:color w:val="auto"/>
                <w:sz w:val="20"/>
                <w:szCs w:val="20"/>
                <w:lang w:val="pl-PL"/>
              </w:rPr>
              <w:t>30,74%</w:t>
            </w:r>
          </w:p>
        </w:tc>
        <w:tc>
          <w:tcPr>
            <w:tcW w:w="1560" w:type="dxa"/>
            <w:tcBorders>
              <w:left w:val="single" w:sz="4" w:space="0" w:color="auto"/>
            </w:tcBorders>
            <w:vAlign w:val="center"/>
          </w:tcPr>
          <w:p w:rsidR="00825066" w:rsidRPr="00765C97" w:rsidRDefault="00825066" w:rsidP="00825066">
            <w:pPr>
              <w:pStyle w:val="Bodycopyrightindent"/>
              <w:tabs>
                <w:tab w:val="decimal" w:pos="792"/>
              </w:tabs>
              <w:spacing w:before="0" w:line="240" w:lineRule="auto"/>
              <w:jc w:val="center"/>
              <w:rPr>
                <w:color w:val="auto"/>
                <w:sz w:val="20"/>
                <w:szCs w:val="20"/>
                <w:lang w:val="pl-PL"/>
              </w:rPr>
            </w:pPr>
            <w:r w:rsidRPr="00765C97">
              <w:rPr>
                <w:color w:val="auto"/>
                <w:sz w:val="20"/>
                <w:szCs w:val="20"/>
                <w:lang w:val="pl-PL"/>
              </w:rPr>
              <w:t>31 901</w:t>
            </w:r>
          </w:p>
        </w:tc>
      </w:tr>
      <w:tr w:rsidR="0001201A" w:rsidRPr="00765C97" w:rsidTr="00690CAC">
        <w:trPr>
          <w:cantSplit/>
          <w:trHeight w:val="255"/>
        </w:trPr>
        <w:tc>
          <w:tcPr>
            <w:tcW w:w="2126" w:type="dxa"/>
            <w:tcBorders>
              <w:right w:val="single" w:sz="4" w:space="0" w:color="auto"/>
            </w:tcBorders>
            <w:vAlign w:val="center"/>
          </w:tcPr>
          <w:p w:rsidR="0001201A" w:rsidRPr="00765C97" w:rsidRDefault="0001201A" w:rsidP="00372102">
            <w:pPr>
              <w:pStyle w:val="Bodycopy"/>
              <w:spacing w:before="0" w:line="240" w:lineRule="auto"/>
              <w:rPr>
                <w:b/>
                <w:color w:val="auto"/>
                <w:sz w:val="20"/>
                <w:szCs w:val="20"/>
                <w:lang w:val="de-DE"/>
              </w:rPr>
            </w:pPr>
          </w:p>
        </w:tc>
        <w:tc>
          <w:tcPr>
            <w:tcW w:w="1559" w:type="dxa"/>
            <w:tcBorders>
              <w:left w:val="single" w:sz="4" w:space="0" w:color="auto"/>
              <w:right w:val="single" w:sz="4" w:space="0" w:color="auto"/>
            </w:tcBorders>
            <w:vAlign w:val="center"/>
          </w:tcPr>
          <w:p w:rsidR="0001201A" w:rsidRPr="00765C97" w:rsidRDefault="0001201A" w:rsidP="00825066">
            <w:pPr>
              <w:pStyle w:val="Bodycopy"/>
              <w:spacing w:before="0" w:line="240" w:lineRule="auto"/>
              <w:jc w:val="center"/>
              <w:rPr>
                <w:color w:val="auto"/>
                <w:sz w:val="20"/>
                <w:szCs w:val="20"/>
                <w:lang w:val="pl-PL"/>
              </w:rPr>
            </w:pPr>
          </w:p>
        </w:tc>
        <w:tc>
          <w:tcPr>
            <w:tcW w:w="1418" w:type="dxa"/>
            <w:tcBorders>
              <w:left w:val="single" w:sz="4" w:space="0" w:color="auto"/>
              <w:right w:val="single" w:sz="4" w:space="0" w:color="auto"/>
            </w:tcBorders>
            <w:vAlign w:val="center"/>
          </w:tcPr>
          <w:p w:rsidR="0001201A" w:rsidRPr="00765C97" w:rsidRDefault="0001201A" w:rsidP="00825066">
            <w:pPr>
              <w:pStyle w:val="Bodycopy"/>
              <w:spacing w:before="0" w:line="240" w:lineRule="auto"/>
              <w:jc w:val="center"/>
              <w:rPr>
                <w:color w:val="auto"/>
                <w:sz w:val="20"/>
                <w:szCs w:val="20"/>
                <w:lang w:val="pl-PL"/>
              </w:rPr>
            </w:pPr>
          </w:p>
        </w:tc>
        <w:tc>
          <w:tcPr>
            <w:tcW w:w="1559" w:type="dxa"/>
            <w:tcBorders>
              <w:left w:val="single" w:sz="4" w:space="0" w:color="auto"/>
              <w:right w:val="single" w:sz="4" w:space="0" w:color="auto"/>
            </w:tcBorders>
            <w:vAlign w:val="center"/>
          </w:tcPr>
          <w:p w:rsidR="0001201A" w:rsidRPr="00765C97" w:rsidRDefault="0001201A" w:rsidP="00F24081">
            <w:pPr>
              <w:pStyle w:val="Bodycopy"/>
              <w:spacing w:before="0" w:line="240" w:lineRule="auto"/>
              <w:jc w:val="center"/>
              <w:rPr>
                <w:b/>
                <w:color w:val="auto"/>
                <w:sz w:val="20"/>
                <w:szCs w:val="20"/>
                <w:lang w:val="pl-PL"/>
              </w:rPr>
            </w:pPr>
          </w:p>
        </w:tc>
        <w:tc>
          <w:tcPr>
            <w:tcW w:w="1560" w:type="dxa"/>
            <w:tcBorders>
              <w:left w:val="single" w:sz="4" w:space="0" w:color="auto"/>
            </w:tcBorders>
            <w:vAlign w:val="center"/>
          </w:tcPr>
          <w:p w:rsidR="0001201A" w:rsidRPr="00765C97" w:rsidRDefault="0001201A" w:rsidP="00F24081">
            <w:pPr>
              <w:pStyle w:val="Bodycopyrightindent"/>
              <w:tabs>
                <w:tab w:val="decimal" w:pos="792"/>
              </w:tabs>
              <w:spacing w:before="0" w:line="240" w:lineRule="auto"/>
              <w:jc w:val="center"/>
              <w:rPr>
                <w:b/>
                <w:color w:val="auto"/>
                <w:sz w:val="20"/>
                <w:szCs w:val="20"/>
                <w:lang w:val="pl-PL"/>
              </w:rPr>
            </w:pPr>
          </w:p>
        </w:tc>
      </w:tr>
      <w:tr w:rsidR="00372102" w:rsidRPr="00765C97" w:rsidTr="00690CAC">
        <w:trPr>
          <w:cantSplit/>
          <w:trHeight w:val="255"/>
        </w:trPr>
        <w:tc>
          <w:tcPr>
            <w:tcW w:w="2126" w:type="dxa"/>
            <w:tcBorders>
              <w:right w:val="single" w:sz="4" w:space="0" w:color="auto"/>
            </w:tcBorders>
            <w:vAlign w:val="center"/>
          </w:tcPr>
          <w:p w:rsidR="00372102" w:rsidRPr="00765C97" w:rsidRDefault="00372102" w:rsidP="00372102">
            <w:pPr>
              <w:pStyle w:val="Bodycopy"/>
              <w:spacing w:before="0" w:line="240" w:lineRule="auto"/>
              <w:rPr>
                <w:b/>
                <w:color w:val="auto"/>
                <w:sz w:val="20"/>
                <w:szCs w:val="20"/>
                <w:lang w:val="de-DE"/>
              </w:rPr>
            </w:pPr>
            <w:r w:rsidRPr="00765C97">
              <w:rPr>
                <w:b/>
                <w:color w:val="auto"/>
                <w:sz w:val="20"/>
                <w:szCs w:val="20"/>
                <w:lang w:val="de-DE"/>
              </w:rPr>
              <w:t>2012</w:t>
            </w:r>
          </w:p>
        </w:tc>
        <w:tc>
          <w:tcPr>
            <w:tcW w:w="1559" w:type="dxa"/>
            <w:tcBorders>
              <w:left w:val="single" w:sz="4" w:space="0" w:color="auto"/>
              <w:right w:val="single" w:sz="4" w:space="0" w:color="auto"/>
            </w:tcBorders>
            <w:vAlign w:val="center"/>
          </w:tcPr>
          <w:p w:rsidR="00372102" w:rsidRPr="00765C97" w:rsidRDefault="00372102" w:rsidP="00825066">
            <w:pPr>
              <w:pStyle w:val="Bodycopy"/>
              <w:spacing w:before="0" w:line="240" w:lineRule="auto"/>
              <w:jc w:val="center"/>
              <w:rPr>
                <w:color w:val="auto"/>
                <w:sz w:val="20"/>
                <w:szCs w:val="20"/>
                <w:lang w:val="pl-PL"/>
              </w:rPr>
            </w:pPr>
          </w:p>
        </w:tc>
        <w:tc>
          <w:tcPr>
            <w:tcW w:w="1418" w:type="dxa"/>
            <w:tcBorders>
              <w:left w:val="single" w:sz="4" w:space="0" w:color="auto"/>
              <w:right w:val="single" w:sz="4" w:space="0" w:color="auto"/>
            </w:tcBorders>
            <w:vAlign w:val="center"/>
          </w:tcPr>
          <w:p w:rsidR="00372102" w:rsidRPr="00765C97" w:rsidRDefault="00372102" w:rsidP="00825066">
            <w:pPr>
              <w:pStyle w:val="Bodycopy"/>
              <w:spacing w:before="0" w:line="240" w:lineRule="auto"/>
              <w:jc w:val="center"/>
              <w:rPr>
                <w:color w:val="auto"/>
                <w:sz w:val="20"/>
                <w:szCs w:val="20"/>
                <w:lang w:val="pl-PL"/>
              </w:rPr>
            </w:pPr>
          </w:p>
        </w:tc>
        <w:tc>
          <w:tcPr>
            <w:tcW w:w="1559" w:type="dxa"/>
            <w:tcBorders>
              <w:left w:val="single" w:sz="4" w:space="0" w:color="auto"/>
              <w:right w:val="single" w:sz="4" w:space="0" w:color="auto"/>
            </w:tcBorders>
            <w:vAlign w:val="center"/>
          </w:tcPr>
          <w:p w:rsidR="00372102" w:rsidRPr="00765C97" w:rsidRDefault="00372102" w:rsidP="00F24081">
            <w:pPr>
              <w:pStyle w:val="Bodycopy"/>
              <w:spacing w:before="0" w:line="240" w:lineRule="auto"/>
              <w:jc w:val="center"/>
              <w:rPr>
                <w:b/>
                <w:color w:val="auto"/>
                <w:sz w:val="20"/>
                <w:szCs w:val="20"/>
                <w:lang w:val="pl-PL"/>
              </w:rPr>
            </w:pPr>
          </w:p>
        </w:tc>
        <w:tc>
          <w:tcPr>
            <w:tcW w:w="1560" w:type="dxa"/>
            <w:tcBorders>
              <w:left w:val="single" w:sz="4" w:space="0" w:color="auto"/>
            </w:tcBorders>
            <w:vAlign w:val="center"/>
          </w:tcPr>
          <w:p w:rsidR="00372102" w:rsidRPr="00765C97" w:rsidRDefault="00372102" w:rsidP="00F24081">
            <w:pPr>
              <w:pStyle w:val="Bodycopyrightindent"/>
              <w:tabs>
                <w:tab w:val="decimal" w:pos="792"/>
              </w:tabs>
              <w:spacing w:before="0" w:line="240" w:lineRule="auto"/>
              <w:jc w:val="center"/>
              <w:rPr>
                <w:b/>
                <w:color w:val="auto"/>
                <w:sz w:val="20"/>
                <w:szCs w:val="20"/>
                <w:lang w:val="pl-PL"/>
              </w:rPr>
            </w:pPr>
          </w:p>
        </w:tc>
      </w:tr>
      <w:tr w:rsidR="00372102" w:rsidRPr="00765C97" w:rsidTr="00690CAC">
        <w:trPr>
          <w:cantSplit/>
          <w:trHeight w:val="255"/>
        </w:trPr>
        <w:tc>
          <w:tcPr>
            <w:tcW w:w="2126" w:type="dxa"/>
            <w:tcBorders>
              <w:right w:val="single" w:sz="4" w:space="0" w:color="auto"/>
            </w:tcBorders>
            <w:vAlign w:val="center"/>
          </w:tcPr>
          <w:p w:rsidR="00372102" w:rsidRPr="00765C97" w:rsidRDefault="00372102" w:rsidP="00372102">
            <w:pPr>
              <w:pStyle w:val="Bodycopy"/>
              <w:spacing w:before="0" w:line="240" w:lineRule="auto"/>
              <w:rPr>
                <w:b/>
                <w:color w:val="auto"/>
                <w:sz w:val="20"/>
                <w:szCs w:val="20"/>
                <w:lang w:val="de-DE"/>
              </w:rPr>
            </w:pPr>
            <w:r w:rsidRPr="00765C97">
              <w:rPr>
                <w:color w:val="auto"/>
                <w:sz w:val="20"/>
                <w:szCs w:val="20"/>
                <w:lang w:val="de-DE"/>
              </w:rPr>
              <w:t>Comarch Software und Beratung AG</w:t>
            </w:r>
          </w:p>
        </w:tc>
        <w:tc>
          <w:tcPr>
            <w:tcW w:w="1559" w:type="dxa"/>
            <w:tcBorders>
              <w:left w:val="single" w:sz="4" w:space="0" w:color="auto"/>
              <w:right w:val="single" w:sz="4" w:space="0" w:color="auto"/>
            </w:tcBorders>
            <w:vAlign w:val="center"/>
          </w:tcPr>
          <w:p w:rsidR="00372102" w:rsidRPr="00765C97" w:rsidRDefault="00372102" w:rsidP="00603ABE">
            <w:pPr>
              <w:pStyle w:val="Bodycopy"/>
              <w:spacing w:before="0" w:line="240" w:lineRule="auto"/>
              <w:jc w:val="center"/>
              <w:rPr>
                <w:color w:val="auto"/>
                <w:sz w:val="20"/>
                <w:szCs w:val="20"/>
                <w:lang w:val="pl-PL"/>
              </w:rPr>
            </w:pPr>
            <w:r w:rsidRPr="00765C97">
              <w:rPr>
                <w:color w:val="auto"/>
                <w:sz w:val="20"/>
                <w:szCs w:val="20"/>
                <w:lang w:val="pl-PL"/>
              </w:rPr>
              <w:t>informatyka</w:t>
            </w:r>
          </w:p>
        </w:tc>
        <w:tc>
          <w:tcPr>
            <w:tcW w:w="1418" w:type="dxa"/>
            <w:tcBorders>
              <w:left w:val="single" w:sz="4" w:space="0" w:color="auto"/>
              <w:right w:val="single" w:sz="4" w:space="0" w:color="auto"/>
            </w:tcBorders>
            <w:vAlign w:val="center"/>
          </w:tcPr>
          <w:p w:rsidR="00372102" w:rsidRPr="00765C97" w:rsidRDefault="00372102" w:rsidP="00372102">
            <w:pPr>
              <w:pStyle w:val="Bodycopy"/>
              <w:spacing w:before="0" w:line="240" w:lineRule="auto"/>
              <w:jc w:val="center"/>
              <w:rPr>
                <w:color w:val="auto"/>
                <w:sz w:val="20"/>
                <w:szCs w:val="20"/>
                <w:lang w:val="pl-PL"/>
              </w:rPr>
            </w:pPr>
            <w:r w:rsidRPr="00765C97">
              <w:rPr>
                <w:color w:val="auto"/>
                <w:sz w:val="20"/>
                <w:szCs w:val="20"/>
                <w:lang w:val="pl-PL"/>
              </w:rPr>
              <w:t>2012-10-19</w:t>
            </w:r>
          </w:p>
        </w:tc>
        <w:tc>
          <w:tcPr>
            <w:tcW w:w="1559" w:type="dxa"/>
            <w:tcBorders>
              <w:left w:val="single" w:sz="4" w:space="0" w:color="auto"/>
              <w:right w:val="single" w:sz="4" w:space="0" w:color="auto"/>
            </w:tcBorders>
            <w:vAlign w:val="center"/>
          </w:tcPr>
          <w:p w:rsidR="00372102" w:rsidRPr="00765C97" w:rsidRDefault="00372102" w:rsidP="00372102">
            <w:pPr>
              <w:pStyle w:val="Bodycopy"/>
              <w:spacing w:before="0" w:line="240" w:lineRule="auto"/>
              <w:jc w:val="center"/>
              <w:rPr>
                <w:color w:val="auto"/>
                <w:sz w:val="20"/>
                <w:szCs w:val="20"/>
                <w:lang w:val="pl-PL"/>
              </w:rPr>
            </w:pPr>
            <w:r w:rsidRPr="00765C97">
              <w:rPr>
                <w:color w:val="auto"/>
                <w:sz w:val="20"/>
                <w:szCs w:val="20"/>
                <w:lang w:val="pl-PL"/>
              </w:rPr>
              <w:t>5%</w:t>
            </w:r>
          </w:p>
        </w:tc>
        <w:tc>
          <w:tcPr>
            <w:tcW w:w="1560" w:type="dxa"/>
            <w:tcBorders>
              <w:left w:val="single" w:sz="4" w:space="0" w:color="auto"/>
            </w:tcBorders>
            <w:vAlign w:val="center"/>
          </w:tcPr>
          <w:p w:rsidR="00372102" w:rsidRPr="00765C97" w:rsidRDefault="0001201A" w:rsidP="00F24081">
            <w:pPr>
              <w:pStyle w:val="Bodycopyrightindent"/>
              <w:tabs>
                <w:tab w:val="decimal" w:pos="792"/>
              </w:tabs>
              <w:spacing w:before="0" w:line="240" w:lineRule="auto"/>
              <w:jc w:val="center"/>
              <w:rPr>
                <w:color w:val="auto"/>
                <w:sz w:val="20"/>
                <w:szCs w:val="20"/>
                <w:lang w:val="pl-PL"/>
              </w:rPr>
            </w:pPr>
            <w:r w:rsidRPr="00765C97">
              <w:rPr>
                <w:color w:val="auto"/>
                <w:sz w:val="20"/>
                <w:szCs w:val="20"/>
                <w:lang w:val="pl-PL"/>
              </w:rPr>
              <w:t>3 777</w:t>
            </w:r>
          </w:p>
        </w:tc>
      </w:tr>
      <w:tr w:rsidR="00372102" w:rsidRPr="00765C97" w:rsidTr="00690CAC">
        <w:trPr>
          <w:cantSplit/>
          <w:trHeight w:val="255"/>
        </w:trPr>
        <w:tc>
          <w:tcPr>
            <w:tcW w:w="2126" w:type="dxa"/>
            <w:tcBorders>
              <w:right w:val="single" w:sz="4" w:space="0" w:color="auto"/>
            </w:tcBorders>
            <w:vAlign w:val="center"/>
          </w:tcPr>
          <w:p w:rsidR="00372102" w:rsidRPr="00765C97" w:rsidRDefault="00372102" w:rsidP="00372102">
            <w:pPr>
              <w:pStyle w:val="Bodycopy"/>
              <w:spacing w:before="0" w:line="240" w:lineRule="auto"/>
              <w:rPr>
                <w:b/>
                <w:color w:val="auto"/>
                <w:sz w:val="20"/>
                <w:szCs w:val="20"/>
                <w:lang w:val="de-DE"/>
              </w:rPr>
            </w:pPr>
          </w:p>
        </w:tc>
        <w:tc>
          <w:tcPr>
            <w:tcW w:w="1559" w:type="dxa"/>
            <w:tcBorders>
              <w:left w:val="single" w:sz="4" w:space="0" w:color="auto"/>
              <w:right w:val="single" w:sz="4" w:space="0" w:color="auto"/>
            </w:tcBorders>
            <w:vAlign w:val="center"/>
          </w:tcPr>
          <w:p w:rsidR="00372102" w:rsidRPr="00765C97" w:rsidRDefault="00372102" w:rsidP="00825066">
            <w:pPr>
              <w:pStyle w:val="Bodycopy"/>
              <w:spacing w:before="0" w:line="240" w:lineRule="auto"/>
              <w:jc w:val="center"/>
              <w:rPr>
                <w:color w:val="auto"/>
                <w:sz w:val="20"/>
                <w:szCs w:val="20"/>
                <w:lang w:val="pl-PL"/>
              </w:rPr>
            </w:pPr>
          </w:p>
        </w:tc>
        <w:tc>
          <w:tcPr>
            <w:tcW w:w="1418" w:type="dxa"/>
            <w:tcBorders>
              <w:left w:val="single" w:sz="4" w:space="0" w:color="auto"/>
              <w:right w:val="single" w:sz="4" w:space="0" w:color="auto"/>
            </w:tcBorders>
            <w:vAlign w:val="center"/>
          </w:tcPr>
          <w:p w:rsidR="00372102" w:rsidRPr="00765C97" w:rsidRDefault="00372102" w:rsidP="00825066">
            <w:pPr>
              <w:pStyle w:val="Bodycopy"/>
              <w:spacing w:before="0" w:line="240" w:lineRule="auto"/>
              <w:jc w:val="center"/>
              <w:rPr>
                <w:color w:val="auto"/>
                <w:sz w:val="20"/>
                <w:szCs w:val="20"/>
                <w:lang w:val="pl-PL"/>
              </w:rPr>
            </w:pPr>
          </w:p>
        </w:tc>
        <w:tc>
          <w:tcPr>
            <w:tcW w:w="1559" w:type="dxa"/>
            <w:tcBorders>
              <w:left w:val="single" w:sz="4" w:space="0" w:color="auto"/>
              <w:right w:val="single" w:sz="4" w:space="0" w:color="auto"/>
            </w:tcBorders>
            <w:vAlign w:val="center"/>
          </w:tcPr>
          <w:p w:rsidR="00372102" w:rsidRPr="00765C97" w:rsidRDefault="00372102" w:rsidP="00825066">
            <w:pPr>
              <w:pStyle w:val="Bodycopy"/>
              <w:spacing w:before="0" w:line="240" w:lineRule="auto"/>
              <w:jc w:val="center"/>
              <w:rPr>
                <w:b/>
                <w:color w:val="auto"/>
                <w:sz w:val="20"/>
                <w:szCs w:val="20"/>
                <w:lang w:val="pl-PL"/>
              </w:rPr>
            </w:pPr>
          </w:p>
        </w:tc>
        <w:tc>
          <w:tcPr>
            <w:tcW w:w="1560" w:type="dxa"/>
            <w:tcBorders>
              <w:left w:val="single" w:sz="4" w:space="0" w:color="auto"/>
            </w:tcBorders>
            <w:vAlign w:val="center"/>
          </w:tcPr>
          <w:p w:rsidR="00372102" w:rsidRPr="00765C97" w:rsidRDefault="00372102" w:rsidP="00825066">
            <w:pPr>
              <w:pStyle w:val="Bodycopyrightindent"/>
              <w:tabs>
                <w:tab w:val="decimal" w:pos="792"/>
              </w:tabs>
              <w:spacing w:before="0" w:line="240" w:lineRule="auto"/>
              <w:jc w:val="center"/>
              <w:rPr>
                <w:color w:val="auto"/>
                <w:sz w:val="20"/>
                <w:szCs w:val="20"/>
                <w:lang w:val="pl-PL"/>
              </w:rPr>
            </w:pPr>
          </w:p>
        </w:tc>
      </w:tr>
      <w:tr w:rsidR="00372102" w:rsidRPr="00765C97" w:rsidTr="00690CAC">
        <w:trPr>
          <w:cantSplit/>
          <w:trHeight w:val="255"/>
        </w:trPr>
        <w:tc>
          <w:tcPr>
            <w:tcW w:w="2126" w:type="dxa"/>
            <w:tcBorders>
              <w:right w:val="single" w:sz="4" w:space="0" w:color="auto"/>
            </w:tcBorders>
            <w:vAlign w:val="center"/>
          </w:tcPr>
          <w:p w:rsidR="00372102" w:rsidRPr="00765C97" w:rsidRDefault="00372102" w:rsidP="00372102">
            <w:pPr>
              <w:pStyle w:val="Bodycopy"/>
              <w:spacing w:before="0" w:line="240" w:lineRule="auto"/>
              <w:rPr>
                <w:b/>
                <w:color w:val="auto"/>
                <w:sz w:val="20"/>
                <w:szCs w:val="20"/>
                <w:lang w:val="de-DE"/>
              </w:rPr>
            </w:pPr>
            <w:r w:rsidRPr="00765C97">
              <w:rPr>
                <w:spacing w:val="-1"/>
                <w:sz w:val="20"/>
                <w:lang w:val="pl-PL"/>
              </w:rPr>
              <w:t>A-MEA Informatik AG</w:t>
            </w:r>
          </w:p>
        </w:tc>
        <w:tc>
          <w:tcPr>
            <w:tcW w:w="1559" w:type="dxa"/>
            <w:tcBorders>
              <w:left w:val="single" w:sz="4" w:space="0" w:color="auto"/>
              <w:right w:val="single" w:sz="4" w:space="0" w:color="auto"/>
            </w:tcBorders>
            <w:vAlign w:val="center"/>
          </w:tcPr>
          <w:p w:rsidR="00372102" w:rsidRPr="00765C97" w:rsidRDefault="00372102" w:rsidP="00825066">
            <w:pPr>
              <w:pStyle w:val="Bodycopy"/>
              <w:spacing w:before="0" w:line="240" w:lineRule="auto"/>
              <w:jc w:val="center"/>
              <w:rPr>
                <w:color w:val="auto"/>
                <w:sz w:val="20"/>
                <w:szCs w:val="20"/>
                <w:lang w:val="pl-PL"/>
              </w:rPr>
            </w:pPr>
            <w:r w:rsidRPr="00765C97">
              <w:rPr>
                <w:color w:val="auto"/>
                <w:sz w:val="20"/>
                <w:szCs w:val="20"/>
                <w:lang w:val="pl-PL"/>
              </w:rPr>
              <w:t>informatyka</w:t>
            </w:r>
          </w:p>
        </w:tc>
        <w:tc>
          <w:tcPr>
            <w:tcW w:w="1418" w:type="dxa"/>
            <w:tcBorders>
              <w:left w:val="single" w:sz="4" w:space="0" w:color="auto"/>
              <w:right w:val="single" w:sz="4" w:space="0" w:color="auto"/>
            </w:tcBorders>
            <w:vAlign w:val="center"/>
          </w:tcPr>
          <w:p w:rsidR="00372102" w:rsidRPr="00765C97" w:rsidRDefault="00372102" w:rsidP="00CA4726">
            <w:pPr>
              <w:pStyle w:val="Bodycopy"/>
              <w:spacing w:before="0" w:line="240" w:lineRule="auto"/>
              <w:jc w:val="center"/>
              <w:rPr>
                <w:color w:val="auto"/>
                <w:sz w:val="20"/>
                <w:szCs w:val="20"/>
                <w:lang w:val="pl-PL"/>
              </w:rPr>
            </w:pPr>
            <w:r w:rsidRPr="00765C97">
              <w:rPr>
                <w:color w:val="auto"/>
                <w:sz w:val="20"/>
                <w:szCs w:val="20"/>
                <w:lang w:val="pl-PL"/>
              </w:rPr>
              <w:t>2012-01-</w:t>
            </w:r>
            <w:r w:rsidR="00CA4726" w:rsidRPr="00765C97">
              <w:rPr>
                <w:color w:val="auto"/>
                <w:sz w:val="20"/>
                <w:szCs w:val="20"/>
                <w:lang w:val="pl-PL"/>
              </w:rPr>
              <w:t>30</w:t>
            </w:r>
          </w:p>
        </w:tc>
        <w:tc>
          <w:tcPr>
            <w:tcW w:w="1559" w:type="dxa"/>
            <w:tcBorders>
              <w:left w:val="single" w:sz="4" w:space="0" w:color="auto"/>
              <w:right w:val="single" w:sz="4" w:space="0" w:color="auto"/>
            </w:tcBorders>
            <w:vAlign w:val="center"/>
          </w:tcPr>
          <w:p w:rsidR="00372102" w:rsidRPr="00765C97" w:rsidRDefault="00372102" w:rsidP="00825066">
            <w:pPr>
              <w:pStyle w:val="Bodycopy"/>
              <w:spacing w:before="0" w:line="240" w:lineRule="auto"/>
              <w:jc w:val="center"/>
              <w:rPr>
                <w:color w:val="auto"/>
                <w:sz w:val="20"/>
                <w:szCs w:val="20"/>
                <w:lang w:val="pl-PL"/>
              </w:rPr>
            </w:pPr>
            <w:r w:rsidRPr="00765C97">
              <w:rPr>
                <w:color w:val="auto"/>
                <w:sz w:val="20"/>
                <w:szCs w:val="20"/>
                <w:lang w:val="pl-PL"/>
              </w:rPr>
              <w:t>100%</w:t>
            </w:r>
          </w:p>
        </w:tc>
        <w:tc>
          <w:tcPr>
            <w:tcW w:w="1560" w:type="dxa"/>
            <w:tcBorders>
              <w:left w:val="single" w:sz="4" w:space="0" w:color="auto"/>
            </w:tcBorders>
            <w:vAlign w:val="center"/>
          </w:tcPr>
          <w:p w:rsidR="00372102" w:rsidRPr="00765C97" w:rsidRDefault="0001201A" w:rsidP="00CA4726">
            <w:pPr>
              <w:pStyle w:val="Bodycopyrightindent"/>
              <w:tabs>
                <w:tab w:val="decimal" w:pos="792"/>
              </w:tabs>
              <w:spacing w:before="0" w:line="240" w:lineRule="auto"/>
              <w:jc w:val="center"/>
              <w:rPr>
                <w:color w:val="auto"/>
                <w:sz w:val="20"/>
                <w:szCs w:val="20"/>
                <w:lang w:val="pl-PL"/>
              </w:rPr>
            </w:pPr>
            <w:r w:rsidRPr="00765C97">
              <w:rPr>
                <w:color w:val="auto"/>
                <w:sz w:val="20"/>
                <w:szCs w:val="20"/>
                <w:lang w:val="pl-PL"/>
              </w:rPr>
              <w:t>5 7</w:t>
            </w:r>
            <w:r w:rsidR="00CA4726" w:rsidRPr="00765C97">
              <w:rPr>
                <w:color w:val="auto"/>
                <w:sz w:val="20"/>
                <w:szCs w:val="20"/>
                <w:lang w:val="pl-PL"/>
              </w:rPr>
              <w:t>17</w:t>
            </w:r>
          </w:p>
        </w:tc>
      </w:tr>
      <w:tr w:rsidR="0001201A" w:rsidRPr="00765C97" w:rsidTr="00690CAC">
        <w:trPr>
          <w:cantSplit/>
          <w:trHeight w:val="255"/>
        </w:trPr>
        <w:tc>
          <w:tcPr>
            <w:tcW w:w="2126" w:type="dxa"/>
            <w:tcBorders>
              <w:right w:val="single" w:sz="4" w:space="0" w:color="auto"/>
            </w:tcBorders>
            <w:vAlign w:val="center"/>
          </w:tcPr>
          <w:p w:rsidR="0001201A" w:rsidRPr="00765C97" w:rsidRDefault="0001201A" w:rsidP="005E4DF4">
            <w:pPr>
              <w:pStyle w:val="Bodycopy"/>
              <w:spacing w:before="0" w:line="240" w:lineRule="auto"/>
              <w:rPr>
                <w:b/>
                <w:color w:val="auto"/>
                <w:sz w:val="20"/>
                <w:szCs w:val="20"/>
                <w:lang w:val="de-DE"/>
              </w:rPr>
            </w:pPr>
            <w:r w:rsidRPr="00765C97">
              <w:rPr>
                <w:spacing w:val="-1"/>
                <w:sz w:val="20"/>
                <w:lang w:val="pl-PL"/>
              </w:rPr>
              <w:t>A-MEA Informatik AG</w:t>
            </w:r>
          </w:p>
        </w:tc>
        <w:tc>
          <w:tcPr>
            <w:tcW w:w="1559" w:type="dxa"/>
            <w:tcBorders>
              <w:left w:val="single" w:sz="4" w:space="0" w:color="auto"/>
              <w:right w:val="single" w:sz="4" w:space="0" w:color="auto"/>
            </w:tcBorders>
            <w:vAlign w:val="center"/>
          </w:tcPr>
          <w:p w:rsidR="0001201A" w:rsidRPr="00765C97" w:rsidRDefault="0001201A" w:rsidP="005E4DF4">
            <w:pPr>
              <w:pStyle w:val="Bodycopy"/>
              <w:spacing w:before="0" w:line="240" w:lineRule="auto"/>
              <w:jc w:val="center"/>
              <w:rPr>
                <w:color w:val="auto"/>
                <w:sz w:val="20"/>
                <w:szCs w:val="20"/>
                <w:lang w:val="pl-PL"/>
              </w:rPr>
            </w:pPr>
            <w:r w:rsidRPr="00765C97">
              <w:rPr>
                <w:color w:val="auto"/>
                <w:sz w:val="20"/>
                <w:szCs w:val="20"/>
                <w:lang w:val="pl-PL"/>
              </w:rPr>
              <w:t>informatyka</w:t>
            </w:r>
          </w:p>
        </w:tc>
        <w:tc>
          <w:tcPr>
            <w:tcW w:w="1418" w:type="dxa"/>
            <w:tcBorders>
              <w:left w:val="single" w:sz="4" w:space="0" w:color="auto"/>
              <w:right w:val="single" w:sz="4" w:space="0" w:color="auto"/>
            </w:tcBorders>
            <w:vAlign w:val="center"/>
          </w:tcPr>
          <w:p w:rsidR="0001201A" w:rsidRPr="00765C97" w:rsidRDefault="0001201A" w:rsidP="00DC267F">
            <w:pPr>
              <w:pStyle w:val="Bodycopy"/>
              <w:spacing w:before="0" w:line="240" w:lineRule="auto"/>
              <w:jc w:val="center"/>
              <w:rPr>
                <w:color w:val="auto"/>
                <w:sz w:val="20"/>
                <w:szCs w:val="20"/>
                <w:lang w:val="pl-PL"/>
              </w:rPr>
            </w:pPr>
            <w:r w:rsidRPr="00765C97">
              <w:rPr>
                <w:color w:val="auto"/>
                <w:sz w:val="20"/>
                <w:szCs w:val="20"/>
                <w:lang w:val="pl-PL"/>
              </w:rPr>
              <w:t>2012-02-2</w:t>
            </w:r>
            <w:r w:rsidR="00DC267F" w:rsidRPr="00765C97">
              <w:rPr>
                <w:color w:val="auto"/>
                <w:sz w:val="20"/>
                <w:szCs w:val="20"/>
                <w:lang w:val="pl-PL"/>
              </w:rPr>
              <w:t>7</w:t>
            </w:r>
          </w:p>
        </w:tc>
        <w:tc>
          <w:tcPr>
            <w:tcW w:w="1559" w:type="dxa"/>
            <w:tcBorders>
              <w:left w:val="single" w:sz="4" w:space="0" w:color="auto"/>
              <w:right w:val="single" w:sz="4" w:space="0" w:color="auto"/>
            </w:tcBorders>
            <w:vAlign w:val="center"/>
          </w:tcPr>
          <w:p w:rsidR="0001201A" w:rsidRPr="00765C97" w:rsidRDefault="0001201A" w:rsidP="00825066">
            <w:pPr>
              <w:pStyle w:val="Bodycopy"/>
              <w:spacing w:before="0" w:line="240" w:lineRule="auto"/>
              <w:jc w:val="center"/>
              <w:rPr>
                <w:color w:val="auto"/>
                <w:sz w:val="20"/>
                <w:szCs w:val="20"/>
                <w:lang w:val="pl-PL"/>
              </w:rPr>
            </w:pPr>
            <w:r w:rsidRPr="00765C97">
              <w:rPr>
                <w:color w:val="auto"/>
                <w:sz w:val="20"/>
                <w:szCs w:val="20"/>
                <w:lang w:val="pl-PL"/>
              </w:rPr>
              <w:t>-</w:t>
            </w:r>
          </w:p>
        </w:tc>
        <w:tc>
          <w:tcPr>
            <w:tcW w:w="1560" w:type="dxa"/>
            <w:tcBorders>
              <w:left w:val="single" w:sz="4" w:space="0" w:color="auto"/>
            </w:tcBorders>
            <w:vAlign w:val="center"/>
          </w:tcPr>
          <w:p w:rsidR="0001201A" w:rsidRPr="00765C97" w:rsidRDefault="0001201A" w:rsidP="00DC267F">
            <w:pPr>
              <w:pStyle w:val="Bodycopyrightindent"/>
              <w:tabs>
                <w:tab w:val="decimal" w:pos="792"/>
              </w:tabs>
              <w:spacing w:before="0" w:line="240" w:lineRule="auto"/>
              <w:jc w:val="center"/>
              <w:rPr>
                <w:color w:val="auto"/>
                <w:sz w:val="20"/>
                <w:szCs w:val="20"/>
              </w:rPr>
            </w:pPr>
            <w:r w:rsidRPr="00765C97">
              <w:rPr>
                <w:color w:val="auto"/>
                <w:sz w:val="20"/>
                <w:szCs w:val="20"/>
              </w:rPr>
              <w:t>2 5</w:t>
            </w:r>
            <w:r w:rsidR="00DC267F" w:rsidRPr="00765C97">
              <w:rPr>
                <w:color w:val="auto"/>
                <w:sz w:val="20"/>
                <w:szCs w:val="20"/>
              </w:rPr>
              <w:t>78</w:t>
            </w:r>
          </w:p>
        </w:tc>
      </w:tr>
      <w:tr w:rsidR="0001201A" w:rsidRPr="00765C97" w:rsidTr="00690CAC">
        <w:trPr>
          <w:cantSplit/>
          <w:trHeight w:val="255"/>
        </w:trPr>
        <w:tc>
          <w:tcPr>
            <w:tcW w:w="2126" w:type="dxa"/>
            <w:tcBorders>
              <w:right w:val="single" w:sz="4" w:space="0" w:color="auto"/>
            </w:tcBorders>
            <w:vAlign w:val="center"/>
          </w:tcPr>
          <w:p w:rsidR="0001201A" w:rsidRPr="00765C97" w:rsidRDefault="0001201A" w:rsidP="00372102">
            <w:pPr>
              <w:pStyle w:val="Bodycopy"/>
              <w:spacing w:before="0" w:line="240" w:lineRule="auto"/>
              <w:rPr>
                <w:spacing w:val="-1"/>
                <w:sz w:val="20"/>
                <w:lang w:val="pl-PL"/>
              </w:rPr>
            </w:pPr>
          </w:p>
        </w:tc>
        <w:tc>
          <w:tcPr>
            <w:tcW w:w="1559" w:type="dxa"/>
            <w:tcBorders>
              <w:left w:val="single" w:sz="4" w:space="0" w:color="auto"/>
              <w:right w:val="single" w:sz="4" w:space="0" w:color="auto"/>
            </w:tcBorders>
            <w:vAlign w:val="center"/>
          </w:tcPr>
          <w:p w:rsidR="0001201A" w:rsidRPr="00765C97" w:rsidRDefault="0001201A" w:rsidP="00825066">
            <w:pPr>
              <w:pStyle w:val="Bodycopy"/>
              <w:spacing w:before="0" w:line="240" w:lineRule="auto"/>
              <w:jc w:val="center"/>
              <w:rPr>
                <w:color w:val="auto"/>
                <w:sz w:val="20"/>
                <w:szCs w:val="20"/>
                <w:lang w:val="pl-PL"/>
              </w:rPr>
            </w:pPr>
          </w:p>
        </w:tc>
        <w:tc>
          <w:tcPr>
            <w:tcW w:w="1418" w:type="dxa"/>
            <w:tcBorders>
              <w:left w:val="single" w:sz="4" w:space="0" w:color="auto"/>
              <w:right w:val="single" w:sz="4" w:space="0" w:color="auto"/>
            </w:tcBorders>
            <w:vAlign w:val="center"/>
          </w:tcPr>
          <w:p w:rsidR="0001201A" w:rsidRPr="00765C97" w:rsidRDefault="0001201A" w:rsidP="00825066">
            <w:pPr>
              <w:pStyle w:val="Bodycopy"/>
              <w:spacing w:before="0" w:line="240" w:lineRule="auto"/>
              <w:jc w:val="center"/>
              <w:rPr>
                <w:color w:val="auto"/>
                <w:sz w:val="20"/>
                <w:szCs w:val="20"/>
                <w:lang w:val="pl-PL"/>
              </w:rPr>
            </w:pPr>
          </w:p>
        </w:tc>
        <w:tc>
          <w:tcPr>
            <w:tcW w:w="1559" w:type="dxa"/>
            <w:tcBorders>
              <w:left w:val="single" w:sz="4" w:space="0" w:color="auto"/>
              <w:right w:val="single" w:sz="4" w:space="0" w:color="auto"/>
            </w:tcBorders>
            <w:vAlign w:val="center"/>
          </w:tcPr>
          <w:p w:rsidR="0001201A" w:rsidRPr="00765C97" w:rsidRDefault="0001201A" w:rsidP="00825066">
            <w:pPr>
              <w:pStyle w:val="Bodycopy"/>
              <w:spacing w:before="0" w:line="240" w:lineRule="auto"/>
              <w:jc w:val="center"/>
              <w:rPr>
                <w:color w:val="auto"/>
                <w:sz w:val="20"/>
                <w:szCs w:val="20"/>
                <w:lang w:val="pl-PL"/>
              </w:rPr>
            </w:pPr>
          </w:p>
        </w:tc>
        <w:tc>
          <w:tcPr>
            <w:tcW w:w="1560" w:type="dxa"/>
            <w:tcBorders>
              <w:left w:val="single" w:sz="4" w:space="0" w:color="auto"/>
            </w:tcBorders>
            <w:vAlign w:val="center"/>
          </w:tcPr>
          <w:p w:rsidR="0001201A" w:rsidRPr="00765C97" w:rsidRDefault="0001201A" w:rsidP="00825066">
            <w:pPr>
              <w:pStyle w:val="Bodycopyrightindent"/>
              <w:tabs>
                <w:tab w:val="decimal" w:pos="792"/>
              </w:tabs>
              <w:spacing w:before="0" w:line="240" w:lineRule="auto"/>
              <w:jc w:val="center"/>
              <w:rPr>
                <w:color w:val="auto"/>
                <w:sz w:val="20"/>
                <w:szCs w:val="20"/>
              </w:rPr>
            </w:pPr>
          </w:p>
        </w:tc>
      </w:tr>
      <w:tr w:rsidR="0001201A" w:rsidRPr="00765C97" w:rsidTr="00690CAC">
        <w:trPr>
          <w:cantSplit/>
          <w:trHeight w:val="255"/>
        </w:trPr>
        <w:tc>
          <w:tcPr>
            <w:tcW w:w="2126" w:type="dxa"/>
            <w:tcBorders>
              <w:right w:val="single" w:sz="4" w:space="0" w:color="auto"/>
            </w:tcBorders>
            <w:vAlign w:val="center"/>
          </w:tcPr>
          <w:p w:rsidR="0001201A" w:rsidRPr="00765C97" w:rsidRDefault="0001201A" w:rsidP="00372102">
            <w:pPr>
              <w:pStyle w:val="Bodycopy"/>
              <w:spacing w:before="0" w:line="240" w:lineRule="auto"/>
              <w:rPr>
                <w:spacing w:val="-1"/>
                <w:sz w:val="20"/>
                <w:lang w:val="pl-PL"/>
              </w:rPr>
            </w:pPr>
            <w:r w:rsidRPr="00765C97">
              <w:rPr>
                <w:spacing w:val="-1"/>
                <w:sz w:val="20"/>
                <w:szCs w:val="20"/>
                <w:lang w:val="pl-PL"/>
              </w:rPr>
              <w:t>ESAProjekt Sp. z o.o.</w:t>
            </w:r>
          </w:p>
        </w:tc>
        <w:tc>
          <w:tcPr>
            <w:tcW w:w="1559" w:type="dxa"/>
            <w:tcBorders>
              <w:left w:val="single" w:sz="4" w:space="0" w:color="auto"/>
              <w:right w:val="single" w:sz="4" w:space="0" w:color="auto"/>
            </w:tcBorders>
            <w:vAlign w:val="center"/>
          </w:tcPr>
          <w:p w:rsidR="0001201A" w:rsidRPr="00765C97" w:rsidRDefault="0001201A" w:rsidP="00825066">
            <w:pPr>
              <w:pStyle w:val="Bodycopy"/>
              <w:spacing w:before="0" w:line="240" w:lineRule="auto"/>
              <w:jc w:val="center"/>
              <w:rPr>
                <w:color w:val="auto"/>
                <w:sz w:val="20"/>
                <w:szCs w:val="20"/>
                <w:lang w:val="pl-PL"/>
              </w:rPr>
            </w:pPr>
            <w:r w:rsidRPr="00765C97">
              <w:rPr>
                <w:color w:val="auto"/>
                <w:sz w:val="20"/>
                <w:szCs w:val="20"/>
                <w:lang w:val="pl-PL"/>
              </w:rPr>
              <w:t>informatyka</w:t>
            </w:r>
          </w:p>
        </w:tc>
        <w:tc>
          <w:tcPr>
            <w:tcW w:w="1418" w:type="dxa"/>
            <w:tcBorders>
              <w:left w:val="single" w:sz="4" w:space="0" w:color="auto"/>
              <w:right w:val="single" w:sz="4" w:space="0" w:color="auto"/>
            </w:tcBorders>
            <w:vAlign w:val="center"/>
          </w:tcPr>
          <w:p w:rsidR="0001201A" w:rsidRPr="00765C97" w:rsidRDefault="0001201A" w:rsidP="00825066">
            <w:pPr>
              <w:pStyle w:val="Bodycopy"/>
              <w:spacing w:before="0" w:line="240" w:lineRule="auto"/>
              <w:jc w:val="center"/>
              <w:rPr>
                <w:color w:val="auto"/>
                <w:sz w:val="20"/>
                <w:szCs w:val="20"/>
                <w:lang w:val="pl-PL"/>
              </w:rPr>
            </w:pPr>
            <w:r w:rsidRPr="00765C97">
              <w:rPr>
                <w:color w:val="auto"/>
                <w:sz w:val="20"/>
                <w:szCs w:val="20"/>
                <w:lang w:val="pl-PL"/>
              </w:rPr>
              <w:t>2012-04-27</w:t>
            </w:r>
          </w:p>
        </w:tc>
        <w:tc>
          <w:tcPr>
            <w:tcW w:w="1559" w:type="dxa"/>
            <w:tcBorders>
              <w:left w:val="single" w:sz="4" w:space="0" w:color="auto"/>
              <w:right w:val="single" w:sz="4" w:space="0" w:color="auto"/>
            </w:tcBorders>
            <w:vAlign w:val="center"/>
          </w:tcPr>
          <w:p w:rsidR="0001201A" w:rsidRPr="00765C97" w:rsidRDefault="0001201A" w:rsidP="00825066">
            <w:pPr>
              <w:pStyle w:val="Bodycopy"/>
              <w:spacing w:before="0" w:line="240" w:lineRule="auto"/>
              <w:jc w:val="center"/>
              <w:rPr>
                <w:color w:val="auto"/>
                <w:sz w:val="20"/>
                <w:szCs w:val="20"/>
                <w:lang w:val="pl-PL"/>
              </w:rPr>
            </w:pPr>
            <w:r w:rsidRPr="00765C97">
              <w:rPr>
                <w:color w:val="auto"/>
                <w:sz w:val="20"/>
                <w:szCs w:val="20"/>
                <w:lang w:val="pl-PL"/>
              </w:rPr>
              <w:t>100%</w:t>
            </w:r>
          </w:p>
        </w:tc>
        <w:tc>
          <w:tcPr>
            <w:tcW w:w="1560" w:type="dxa"/>
            <w:tcBorders>
              <w:left w:val="single" w:sz="4" w:space="0" w:color="auto"/>
            </w:tcBorders>
            <w:vAlign w:val="center"/>
          </w:tcPr>
          <w:p w:rsidR="0001201A" w:rsidRPr="00765C97" w:rsidRDefault="0001201A" w:rsidP="00825066">
            <w:pPr>
              <w:pStyle w:val="Bodycopyrightindent"/>
              <w:tabs>
                <w:tab w:val="decimal" w:pos="792"/>
              </w:tabs>
              <w:spacing w:before="0" w:line="240" w:lineRule="auto"/>
              <w:jc w:val="center"/>
              <w:rPr>
                <w:color w:val="auto"/>
                <w:sz w:val="20"/>
                <w:szCs w:val="20"/>
                <w:lang w:val="pl-PL"/>
              </w:rPr>
            </w:pPr>
            <w:r w:rsidRPr="00765C97">
              <w:rPr>
                <w:color w:val="auto"/>
                <w:sz w:val="20"/>
                <w:szCs w:val="20"/>
                <w:lang w:val="pl-PL"/>
              </w:rPr>
              <w:t>12 200</w:t>
            </w:r>
          </w:p>
        </w:tc>
      </w:tr>
      <w:tr w:rsidR="0001201A" w:rsidRPr="00765C97" w:rsidTr="00690CAC">
        <w:trPr>
          <w:cantSplit/>
          <w:trHeight w:val="255"/>
        </w:trPr>
        <w:tc>
          <w:tcPr>
            <w:tcW w:w="2126" w:type="dxa"/>
            <w:tcBorders>
              <w:right w:val="single" w:sz="4" w:space="0" w:color="auto"/>
            </w:tcBorders>
            <w:vAlign w:val="center"/>
          </w:tcPr>
          <w:p w:rsidR="0001201A" w:rsidRPr="00765C97" w:rsidRDefault="0001201A" w:rsidP="00372102">
            <w:pPr>
              <w:pStyle w:val="Bodycopy"/>
              <w:spacing w:before="0" w:line="240" w:lineRule="auto"/>
              <w:rPr>
                <w:b/>
                <w:spacing w:val="-1"/>
                <w:sz w:val="20"/>
                <w:szCs w:val="20"/>
                <w:lang w:val="pl-PL"/>
              </w:rPr>
            </w:pPr>
          </w:p>
        </w:tc>
        <w:tc>
          <w:tcPr>
            <w:tcW w:w="1559" w:type="dxa"/>
            <w:tcBorders>
              <w:left w:val="single" w:sz="4" w:space="0" w:color="auto"/>
              <w:right w:val="single" w:sz="4" w:space="0" w:color="auto"/>
            </w:tcBorders>
            <w:vAlign w:val="center"/>
          </w:tcPr>
          <w:p w:rsidR="0001201A" w:rsidRPr="00765C97" w:rsidRDefault="0001201A" w:rsidP="00825066">
            <w:pPr>
              <w:pStyle w:val="Bodycopy"/>
              <w:spacing w:before="0" w:line="240" w:lineRule="auto"/>
              <w:jc w:val="center"/>
              <w:rPr>
                <w:color w:val="auto"/>
                <w:sz w:val="20"/>
                <w:szCs w:val="20"/>
                <w:lang w:val="pl-PL"/>
              </w:rPr>
            </w:pPr>
          </w:p>
        </w:tc>
        <w:tc>
          <w:tcPr>
            <w:tcW w:w="1418" w:type="dxa"/>
            <w:tcBorders>
              <w:left w:val="single" w:sz="4" w:space="0" w:color="auto"/>
              <w:right w:val="single" w:sz="4" w:space="0" w:color="auto"/>
            </w:tcBorders>
            <w:vAlign w:val="center"/>
          </w:tcPr>
          <w:p w:rsidR="0001201A" w:rsidRPr="00765C97" w:rsidRDefault="0001201A" w:rsidP="00825066">
            <w:pPr>
              <w:pStyle w:val="Bodycopy"/>
              <w:spacing w:before="0" w:line="240" w:lineRule="auto"/>
              <w:jc w:val="center"/>
              <w:rPr>
                <w:color w:val="auto"/>
                <w:sz w:val="20"/>
                <w:szCs w:val="20"/>
                <w:lang w:val="pl-PL"/>
              </w:rPr>
            </w:pPr>
          </w:p>
        </w:tc>
        <w:tc>
          <w:tcPr>
            <w:tcW w:w="1559" w:type="dxa"/>
            <w:tcBorders>
              <w:left w:val="single" w:sz="4" w:space="0" w:color="auto"/>
              <w:right w:val="single" w:sz="4" w:space="0" w:color="auto"/>
            </w:tcBorders>
            <w:vAlign w:val="center"/>
          </w:tcPr>
          <w:p w:rsidR="0001201A" w:rsidRPr="00765C97" w:rsidRDefault="0001201A" w:rsidP="00825066">
            <w:pPr>
              <w:pStyle w:val="Bodycopy"/>
              <w:spacing w:before="0" w:line="240" w:lineRule="auto"/>
              <w:jc w:val="center"/>
              <w:rPr>
                <w:color w:val="auto"/>
                <w:sz w:val="20"/>
                <w:szCs w:val="20"/>
                <w:lang w:val="pl-PL"/>
              </w:rPr>
            </w:pPr>
          </w:p>
        </w:tc>
        <w:tc>
          <w:tcPr>
            <w:tcW w:w="1560" w:type="dxa"/>
            <w:tcBorders>
              <w:left w:val="single" w:sz="4" w:space="0" w:color="auto"/>
            </w:tcBorders>
            <w:vAlign w:val="center"/>
          </w:tcPr>
          <w:p w:rsidR="0001201A" w:rsidRPr="00765C97" w:rsidRDefault="0001201A" w:rsidP="00825066">
            <w:pPr>
              <w:pStyle w:val="Bodycopyrightindent"/>
              <w:tabs>
                <w:tab w:val="decimal" w:pos="792"/>
              </w:tabs>
              <w:spacing w:before="0" w:line="240" w:lineRule="auto"/>
              <w:jc w:val="center"/>
              <w:rPr>
                <w:color w:val="auto"/>
                <w:sz w:val="20"/>
                <w:szCs w:val="20"/>
                <w:lang w:val="pl-PL"/>
              </w:rPr>
            </w:pPr>
          </w:p>
        </w:tc>
      </w:tr>
    </w:tbl>
    <w:p w:rsidR="000A742F" w:rsidRPr="00765C97" w:rsidRDefault="00515B9D" w:rsidP="00135A9A">
      <w:pPr>
        <w:numPr>
          <w:ilvl w:val="2"/>
          <w:numId w:val="22"/>
        </w:numPr>
        <w:spacing w:before="240" w:after="60"/>
        <w:ind w:left="1276" w:hanging="851"/>
        <w:jc w:val="both"/>
        <w:rPr>
          <w:rFonts w:ascii="Arial" w:hAnsi="Arial"/>
          <w:b/>
          <w:sz w:val="20"/>
          <w:lang w:val="pl-PL"/>
        </w:rPr>
      </w:pPr>
      <w:r w:rsidRPr="00765C97">
        <w:rPr>
          <w:rFonts w:ascii="Arial" w:hAnsi="Arial"/>
          <w:b/>
          <w:sz w:val="20"/>
          <w:lang w:val="pl-PL"/>
        </w:rPr>
        <w:t>Test na utratę wartości firmy</w:t>
      </w:r>
    </w:p>
    <w:p w:rsidR="00856DEA" w:rsidRPr="00765C97" w:rsidRDefault="00856DEA" w:rsidP="00856DEA">
      <w:pPr>
        <w:jc w:val="both"/>
        <w:rPr>
          <w:rFonts w:ascii="Arial" w:hAnsi="Arial" w:cs="Arial"/>
          <w:sz w:val="20"/>
          <w:szCs w:val="20"/>
          <w:lang w:val="pl-PL"/>
        </w:rPr>
      </w:pPr>
      <w:r w:rsidRPr="00765C97">
        <w:rPr>
          <w:rFonts w:ascii="Arial" w:hAnsi="Arial" w:cs="Arial"/>
          <w:sz w:val="20"/>
          <w:szCs w:val="20"/>
          <w:lang w:val="pl-PL"/>
        </w:rPr>
        <w:t>W związku z nabyciem w roku 2009 przez Comarch AG 80,89% akcji spółki Comarch Software und Beratung AG powstała wartość firmy w wysokości 39 413 tys. zł. Wartość ta została zaktualizowana w wyniku przeprowadzonego na dzień 30 czerwca 2010 r. testu na utratę wartości i na dzień 31 grudnia 2012 roku wynosi 33 871 tys. zł. Powyższa kwota stanowi nadwyżkę kosztów przejęcia nad wartością godziwą udziału Grupy Comarch w zidentyfikowanych aktywach netto (obejmujących możliwe do zidentyfikowania aktywa nabyte oraz zobowiązania i zobowiązania warunkowe przejęte w ramach połączenia) przejętych jednostek tworzących Grupę Comarch Software und Beratung. Koszt przejęcia obejmował premię z tytułu kontroli zapłaconą w związku z przejęciem kontroli nad Grupą Comarch Software und Beratung jak również kwoty związane z korzyściami z tytułu przewidywanych synergii, wzrostu przychodów, przyszłego rozwoju rynku, powiększenia portfela produktów i przyłączenia wysokokwalifikowanych pracowników Grupy Comarch Software und Beratung. Korzyści te nie zostały ujęte odrębnie od wartości firmy, ponieważ nie było możliwe dokonanie wiarygodnej wyceny wynikających z nich przyszłych korzyści ekonomicznych. W ramach opisywanej transakcji Grupa przejęła również klientów i relacje z klientami Grupy Comarch Software und Beratung. Aktywa te nie zostały ujęte odrębnie od wartości firmy, ponieważ nie było możliwe dokonanie wiarygodnej wyceny ich wartości.</w:t>
      </w:r>
    </w:p>
    <w:p w:rsidR="00FD283C" w:rsidRPr="00765C97" w:rsidRDefault="00856DEA" w:rsidP="00856DEA">
      <w:pPr>
        <w:jc w:val="both"/>
        <w:rPr>
          <w:rFonts w:ascii="Arial" w:hAnsi="Arial" w:cs="Arial"/>
          <w:sz w:val="20"/>
          <w:szCs w:val="20"/>
          <w:lang w:val="pl-PL"/>
        </w:rPr>
      </w:pPr>
      <w:r w:rsidRPr="00765C97">
        <w:rPr>
          <w:rFonts w:ascii="Arial" w:hAnsi="Arial" w:cs="Arial"/>
          <w:sz w:val="20"/>
          <w:szCs w:val="20"/>
          <w:lang w:val="pl-PL"/>
        </w:rPr>
        <w:t xml:space="preserve">Na dzień przejęcia dokonano także oszacowania wartości godziwej aktywów posiadanych przez Grupę Comarch Software und Beratung, w oparciu o model wyceny wartości użytkowej metodą zdyskontowanych przepływów pieniężnych DCF. W wyniku oszacowania wyodrębniono wartość oprogramowania o wartości godziwej na moment przejęcia 15 017 tys. EURO. Oprogramowanie to jest umarzane przez okres 5 lat a jego wartość bilansowa na 31 grudnia 2012 r. wynosi 11 258 tys. </w:t>
      </w:r>
      <w:r w:rsidR="00C9402C" w:rsidRPr="00765C97">
        <w:rPr>
          <w:rFonts w:ascii="Arial" w:hAnsi="Arial" w:cs="Arial"/>
          <w:sz w:val="20"/>
          <w:szCs w:val="20"/>
          <w:lang w:val="pl-PL"/>
        </w:rPr>
        <w:t>zł</w:t>
      </w:r>
      <w:r w:rsidRPr="00765C97">
        <w:rPr>
          <w:rFonts w:ascii="Arial" w:hAnsi="Arial" w:cs="Arial"/>
          <w:sz w:val="20"/>
          <w:szCs w:val="20"/>
          <w:lang w:val="pl-PL"/>
        </w:rPr>
        <w:t>.</w:t>
      </w:r>
    </w:p>
    <w:p w:rsidR="00773331" w:rsidRPr="00765C97" w:rsidRDefault="00773331" w:rsidP="00856DEA">
      <w:pPr>
        <w:jc w:val="both"/>
        <w:rPr>
          <w:rFonts w:ascii="Arial" w:hAnsi="Arial" w:cs="Arial"/>
          <w:sz w:val="20"/>
          <w:szCs w:val="20"/>
          <w:lang w:val="pl-PL"/>
        </w:rPr>
      </w:pPr>
    </w:p>
    <w:p w:rsidR="00773331" w:rsidRPr="00765C97" w:rsidRDefault="00856DEA" w:rsidP="00856DEA">
      <w:pPr>
        <w:jc w:val="both"/>
        <w:rPr>
          <w:rFonts w:ascii="Arial" w:hAnsi="Arial" w:cs="Arial"/>
          <w:sz w:val="20"/>
          <w:szCs w:val="20"/>
          <w:lang w:val="pl-PL"/>
        </w:rPr>
      </w:pPr>
      <w:r w:rsidRPr="00765C97">
        <w:rPr>
          <w:rFonts w:ascii="Arial" w:hAnsi="Arial" w:cs="Arial"/>
          <w:sz w:val="20"/>
          <w:szCs w:val="20"/>
          <w:lang w:val="pl-PL"/>
        </w:rPr>
        <w:t xml:space="preserve">W związku z nabyciem w pierwszym kwartale roku 2012 przez CASA Management and Consulting Sp. z o.o. SK-A 100% akcji spółki A-MEA Informatik AG powstała wartość firmy w wysokości 3 580 tys. zł. Powyższa kwota stanowi nadwyżkę kosztów przejęcia nad wartością godziwą udziału Grupy Comarch w zidentyfikowanych aktywach netto (obejmujących możliwe do zidentyfikowania aktywa nabyte oraz zobowiązania i zobowiązania warunkowe przejęte w ramach połączenia) przejętej spółki A-MEA Informatik AG. Koszt przejęcia obejmował premię z tytułu przejęcia kontroli nad spółką A-MEA Informatik AG, jak również kwoty związane z korzyściami z tytułu przewidywanych synergii, wzrostu przychodów z tytułu sprzedaży produktów Grupy Comarch na rynku szwajcarskim, przyszłego rozwoju rynku IT w Szwajcarii, możliwości wykorzystania doświadczenia i kwalifikacji pracowników A-MEA Informatik AG. Korzyści te nie zostały ujęte odrębnie od wartości firmy, ponieważ nie było możliwe dokonanie wiarygodnej wyceny wynikających z nich przyszłych korzyści ekonomicznych. W ramach opisywanej transakcji Grupa przejęła również klientów i relacje z klientami spółki </w:t>
      </w:r>
      <w:r w:rsidRPr="00765C97">
        <w:rPr>
          <w:rFonts w:ascii="Arial" w:hAnsi="Arial" w:cs="Arial"/>
          <w:sz w:val="20"/>
          <w:szCs w:val="20"/>
          <w:lang w:val="pl-PL"/>
        </w:rPr>
        <w:br/>
        <w:t xml:space="preserve">A-MEA Informatik AG. Aktywo to zostało ujęte odrębnie od wartości firmy jako wartości niematerialne i prawne umarzane przez okres 5 lat, jego wartość godziwa na dzień przejęcia została ustalona na 3 005 tys. zł, a wartość bilansowa na 31 grudnia 2012 r. wynosi </w:t>
      </w:r>
      <w:r w:rsidRPr="00765C97">
        <w:rPr>
          <w:rFonts w:ascii="Arial" w:hAnsi="Arial" w:cs="Arial"/>
          <w:sz w:val="20"/>
          <w:szCs w:val="20"/>
          <w:lang w:val="pl-PL"/>
        </w:rPr>
        <w:br/>
        <w:t>2 45</w:t>
      </w:r>
      <w:r w:rsidR="00CA2E10" w:rsidRPr="00765C97">
        <w:rPr>
          <w:rFonts w:ascii="Arial" w:hAnsi="Arial" w:cs="Arial"/>
          <w:sz w:val="20"/>
          <w:szCs w:val="20"/>
          <w:lang w:val="pl-PL"/>
        </w:rPr>
        <w:t>5</w:t>
      </w:r>
      <w:r w:rsidRPr="00765C97">
        <w:rPr>
          <w:rFonts w:ascii="Arial" w:hAnsi="Arial" w:cs="Arial"/>
          <w:sz w:val="20"/>
          <w:szCs w:val="20"/>
          <w:lang w:val="pl-PL"/>
        </w:rPr>
        <w:t xml:space="preserve"> tys. zł. </w:t>
      </w:r>
    </w:p>
    <w:p w:rsidR="00856DEA" w:rsidRPr="00765C97" w:rsidRDefault="00773331" w:rsidP="00856DEA">
      <w:pPr>
        <w:jc w:val="both"/>
        <w:rPr>
          <w:rFonts w:ascii="Arial" w:hAnsi="Arial" w:cs="Arial"/>
          <w:sz w:val="20"/>
          <w:szCs w:val="20"/>
          <w:lang w:val="pl-PL"/>
        </w:rPr>
      </w:pPr>
      <w:r w:rsidRPr="00765C97">
        <w:rPr>
          <w:rFonts w:ascii="Arial" w:hAnsi="Arial" w:cs="Arial"/>
          <w:sz w:val="20"/>
          <w:szCs w:val="20"/>
          <w:lang w:val="pl-PL"/>
        </w:rPr>
        <w:t xml:space="preserve">W okresie od dnia zakupu A-MEA Informatik AG </w:t>
      </w:r>
      <w:r w:rsidR="000B7A8F" w:rsidRPr="00765C97">
        <w:rPr>
          <w:rFonts w:ascii="Arial" w:hAnsi="Arial" w:cs="Arial"/>
          <w:sz w:val="20"/>
          <w:szCs w:val="20"/>
          <w:lang w:val="pl-PL"/>
        </w:rPr>
        <w:t>osiągnęła</w:t>
      </w:r>
      <w:r w:rsidRPr="00765C97">
        <w:rPr>
          <w:rFonts w:ascii="Arial" w:hAnsi="Arial" w:cs="Arial"/>
          <w:sz w:val="20"/>
          <w:szCs w:val="20"/>
          <w:lang w:val="pl-PL"/>
        </w:rPr>
        <w:t xml:space="preserve"> </w:t>
      </w:r>
      <w:r w:rsidR="000B7A8F" w:rsidRPr="00765C97">
        <w:rPr>
          <w:rFonts w:ascii="Arial" w:hAnsi="Arial" w:cs="Arial"/>
          <w:sz w:val="20"/>
          <w:szCs w:val="20"/>
          <w:lang w:val="pl-PL"/>
        </w:rPr>
        <w:t xml:space="preserve">zysk </w:t>
      </w:r>
      <w:r w:rsidRPr="00765C97">
        <w:rPr>
          <w:rFonts w:ascii="Arial" w:hAnsi="Arial" w:cs="Arial"/>
          <w:sz w:val="20"/>
          <w:szCs w:val="20"/>
          <w:lang w:val="pl-PL"/>
        </w:rPr>
        <w:t xml:space="preserve">netto w wysokości </w:t>
      </w:r>
      <w:r w:rsidR="000B7A8F" w:rsidRPr="00765C97">
        <w:rPr>
          <w:rFonts w:ascii="Arial" w:hAnsi="Arial" w:cs="Arial"/>
          <w:sz w:val="20"/>
          <w:szCs w:val="20"/>
          <w:lang w:val="pl-PL"/>
        </w:rPr>
        <w:t>702</w:t>
      </w:r>
      <w:r w:rsidRPr="00765C97">
        <w:rPr>
          <w:rFonts w:ascii="Arial" w:hAnsi="Arial" w:cs="Arial"/>
          <w:sz w:val="20"/>
          <w:szCs w:val="20"/>
          <w:lang w:val="pl-PL"/>
        </w:rPr>
        <w:t xml:space="preserve"> tys. zł.</w:t>
      </w:r>
    </w:p>
    <w:p w:rsidR="00773331" w:rsidRPr="00765C97" w:rsidRDefault="00773331" w:rsidP="00765E5F">
      <w:pPr>
        <w:jc w:val="both"/>
        <w:rPr>
          <w:rFonts w:ascii="Arial" w:hAnsi="Arial" w:cs="Arial"/>
          <w:sz w:val="20"/>
          <w:szCs w:val="20"/>
          <w:lang w:val="pl-PL"/>
        </w:rPr>
      </w:pPr>
    </w:p>
    <w:p w:rsidR="00856DEA" w:rsidRPr="00765C97" w:rsidRDefault="00856DEA" w:rsidP="00765E5F">
      <w:pPr>
        <w:jc w:val="both"/>
        <w:rPr>
          <w:rFonts w:ascii="Arial" w:hAnsi="Arial" w:cs="Arial"/>
          <w:sz w:val="20"/>
          <w:szCs w:val="20"/>
          <w:lang w:val="pl-PL"/>
        </w:rPr>
      </w:pPr>
      <w:r w:rsidRPr="00765C97">
        <w:rPr>
          <w:rFonts w:ascii="Arial" w:hAnsi="Arial" w:cs="Arial"/>
          <w:sz w:val="20"/>
          <w:szCs w:val="20"/>
          <w:lang w:val="pl-PL"/>
        </w:rPr>
        <w:t>W związku z nabyciem w drugim kwartale roku 2012 przez CASA Management and Consulting Sp. z o.o. SK-A 100% akcji spółki ESAProjekt Sp. z o.o. („ESAProjekt”) powstała wartość firmy w wysokości 3 326 tys. zł. Powyższa kwota stanowi nadwyżkę kosztów przejęcia nad wartością godziwą udziału Grupy Comarch w zidentyfikowanych aktywach netto (obejmujących możliwe do zidentyfikowania aktywa nabyte oraz zobowiązania i zobowiązania warunkowe przejęte w ramach połączenia) przejętej spółki ESAProjekt. Koszt przejęcia obejmował premię z tytułu przejęcia kontroli nad spółką ESAProjekt, jak również kwoty związane z korzyściami z tytułu przewidywanych synergii, wzrostu przychodów z tytułu sprzedaży produktów Grupy Comarch na rynku informatyki medycznej, możliwości wykorzystania doświadczenia i kwalifikacji pracowników ESAProjekt w projektach prowadzonych przez Grupę Comarch. Korzyści te nie zostały ujęte odrębnie od wartości firmy, ponieważ nie było możliwe dokonanie wiarygodnej wyceny wynikających z nich przyszłych korzyści ekonomicznych. W ramach opisywanej transakcji dokonano także oszacowania wartości godziwej aktywów posiadanych na dzień przejęcia przez ESAProjekt sp. z o.o., w oparciu o model wyceny wartości użytkowej metodą zdyskontowanych przepływów pieniężnych DCF. W wyniku oszacowania wyodrębniono wartość oprogramowania o wartości godziwej na moment przejęcia 10 886 tys. zł. Oprogramowanie to będzie umarzane przez okres 5 lat, a jego wartość bilansowa na 31 grudnia 2012 wynosi  9 178 tys. zł.</w:t>
      </w:r>
    </w:p>
    <w:p w:rsidR="00773331" w:rsidRPr="00765C97" w:rsidRDefault="00773331" w:rsidP="00773331">
      <w:pPr>
        <w:jc w:val="both"/>
        <w:rPr>
          <w:rFonts w:ascii="Arial" w:hAnsi="Arial" w:cs="Arial"/>
          <w:sz w:val="20"/>
          <w:szCs w:val="20"/>
          <w:lang w:val="pl-PL"/>
        </w:rPr>
      </w:pPr>
      <w:r w:rsidRPr="00765C97">
        <w:rPr>
          <w:rFonts w:ascii="Arial" w:hAnsi="Arial" w:cs="Arial"/>
          <w:sz w:val="20"/>
          <w:szCs w:val="20"/>
          <w:lang w:val="pl-PL"/>
        </w:rPr>
        <w:t xml:space="preserve">W okresie od dnia zakupu ESAProjekt Sp. z o.o. </w:t>
      </w:r>
      <w:r w:rsidR="000B7A8F" w:rsidRPr="00765C97">
        <w:rPr>
          <w:rFonts w:ascii="Arial" w:hAnsi="Arial" w:cs="Arial"/>
          <w:sz w:val="20"/>
          <w:szCs w:val="20"/>
          <w:lang w:val="pl-PL"/>
        </w:rPr>
        <w:t xml:space="preserve">osiągnęła zysk netto </w:t>
      </w:r>
      <w:r w:rsidRPr="00765C97">
        <w:rPr>
          <w:rFonts w:ascii="Arial" w:hAnsi="Arial" w:cs="Arial"/>
          <w:sz w:val="20"/>
          <w:szCs w:val="20"/>
          <w:lang w:val="pl-PL"/>
        </w:rPr>
        <w:t xml:space="preserve">w wysokości </w:t>
      </w:r>
      <w:r w:rsidR="000B7A8F" w:rsidRPr="00765C97">
        <w:rPr>
          <w:rFonts w:ascii="Arial" w:hAnsi="Arial" w:cs="Arial"/>
          <w:sz w:val="20"/>
          <w:szCs w:val="20"/>
          <w:lang w:val="pl-PL"/>
        </w:rPr>
        <w:t>671</w:t>
      </w:r>
      <w:r w:rsidRPr="00765C97">
        <w:rPr>
          <w:rFonts w:ascii="Arial" w:hAnsi="Arial" w:cs="Arial"/>
          <w:sz w:val="20"/>
          <w:szCs w:val="20"/>
          <w:lang w:val="pl-PL"/>
        </w:rPr>
        <w:t xml:space="preserve"> tys. zł.</w:t>
      </w:r>
    </w:p>
    <w:p w:rsidR="00FD283C" w:rsidRPr="00765C97" w:rsidRDefault="00FD283C" w:rsidP="00765E5F">
      <w:pPr>
        <w:jc w:val="both"/>
        <w:rPr>
          <w:rFonts w:ascii="Arial" w:hAnsi="Arial" w:cs="Arial"/>
          <w:sz w:val="20"/>
          <w:szCs w:val="20"/>
          <w:lang w:val="pl-PL"/>
        </w:rPr>
      </w:pPr>
    </w:p>
    <w:tbl>
      <w:tblPr>
        <w:tblStyle w:val="Tabela-Siatka"/>
        <w:tblW w:w="0" w:type="auto"/>
        <w:tblInd w:w="250" w:type="dxa"/>
        <w:tblLook w:val="04A0"/>
      </w:tblPr>
      <w:tblGrid>
        <w:gridCol w:w="3827"/>
        <w:gridCol w:w="2268"/>
        <w:gridCol w:w="2268"/>
      </w:tblGrid>
      <w:tr w:rsidR="00F175AA" w:rsidRPr="00F346A4" w:rsidTr="00AC2917">
        <w:tc>
          <w:tcPr>
            <w:tcW w:w="3827" w:type="dxa"/>
          </w:tcPr>
          <w:p w:rsidR="00F175AA" w:rsidRPr="00765C97" w:rsidRDefault="00F175AA" w:rsidP="00AC2917">
            <w:pPr>
              <w:jc w:val="both"/>
              <w:rPr>
                <w:rFonts w:ascii="Arial" w:eastAsia="PMingLiU" w:hAnsi="Arial" w:cs="Arial"/>
                <w:sz w:val="20"/>
                <w:szCs w:val="20"/>
                <w:lang w:val="pl-PL"/>
              </w:rPr>
            </w:pPr>
          </w:p>
        </w:tc>
        <w:tc>
          <w:tcPr>
            <w:tcW w:w="2268" w:type="dxa"/>
          </w:tcPr>
          <w:p w:rsidR="00F175AA" w:rsidRPr="00765C97" w:rsidRDefault="00F175AA" w:rsidP="00AC2917">
            <w:pPr>
              <w:jc w:val="both"/>
              <w:rPr>
                <w:rFonts w:ascii="Arial" w:eastAsia="PMingLiU" w:hAnsi="Arial" w:cs="Arial"/>
                <w:b/>
                <w:sz w:val="20"/>
                <w:szCs w:val="20"/>
                <w:lang w:val="pl-PL"/>
              </w:rPr>
            </w:pPr>
            <w:r w:rsidRPr="00765C97">
              <w:rPr>
                <w:rFonts w:ascii="Arial" w:eastAsia="PMingLiU" w:hAnsi="Arial" w:cs="Arial"/>
                <w:b/>
                <w:sz w:val="20"/>
                <w:szCs w:val="20"/>
                <w:lang w:val="pl-PL"/>
              </w:rPr>
              <w:t>A-MEA Informatik AG</w:t>
            </w:r>
          </w:p>
        </w:tc>
        <w:tc>
          <w:tcPr>
            <w:tcW w:w="2268" w:type="dxa"/>
          </w:tcPr>
          <w:p w:rsidR="00F175AA" w:rsidRPr="00765C97" w:rsidRDefault="00F175AA" w:rsidP="00AC2917">
            <w:pPr>
              <w:jc w:val="both"/>
              <w:rPr>
                <w:rFonts w:ascii="Arial" w:eastAsia="PMingLiU" w:hAnsi="Arial" w:cs="Arial"/>
                <w:b/>
                <w:sz w:val="20"/>
                <w:szCs w:val="20"/>
                <w:lang w:val="pl-PL"/>
              </w:rPr>
            </w:pPr>
            <w:r w:rsidRPr="00765C97">
              <w:rPr>
                <w:rFonts w:ascii="Arial" w:eastAsia="PMingLiU" w:hAnsi="Arial" w:cs="Arial"/>
                <w:b/>
                <w:sz w:val="20"/>
                <w:szCs w:val="20"/>
                <w:lang w:val="pl-PL"/>
              </w:rPr>
              <w:t>ESAProjekt Sp. z o.o.</w:t>
            </w:r>
          </w:p>
        </w:tc>
      </w:tr>
      <w:tr w:rsidR="00F175AA" w:rsidRPr="00765C97" w:rsidTr="00AC2917">
        <w:tc>
          <w:tcPr>
            <w:tcW w:w="3827" w:type="dxa"/>
          </w:tcPr>
          <w:p w:rsidR="00F175AA" w:rsidRPr="00765C97" w:rsidRDefault="00F175AA" w:rsidP="00AC2917">
            <w:pPr>
              <w:jc w:val="both"/>
              <w:rPr>
                <w:rFonts w:ascii="Arial" w:eastAsia="PMingLiU" w:hAnsi="Arial" w:cs="Arial"/>
                <w:sz w:val="20"/>
                <w:szCs w:val="20"/>
                <w:lang w:val="pl-PL"/>
              </w:rPr>
            </w:pPr>
            <w:r w:rsidRPr="00765C97">
              <w:rPr>
                <w:rFonts w:ascii="Arial" w:eastAsia="PMingLiU" w:hAnsi="Arial" w:cs="Arial"/>
                <w:b/>
                <w:sz w:val="20"/>
                <w:szCs w:val="20"/>
                <w:lang w:val="pl-PL"/>
              </w:rPr>
              <w:t>A:</w:t>
            </w:r>
            <w:r w:rsidRPr="00765C97">
              <w:rPr>
                <w:rFonts w:ascii="Arial" w:eastAsia="PMingLiU" w:hAnsi="Arial" w:cs="Arial"/>
                <w:sz w:val="20"/>
                <w:szCs w:val="20"/>
                <w:lang w:val="pl-PL"/>
              </w:rPr>
              <w:t xml:space="preserve"> </w:t>
            </w:r>
            <w:r w:rsidRPr="00765C97">
              <w:rPr>
                <w:rFonts w:ascii="Arial" w:hAnsi="Arial" w:cs="Arial"/>
                <w:b/>
                <w:bCs/>
                <w:color w:val="000000"/>
                <w:sz w:val="20"/>
                <w:szCs w:val="20"/>
                <w:lang w:val="pl-PL"/>
              </w:rPr>
              <w:t>Składniki aktywów wycenione do wartości godziwej</w:t>
            </w:r>
          </w:p>
        </w:tc>
        <w:tc>
          <w:tcPr>
            <w:tcW w:w="2268" w:type="dxa"/>
            <w:vAlign w:val="center"/>
          </w:tcPr>
          <w:p w:rsidR="00F175AA" w:rsidRPr="00765C97" w:rsidRDefault="00F175AA" w:rsidP="00AC2917">
            <w:pPr>
              <w:jc w:val="right"/>
              <w:rPr>
                <w:rFonts w:ascii="Arial" w:eastAsiaTheme="minorHAnsi" w:hAnsi="Arial" w:cs="Arial"/>
                <w:b/>
                <w:bCs/>
                <w:sz w:val="20"/>
                <w:szCs w:val="20"/>
              </w:rPr>
            </w:pPr>
            <w:r w:rsidRPr="00765C97">
              <w:rPr>
                <w:rFonts w:ascii="Arial" w:hAnsi="Arial" w:cs="Arial"/>
                <w:b/>
                <w:bCs/>
                <w:sz w:val="20"/>
                <w:szCs w:val="20"/>
              </w:rPr>
              <w:t>5 493</w:t>
            </w:r>
          </w:p>
        </w:tc>
        <w:tc>
          <w:tcPr>
            <w:tcW w:w="2268" w:type="dxa"/>
            <w:vAlign w:val="center"/>
          </w:tcPr>
          <w:p w:rsidR="00F175AA" w:rsidRPr="00765C97" w:rsidRDefault="00F175AA" w:rsidP="00AC2917">
            <w:pPr>
              <w:jc w:val="right"/>
              <w:rPr>
                <w:rFonts w:ascii="Arial" w:eastAsiaTheme="minorHAnsi" w:hAnsi="Arial" w:cs="Arial"/>
                <w:b/>
                <w:bCs/>
                <w:sz w:val="20"/>
                <w:szCs w:val="20"/>
              </w:rPr>
            </w:pPr>
            <w:r w:rsidRPr="00765C97">
              <w:rPr>
                <w:rFonts w:ascii="Arial" w:hAnsi="Arial" w:cs="Arial"/>
                <w:b/>
                <w:bCs/>
                <w:sz w:val="20"/>
                <w:szCs w:val="20"/>
              </w:rPr>
              <w:t>10 886</w:t>
            </w:r>
          </w:p>
        </w:tc>
      </w:tr>
      <w:tr w:rsidR="00F175AA" w:rsidRPr="00765C97" w:rsidTr="00AC2917">
        <w:tc>
          <w:tcPr>
            <w:tcW w:w="3827" w:type="dxa"/>
            <w:vAlign w:val="center"/>
          </w:tcPr>
          <w:p w:rsidR="00F175AA" w:rsidRPr="00765C97" w:rsidRDefault="00F175AA" w:rsidP="00AC2917">
            <w:pPr>
              <w:rPr>
                <w:rFonts w:ascii="Arial" w:eastAsiaTheme="minorHAnsi" w:hAnsi="Arial" w:cs="Arial"/>
                <w:i/>
                <w:color w:val="000000"/>
                <w:sz w:val="20"/>
                <w:szCs w:val="20"/>
                <w:lang w:val="pl-PL"/>
              </w:rPr>
            </w:pPr>
            <w:r w:rsidRPr="00765C97">
              <w:rPr>
                <w:rFonts w:ascii="Arial" w:hAnsi="Arial" w:cs="Arial"/>
                <w:i/>
                <w:color w:val="000000"/>
                <w:sz w:val="20"/>
                <w:szCs w:val="20"/>
                <w:lang w:val="pl-PL"/>
              </w:rPr>
              <w:t>w tym relacje z klientami</w:t>
            </w:r>
          </w:p>
        </w:tc>
        <w:tc>
          <w:tcPr>
            <w:tcW w:w="2268" w:type="dxa"/>
            <w:vAlign w:val="center"/>
          </w:tcPr>
          <w:p w:rsidR="00F175AA" w:rsidRPr="00765C97" w:rsidRDefault="00F175AA" w:rsidP="00AC2917">
            <w:pPr>
              <w:jc w:val="right"/>
              <w:rPr>
                <w:rFonts w:ascii="Arial" w:eastAsiaTheme="minorHAnsi" w:hAnsi="Arial" w:cs="Arial"/>
                <w:sz w:val="20"/>
                <w:szCs w:val="20"/>
              </w:rPr>
            </w:pPr>
            <w:r w:rsidRPr="00765C97">
              <w:rPr>
                <w:rFonts w:ascii="Arial" w:hAnsi="Arial" w:cs="Arial"/>
                <w:sz w:val="20"/>
                <w:szCs w:val="20"/>
              </w:rPr>
              <w:t>3 005</w:t>
            </w:r>
          </w:p>
        </w:tc>
        <w:tc>
          <w:tcPr>
            <w:tcW w:w="2268" w:type="dxa"/>
            <w:vAlign w:val="center"/>
          </w:tcPr>
          <w:p w:rsidR="00F175AA" w:rsidRPr="00765C97" w:rsidRDefault="00F175AA" w:rsidP="00AC2917">
            <w:pPr>
              <w:jc w:val="right"/>
              <w:rPr>
                <w:rFonts w:ascii="Arial" w:eastAsiaTheme="minorHAnsi" w:hAnsi="Arial" w:cs="Arial"/>
                <w:sz w:val="20"/>
                <w:szCs w:val="20"/>
              </w:rPr>
            </w:pPr>
            <w:r w:rsidRPr="00765C97">
              <w:rPr>
                <w:rFonts w:ascii="Arial" w:hAnsi="Arial" w:cs="Arial"/>
                <w:sz w:val="20"/>
                <w:szCs w:val="20"/>
              </w:rPr>
              <w:t>-</w:t>
            </w:r>
          </w:p>
        </w:tc>
      </w:tr>
      <w:tr w:rsidR="00F175AA" w:rsidRPr="00765C97" w:rsidTr="00AC2917">
        <w:tc>
          <w:tcPr>
            <w:tcW w:w="3827" w:type="dxa"/>
            <w:vAlign w:val="center"/>
          </w:tcPr>
          <w:p w:rsidR="00F175AA" w:rsidRPr="00765C97" w:rsidRDefault="00F175AA" w:rsidP="00AC2917">
            <w:pPr>
              <w:rPr>
                <w:rFonts w:ascii="Arial" w:eastAsiaTheme="minorHAnsi" w:hAnsi="Arial" w:cs="Arial"/>
                <w:i/>
                <w:color w:val="000000"/>
                <w:sz w:val="20"/>
                <w:szCs w:val="20"/>
                <w:lang w:val="pl-PL"/>
              </w:rPr>
            </w:pPr>
            <w:r w:rsidRPr="00765C97">
              <w:rPr>
                <w:rFonts w:ascii="Arial" w:hAnsi="Arial" w:cs="Arial"/>
                <w:i/>
                <w:color w:val="000000"/>
                <w:sz w:val="20"/>
                <w:szCs w:val="20"/>
                <w:lang w:val="pl-PL"/>
              </w:rPr>
              <w:t>w tym wartość wycenionego oprogramowania</w:t>
            </w:r>
          </w:p>
        </w:tc>
        <w:tc>
          <w:tcPr>
            <w:tcW w:w="2268" w:type="dxa"/>
            <w:vAlign w:val="center"/>
          </w:tcPr>
          <w:p w:rsidR="00F175AA" w:rsidRPr="00765C97" w:rsidRDefault="00F175AA" w:rsidP="00AC2917">
            <w:pPr>
              <w:jc w:val="right"/>
              <w:rPr>
                <w:rFonts w:ascii="Arial" w:eastAsiaTheme="minorHAnsi" w:hAnsi="Arial" w:cs="Arial"/>
                <w:sz w:val="20"/>
                <w:szCs w:val="20"/>
              </w:rPr>
            </w:pPr>
            <w:r w:rsidRPr="00765C97">
              <w:rPr>
                <w:rFonts w:ascii="Arial" w:hAnsi="Arial" w:cs="Arial"/>
                <w:sz w:val="20"/>
                <w:szCs w:val="20"/>
              </w:rPr>
              <w:t>2 488</w:t>
            </w:r>
          </w:p>
        </w:tc>
        <w:tc>
          <w:tcPr>
            <w:tcW w:w="2268" w:type="dxa"/>
            <w:vAlign w:val="center"/>
          </w:tcPr>
          <w:p w:rsidR="00F175AA" w:rsidRPr="00765C97" w:rsidRDefault="00F175AA" w:rsidP="00AC2917">
            <w:pPr>
              <w:jc w:val="right"/>
              <w:rPr>
                <w:rFonts w:ascii="Arial" w:eastAsiaTheme="minorHAnsi" w:hAnsi="Arial" w:cs="Arial"/>
                <w:sz w:val="20"/>
                <w:szCs w:val="20"/>
              </w:rPr>
            </w:pPr>
            <w:r w:rsidRPr="00765C97">
              <w:rPr>
                <w:rFonts w:ascii="Arial" w:hAnsi="Arial" w:cs="Arial"/>
                <w:sz w:val="20"/>
                <w:szCs w:val="20"/>
              </w:rPr>
              <w:t>10 886</w:t>
            </w:r>
          </w:p>
        </w:tc>
      </w:tr>
      <w:tr w:rsidR="00F175AA" w:rsidRPr="00765C97" w:rsidTr="00AC2917">
        <w:tc>
          <w:tcPr>
            <w:tcW w:w="3827" w:type="dxa"/>
            <w:vAlign w:val="center"/>
          </w:tcPr>
          <w:p w:rsidR="00F175AA" w:rsidRPr="00765C97" w:rsidRDefault="00F175AA" w:rsidP="00AC2917">
            <w:pPr>
              <w:rPr>
                <w:rFonts w:ascii="Arial" w:eastAsiaTheme="minorHAnsi" w:hAnsi="Arial" w:cs="Arial"/>
                <w:b/>
                <w:bCs/>
                <w:color w:val="000000"/>
                <w:sz w:val="20"/>
                <w:szCs w:val="20"/>
                <w:lang w:val="pl-PL"/>
              </w:rPr>
            </w:pPr>
            <w:r w:rsidRPr="00765C97">
              <w:rPr>
                <w:rFonts w:ascii="Arial" w:hAnsi="Arial" w:cs="Arial"/>
                <w:b/>
                <w:bCs/>
                <w:color w:val="000000"/>
                <w:sz w:val="20"/>
                <w:szCs w:val="20"/>
                <w:lang w:val="pl-PL"/>
              </w:rPr>
              <w:t>B: Zobowiązania wycenione do wartości godziwej</w:t>
            </w:r>
          </w:p>
        </w:tc>
        <w:tc>
          <w:tcPr>
            <w:tcW w:w="2268" w:type="dxa"/>
            <w:vAlign w:val="center"/>
          </w:tcPr>
          <w:p w:rsidR="00F175AA" w:rsidRPr="00765C97" w:rsidRDefault="00F175AA" w:rsidP="00AC2917">
            <w:pPr>
              <w:jc w:val="right"/>
              <w:rPr>
                <w:rFonts w:ascii="Arial" w:eastAsiaTheme="minorHAnsi" w:hAnsi="Arial" w:cs="Arial"/>
                <w:b/>
                <w:bCs/>
                <w:sz w:val="20"/>
                <w:szCs w:val="20"/>
              </w:rPr>
            </w:pPr>
            <w:r w:rsidRPr="00765C97">
              <w:rPr>
                <w:rFonts w:ascii="Arial" w:hAnsi="Arial" w:cs="Arial"/>
                <w:b/>
                <w:bCs/>
                <w:sz w:val="20"/>
                <w:szCs w:val="20"/>
              </w:rPr>
              <w:t>525</w:t>
            </w:r>
          </w:p>
        </w:tc>
        <w:tc>
          <w:tcPr>
            <w:tcW w:w="2268" w:type="dxa"/>
            <w:vAlign w:val="center"/>
          </w:tcPr>
          <w:p w:rsidR="00F175AA" w:rsidRPr="00765C97" w:rsidRDefault="00F175AA" w:rsidP="00AC2917">
            <w:pPr>
              <w:jc w:val="right"/>
              <w:rPr>
                <w:rFonts w:ascii="Arial" w:eastAsiaTheme="minorHAnsi" w:hAnsi="Arial" w:cs="Arial"/>
                <w:b/>
                <w:bCs/>
                <w:sz w:val="20"/>
                <w:szCs w:val="20"/>
              </w:rPr>
            </w:pPr>
            <w:r w:rsidRPr="00765C97">
              <w:rPr>
                <w:rFonts w:ascii="Arial" w:hAnsi="Arial" w:cs="Arial"/>
                <w:b/>
                <w:bCs/>
                <w:sz w:val="20"/>
                <w:szCs w:val="20"/>
              </w:rPr>
              <w:t>2 012</w:t>
            </w:r>
          </w:p>
        </w:tc>
      </w:tr>
      <w:tr w:rsidR="00F175AA" w:rsidRPr="00765C97" w:rsidTr="00AC2917">
        <w:tc>
          <w:tcPr>
            <w:tcW w:w="3827" w:type="dxa"/>
            <w:vAlign w:val="center"/>
          </w:tcPr>
          <w:p w:rsidR="00F175AA" w:rsidRPr="00765C97" w:rsidRDefault="00F175AA" w:rsidP="00AC2917">
            <w:pPr>
              <w:rPr>
                <w:rFonts w:ascii="Arial" w:eastAsiaTheme="minorHAnsi" w:hAnsi="Arial" w:cs="Arial"/>
                <w:i/>
                <w:color w:val="000000"/>
                <w:sz w:val="20"/>
                <w:szCs w:val="20"/>
                <w:lang w:val="pl-PL"/>
              </w:rPr>
            </w:pPr>
            <w:r w:rsidRPr="00765C97">
              <w:rPr>
                <w:rFonts w:ascii="Arial" w:hAnsi="Arial" w:cs="Arial"/>
                <w:i/>
                <w:color w:val="000000"/>
                <w:sz w:val="20"/>
                <w:szCs w:val="20"/>
                <w:lang w:val="pl-PL"/>
              </w:rPr>
              <w:t>w tym rezerwa na podatek odroczony od ujawnionych aktywów</w:t>
            </w:r>
          </w:p>
        </w:tc>
        <w:tc>
          <w:tcPr>
            <w:tcW w:w="2268" w:type="dxa"/>
            <w:vAlign w:val="center"/>
          </w:tcPr>
          <w:p w:rsidR="00F175AA" w:rsidRPr="00765C97" w:rsidRDefault="00F175AA" w:rsidP="00AC2917">
            <w:pPr>
              <w:jc w:val="right"/>
              <w:rPr>
                <w:rFonts w:ascii="Arial" w:eastAsiaTheme="minorHAnsi" w:hAnsi="Arial" w:cs="Arial"/>
                <w:sz w:val="20"/>
                <w:szCs w:val="20"/>
              </w:rPr>
            </w:pPr>
            <w:r w:rsidRPr="00765C97">
              <w:rPr>
                <w:rFonts w:ascii="Arial" w:hAnsi="Arial" w:cs="Arial"/>
                <w:sz w:val="20"/>
                <w:szCs w:val="20"/>
              </w:rPr>
              <w:t>525</w:t>
            </w:r>
          </w:p>
        </w:tc>
        <w:tc>
          <w:tcPr>
            <w:tcW w:w="2268" w:type="dxa"/>
            <w:vAlign w:val="center"/>
          </w:tcPr>
          <w:p w:rsidR="00F175AA" w:rsidRPr="00765C97" w:rsidRDefault="00F175AA" w:rsidP="00AC2917">
            <w:pPr>
              <w:jc w:val="right"/>
              <w:rPr>
                <w:rFonts w:ascii="Arial" w:eastAsiaTheme="minorHAnsi" w:hAnsi="Arial" w:cs="Arial"/>
                <w:sz w:val="20"/>
                <w:szCs w:val="20"/>
              </w:rPr>
            </w:pPr>
            <w:r w:rsidRPr="00765C97">
              <w:rPr>
                <w:rFonts w:ascii="Arial" w:hAnsi="Arial" w:cs="Arial"/>
                <w:sz w:val="20"/>
                <w:szCs w:val="20"/>
              </w:rPr>
              <w:t>2 012</w:t>
            </w:r>
          </w:p>
        </w:tc>
      </w:tr>
      <w:tr w:rsidR="00F175AA" w:rsidRPr="00765C97" w:rsidTr="00AC2917">
        <w:tc>
          <w:tcPr>
            <w:tcW w:w="3827" w:type="dxa"/>
            <w:vAlign w:val="center"/>
          </w:tcPr>
          <w:p w:rsidR="00F175AA" w:rsidRPr="00765C97" w:rsidRDefault="00F175AA" w:rsidP="00AC2917">
            <w:pPr>
              <w:rPr>
                <w:rFonts w:ascii="Arial" w:eastAsiaTheme="minorHAnsi" w:hAnsi="Arial" w:cs="Arial"/>
                <w:b/>
                <w:bCs/>
                <w:color w:val="000000"/>
                <w:sz w:val="20"/>
                <w:szCs w:val="20"/>
                <w:lang w:val="pl-PL"/>
              </w:rPr>
            </w:pPr>
            <w:r w:rsidRPr="00765C97">
              <w:rPr>
                <w:rFonts w:ascii="Arial" w:hAnsi="Arial" w:cs="Arial"/>
                <w:b/>
                <w:bCs/>
                <w:color w:val="000000"/>
                <w:sz w:val="20"/>
                <w:szCs w:val="20"/>
                <w:lang w:val="pl-PL"/>
              </w:rPr>
              <w:t>C: Zrealizowana zapłata ceny</w:t>
            </w:r>
          </w:p>
        </w:tc>
        <w:tc>
          <w:tcPr>
            <w:tcW w:w="2268" w:type="dxa"/>
            <w:vAlign w:val="center"/>
          </w:tcPr>
          <w:p w:rsidR="00F175AA" w:rsidRPr="00765C97" w:rsidRDefault="00F175AA" w:rsidP="00AC2917">
            <w:pPr>
              <w:jc w:val="right"/>
              <w:rPr>
                <w:rFonts w:ascii="Arial" w:eastAsiaTheme="minorHAnsi" w:hAnsi="Arial" w:cs="Arial"/>
                <w:b/>
                <w:bCs/>
                <w:sz w:val="20"/>
                <w:szCs w:val="20"/>
              </w:rPr>
            </w:pPr>
            <w:r w:rsidRPr="00765C97">
              <w:rPr>
                <w:rFonts w:ascii="Arial" w:hAnsi="Arial" w:cs="Arial"/>
                <w:b/>
                <w:bCs/>
                <w:sz w:val="20"/>
                <w:szCs w:val="20"/>
              </w:rPr>
              <w:t>8 548</w:t>
            </w:r>
          </w:p>
        </w:tc>
        <w:tc>
          <w:tcPr>
            <w:tcW w:w="2268" w:type="dxa"/>
            <w:vAlign w:val="center"/>
          </w:tcPr>
          <w:p w:rsidR="00F175AA" w:rsidRPr="00765C97" w:rsidRDefault="00F175AA" w:rsidP="00AC2917">
            <w:pPr>
              <w:jc w:val="right"/>
              <w:rPr>
                <w:rFonts w:ascii="Arial" w:eastAsiaTheme="minorHAnsi" w:hAnsi="Arial" w:cs="Arial"/>
                <w:b/>
                <w:bCs/>
                <w:sz w:val="20"/>
                <w:szCs w:val="20"/>
              </w:rPr>
            </w:pPr>
            <w:r w:rsidRPr="00765C97">
              <w:rPr>
                <w:rFonts w:ascii="Arial" w:hAnsi="Arial" w:cs="Arial"/>
                <w:b/>
                <w:bCs/>
                <w:sz w:val="20"/>
                <w:szCs w:val="20"/>
              </w:rPr>
              <w:t>12 200</w:t>
            </w:r>
          </w:p>
        </w:tc>
      </w:tr>
      <w:tr w:rsidR="00F175AA" w:rsidRPr="00765C97" w:rsidTr="00AC2917">
        <w:tc>
          <w:tcPr>
            <w:tcW w:w="3827" w:type="dxa"/>
            <w:vAlign w:val="center"/>
          </w:tcPr>
          <w:p w:rsidR="00F175AA" w:rsidRPr="00765C97" w:rsidRDefault="00F175AA" w:rsidP="00AC2917">
            <w:pPr>
              <w:rPr>
                <w:rFonts w:ascii="Arial" w:eastAsiaTheme="minorHAnsi" w:hAnsi="Arial" w:cs="Arial"/>
                <w:b/>
                <w:bCs/>
                <w:color w:val="000000"/>
                <w:sz w:val="20"/>
                <w:szCs w:val="20"/>
                <w:lang w:val="pl-PL"/>
              </w:rPr>
            </w:pPr>
            <w:r w:rsidRPr="00765C97">
              <w:rPr>
                <w:rFonts w:ascii="Arial" w:hAnsi="Arial" w:cs="Arial"/>
                <w:b/>
                <w:bCs/>
                <w:color w:val="000000"/>
                <w:sz w:val="20"/>
                <w:szCs w:val="20"/>
                <w:lang w:val="pl-PL"/>
              </w:rPr>
              <w:t>Różnica (C-A+B) odniesiona jako wartość firmy</w:t>
            </w:r>
          </w:p>
        </w:tc>
        <w:tc>
          <w:tcPr>
            <w:tcW w:w="2268" w:type="dxa"/>
            <w:vAlign w:val="center"/>
          </w:tcPr>
          <w:p w:rsidR="00F175AA" w:rsidRPr="00765C97" w:rsidRDefault="00F175AA" w:rsidP="00AC2917">
            <w:pPr>
              <w:jc w:val="right"/>
              <w:rPr>
                <w:rFonts w:ascii="Arial" w:eastAsiaTheme="minorHAnsi" w:hAnsi="Arial" w:cs="Arial"/>
                <w:b/>
                <w:bCs/>
                <w:sz w:val="20"/>
                <w:szCs w:val="20"/>
              </w:rPr>
            </w:pPr>
            <w:r w:rsidRPr="00765C97">
              <w:rPr>
                <w:rFonts w:ascii="Arial" w:hAnsi="Arial" w:cs="Arial"/>
                <w:b/>
                <w:bCs/>
                <w:sz w:val="20"/>
                <w:szCs w:val="20"/>
              </w:rPr>
              <w:t>3 580</w:t>
            </w:r>
          </w:p>
        </w:tc>
        <w:tc>
          <w:tcPr>
            <w:tcW w:w="2268" w:type="dxa"/>
            <w:vAlign w:val="center"/>
          </w:tcPr>
          <w:p w:rsidR="00F175AA" w:rsidRPr="00765C97" w:rsidRDefault="00F175AA" w:rsidP="00AC2917">
            <w:pPr>
              <w:jc w:val="right"/>
              <w:rPr>
                <w:rFonts w:ascii="Arial" w:eastAsiaTheme="minorHAnsi" w:hAnsi="Arial" w:cs="Arial"/>
                <w:b/>
                <w:bCs/>
                <w:sz w:val="20"/>
                <w:szCs w:val="20"/>
              </w:rPr>
            </w:pPr>
            <w:r w:rsidRPr="00765C97">
              <w:rPr>
                <w:rFonts w:ascii="Arial" w:hAnsi="Arial" w:cs="Arial"/>
                <w:b/>
                <w:bCs/>
                <w:sz w:val="20"/>
                <w:szCs w:val="20"/>
              </w:rPr>
              <w:t>3 326</w:t>
            </w:r>
          </w:p>
        </w:tc>
      </w:tr>
    </w:tbl>
    <w:p w:rsidR="00F175AA" w:rsidRPr="00765C97" w:rsidRDefault="00F175AA" w:rsidP="00765E5F">
      <w:pPr>
        <w:jc w:val="both"/>
        <w:rPr>
          <w:rFonts w:ascii="Arial" w:hAnsi="Arial" w:cs="Arial"/>
          <w:sz w:val="20"/>
          <w:szCs w:val="20"/>
          <w:lang w:val="pl-PL"/>
        </w:rPr>
      </w:pPr>
    </w:p>
    <w:p w:rsidR="00F175AA" w:rsidRPr="00765C97" w:rsidRDefault="00F175AA" w:rsidP="00765E5F">
      <w:pPr>
        <w:jc w:val="both"/>
        <w:rPr>
          <w:rFonts w:ascii="Arial" w:hAnsi="Arial" w:cs="Arial"/>
          <w:sz w:val="20"/>
          <w:szCs w:val="20"/>
          <w:lang w:val="pl-PL"/>
        </w:rPr>
      </w:pPr>
    </w:p>
    <w:p w:rsidR="00FD283C" w:rsidRPr="00765C97" w:rsidRDefault="00FD283C" w:rsidP="00765E5F">
      <w:pPr>
        <w:jc w:val="both"/>
        <w:rPr>
          <w:rFonts w:ascii="Arial" w:hAnsi="Arial" w:cs="Arial"/>
          <w:sz w:val="20"/>
          <w:szCs w:val="20"/>
          <w:lang w:val="pl-PL"/>
        </w:rPr>
      </w:pPr>
      <w:r w:rsidRPr="00765C97">
        <w:rPr>
          <w:rFonts w:ascii="Arial" w:hAnsi="Arial" w:cs="Arial"/>
          <w:sz w:val="20"/>
          <w:szCs w:val="20"/>
          <w:lang w:val="pl-PL"/>
        </w:rPr>
        <w:t xml:space="preserve">Grupa </w:t>
      </w:r>
      <w:r w:rsidR="003F29D7" w:rsidRPr="00765C97">
        <w:rPr>
          <w:rFonts w:ascii="Arial" w:hAnsi="Arial" w:cs="Arial"/>
          <w:sz w:val="20"/>
          <w:szCs w:val="20"/>
          <w:lang w:val="pl-PL"/>
        </w:rPr>
        <w:t>Comarch  przeprowadziła na dzień 31 grudnia 2012 roku  test na utratę wartości firmy związanej z nabyciem Comarch Software und Beratung AG, który nie wykazał dalszej utraty wartości firmy. Wartość odzyskiwalna ośrodka wypracowującego środki pieniężne została ustalona w oparciu o jego wartość użytkową, oszacowaną przy pomocy metody zdyskontowanych przepływów pieniężnych DCF. Prognozowane przepływy pieniężne związane z działalnością Comarch SuB bazują na wynikach sprzedaży osiągniętych w roku 2012, budżecie Grupy Comarch SuB na rok 2013, prognozach na lata 2013-2016, na szacunkach dotyczących rozwoju rynku niemieckiego w kolejnych latach oraz na założeniu stałej stopy wzrostu 0,5% począwszy od roku 2017. Stopa dyskontowa zastosowana do oszacowania wartości bieżącej prognozowanych przepływów pieniężnych bazuje na średnim ważonym koszcie kapitału WACC. Poszczególne składniki WACC zostały oszacowane na podstawie danych rynkowych o stopie wolnej od ryzyka (rentowność bonów skarbowych), wartości współczynnika beta, danych o strukturze dług/kapitał oraz wartości oczekiwanej premii za ryzyko. Zastosowany w modelu wyceny średnioważony kosztu kapitału WACC wynosił  9,32%.</w:t>
      </w:r>
    </w:p>
    <w:p w:rsidR="00773331" w:rsidRPr="00765C97" w:rsidRDefault="00773331" w:rsidP="00765E5F">
      <w:pPr>
        <w:jc w:val="both"/>
        <w:rPr>
          <w:rFonts w:ascii="Arial" w:hAnsi="Arial" w:cs="Arial"/>
          <w:sz w:val="20"/>
          <w:szCs w:val="20"/>
          <w:lang w:val="pl-PL"/>
        </w:rPr>
      </w:pPr>
    </w:p>
    <w:p w:rsidR="00B7270A" w:rsidRPr="00765C97" w:rsidRDefault="00B7270A" w:rsidP="00B7270A">
      <w:pPr>
        <w:jc w:val="both"/>
        <w:rPr>
          <w:rFonts w:ascii="Arial" w:hAnsi="Arial" w:cs="Arial"/>
          <w:sz w:val="20"/>
          <w:szCs w:val="20"/>
          <w:lang w:val="pl-PL"/>
        </w:rPr>
      </w:pPr>
      <w:r w:rsidRPr="00765C97">
        <w:rPr>
          <w:rFonts w:ascii="Arial" w:hAnsi="Arial" w:cs="Arial"/>
          <w:sz w:val="20"/>
          <w:szCs w:val="20"/>
          <w:lang w:val="pl-PL"/>
        </w:rPr>
        <w:t xml:space="preserve">Na dzień 31 grudnia 2012 roku  Grupa Comarch  przeprowadziła także testy na utratę wartości firmy związanej z nabyciem spółek A-MEA Informatik AG oraz ESAProjekt Sp. z o.o., które nie wykazały utraty wartości firmy. Metodologia przeprowadzenia testów jest analogiczna do opisanej powyżej.  </w:t>
      </w:r>
    </w:p>
    <w:p w:rsidR="00B7270A" w:rsidRPr="00765C97" w:rsidRDefault="00B7270A" w:rsidP="00765E5F">
      <w:pPr>
        <w:jc w:val="both"/>
        <w:rPr>
          <w:rFonts w:ascii="Arial" w:hAnsi="Arial" w:cs="Arial"/>
          <w:sz w:val="20"/>
          <w:szCs w:val="20"/>
          <w:lang w:val="pl-PL"/>
        </w:rPr>
      </w:pPr>
    </w:p>
    <w:p w:rsidR="00FD283C" w:rsidRPr="00765C97" w:rsidRDefault="003F29D7" w:rsidP="00765E5F">
      <w:pPr>
        <w:jc w:val="both"/>
        <w:rPr>
          <w:rFonts w:ascii="Arial" w:hAnsi="Arial" w:cs="Arial"/>
          <w:sz w:val="20"/>
          <w:szCs w:val="20"/>
          <w:lang w:val="pl-PL"/>
        </w:rPr>
      </w:pPr>
      <w:r w:rsidRPr="00765C97">
        <w:rPr>
          <w:rFonts w:ascii="Arial" w:hAnsi="Arial" w:cs="Arial"/>
          <w:sz w:val="20"/>
          <w:szCs w:val="20"/>
          <w:lang w:val="pl-PL"/>
        </w:rPr>
        <w:t>Grupa traktuje segment IT obejmujący spółki Grupy Comarch przed przejęciem Grupy  Comarch Software und Beratung jako jeden ośrodek wypracowujący środki pieniężne, w związku z czym nie alokuje wartości firmy w kwocie 3 284 tys. zł powstałej w wyniku nabycia akcji spółek Comarch Kraków S.A., CDN Comarch S.A., Comarch Inc. oraz Comarch AG do poszczególnych spółek Grupy. Przeprowadzony na dzień 31 grudnia 2012 roku test na utratę wartości firmy związanej z tym segmentem nie wykazał wystąpienia utraty wartości. Wartość odzyskiwalna ośrodka wypracowującego środki pieniężne została ustalona w oparciu o jego wartość godziwą. Zarząd jednostki dominującej dokonał oszacowania wartości godziwej ośrodka poprzez analizę średniego wskaźnika P/E dla spółek sektora IT notowanych na Giełdzie Papierów Wartościowych w Warszawie i na tej podstawie ocenił szacunkową wartość rynkową segmentu IT w Grupie Comarch na dzień 31 grudnia 2012 r. Powyższe analizy nie wykazały, aby nastąpiła utrata wartości w odniesieniu do wartości firmy.</w:t>
      </w:r>
    </w:p>
    <w:p w:rsidR="00FD58AF" w:rsidRPr="00765C97" w:rsidRDefault="00FD58AF" w:rsidP="00765E5F">
      <w:pPr>
        <w:jc w:val="both"/>
        <w:rPr>
          <w:rFonts w:ascii="Arial" w:hAnsi="Arial" w:cs="Arial"/>
          <w:sz w:val="20"/>
          <w:szCs w:val="20"/>
          <w:lang w:val="pl-PL"/>
        </w:rPr>
      </w:pPr>
    </w:p>
    <w:p w:rsidR="00773331" w:rsidRPr="00765C97" w:rsidRDefault="00773331">
      <w:pPr>
        <w:widowControl/>
        <w:autoSpaceDE/>
        <w:autoSpaceDN/>
        <w:rPr>
          <w:sz w:val="20"/>
          <w:lang w:val="pl-PL"/>
        </w:rPr>
      </w:pPr>
    </w:p>
    <w:p w:rsidR="00D11CE7" w:rsidRPr="00765C97" w:rsidRDefault="00D11CE7">
      <w:pPr>
        <w:widowControl/>
        <w:autoSpaceDE/>
        <w:autoSpaceDN/>
        <w:rPr>
          <w:rFonts w:ascii="Arial" w:hAnsi="Arial" w:cs="Arial"/>
          <w:b/>
          <w:bCs/>
          <w:sz w:val="20"/>
          <w:szCs w:val="26"/>
          <w:lang w:val="pl-PL"/>
        </w:rPr>
      </w:pPr>
      <w:r w:rsidRPr="00765C97">
        <w:rPr>
          <w:sz w:val="20"/>
          <w:lang w:val="pl-PL"/>
        </w:rPr>
        <w:br w:type="page"/>
      </w:r>
    </w:p>
    <w:p w:rsidR="00B24DA9" w:rsidRPr="00765C97" w:rsidRDefault="00B24DA9" w:rsidP="00135A9A">
      <w:pPr>
        <w:pStyle w:val="Nagwek3"/>
        <w:numPr>
          <w:ilvl w:val="1"/>
          <w:numId w:val="22"/>
        </w:numPr>
        <w:spacing w:after="240"/>
        <w:ind w:left="709" w:hanging="567"/>
        <w:rPr>
          <w:sz w:val="20"/>
          <w:lang w:val="pl-PL"/>
        </w:rPr>
      </w:pPr>
      <w:bookmarkStart w:id="47" w:name="_Toc353973213"/>
      <w:r w:rsidRPr="00765C97">
        <w:rPr>
          <w:sz w:val="20"/>
          <w:lang w:val="pl-PL"/>
        </w:rPr>
        <w:t>Pozostałe wartości niematerialne</w:t>
      </w:r>
      <w:bookmarkEnd w:id="47"/>
    </w:p>
    <w:tbl>
      <w:tblPr>
        <w:tblW w:w="8647" w:type="dxa"/>
        <w:tblLayout w:type="fixed"/>
        <w:tblCellMar>
          <w:left w:w="0" w:type="dxa"/>
          <w:right w:w="0" w:type="dxa"/>
        </w:tblCellMar>
        <w:tblLook w:val="0000"/>
      </w:tblPr>
      <w:tblGrid>
        <w:gridCol w:w="2694"/>
        <w:gridCol w:w="1276"/>
        <w:gridCol w:w="1134"/>
        <w:gridCol w:w="1559"/>
        <w:gridCol w:w="992"/>
        <w:gridCol w:w="992"/>
      </w:tblGrid>
      <w:tr w:rsidR="00C362CD" w:rsidRPr="00765C97" w:rsidTr="00D11CE7">
        <w:trPr>
          <w:trHeight w:val="255"/>
        </w:trPr>
        <w:tc>
          <w:tcPr>
            <w:tcW w:w="2694" w:type="dxa"/>
            <w:tcBorders>
              <w:top w:val="nil"/>
              <w:left w:val="nil"/>
              <w:bottom w:val="nil"/>
              <w:right w:val="nil"/>
            </w:tcBorders>
          </w:tcPr>
          <w:p w:rsidR="00C362CD" w:rsidRPr="00765C97" w:rsidRDefault="00C362CD">
            <w:pPr>
              <w:pStyle w:val="Nagwek"/>
              <w:ind w:left="180"/>
              <w:rPr>
                <w:rFonts w:ascii="Arial" w:hAnsi="Arial"/>
                <w:sz w:val="20"/>
                <w:lang w:val="pl-PL"/>
              </w:rPr>
            </w:pPr>
          </w:p>
        </w:tc>
        <w:tc>
          <w:tcPr>
            <w:tcW w:w="1276" w:type="dxa"/>
            <w:tcBorders>
              <w:top w:val="nil"/>
              <w:left w:val="nil"/>
              <w:bottom w:val="nil"/>
              <w:right w:val="nil"/>
            </w:tcBorders>
            <w:vAlign w:val="center"/>
          </w:tcPr>
          <w:p w:rsidR="00C362CD" w:rsidRPr="00765C97" w:rsidRDefault="00C362CD" w:rsidP="00EC050C">
            <w:pPr>
              <w:jc w:val="right"/>
              <w:rPr>
                <w:rFonts w:ascii="Arial" w:hAnsi="Arial"/>
                <w:b/>
                <w:sz w:val="18"/>
                <w:lang w:val="pl-PL"/>
              </w:rPr>
            </w:pPr>
            <w:r w:rsidRPr="00765C97">
              <w:rPr>
                <w:rFonts w:ascii="Arial" w:hAnsi="Arial"/>
                <w:b/>
                <w:sz w:val="18"/>
                <w:lang w:val="pl-PL"/>
              </w:rPr>
              <w:t xml:space="preserve">Koszty zakończonych prac rozwojowych </w:t>
            </w:r>
          </w:p>
        </w:tc>
        <w:tc>
          <w:tcPr>
            <w:tcW w:w="1134" w:type="dxa"/>
            <w:tcBorders>
              <w:top w:val="nil"/>
              <w:left w:val="nil"/>
              <w:bottom w:val="nil"/>
              <w:right w:val="nil"/>
            </w:tcBorders>
            <w:vAlign w:val="center"/>
          </w:tcPr>
          <w:p w:rsidR="00C362CD" w:rsidRPr="00765C97" w:rsidRDefault="00C362CD" w:rsidP="00EC050C">
            <w:pPr>
              <w:jc w:val="right"/>
              <w:rPr>
                <w:rFonts w:ascii="Arial" w:hAnsi="Arial"/>
                <w:b/>
                <w:sz w:val="18"/>
                <w:lang w:val="pl-PL"/>
              </w:rPr>
            </w:pPr>
            <w:r w:rsidRPr="00765C97">
              <w:rPr>
                <w:rFonts w:ascii="Arial" w:hAnsi="Arial"/>
                <w:b/>
                <w:sz w:val="18"/>
                <w:lang w:val="pl-PL"/>
              </w:rPr>
              <w:t>Prawo wieczystego użytkowania</w:t>
            </w:r>
          </w:p>
        </w:tc>
        <w:tc>
          <w:tcPr>
            <w:tcW w:w="1559" w:type="dxa"/>
            <w:tcBorders>
              <w:top w:val="nil"/>
              <w:left w:val="nil"/>
              <w:bottom w:val="nil"/>
              <w:right w:val="nil"/>
            </w:tcBorders>
            <w:vAlign w:val="center"/>
          </w:tcPr>
          <w:p w:rsidR="00C362CD" w:rsidRPr="00765C97" w:rsidRDefault="00C362CD">
            <w:pPr>
              <w:jc w:val="right"/>
              <w:rPr>
                <w:rFonts w:ascii="Arial" w:hAnsi="Arial"/>
                <w:b/>
                <w:sz w:val="18"/>
                <w:lang w:val="pl-PL"/>
              </w:rPr>
            </w:pPr>
            <w:r w:rsidRPr="00765C97">
              <w:rPr>
                <w:rFonts w:ascii="Arial" w:hAnsi="Arial"/>
                <w:b/>
                <w:sz w:val="18"/>
                <w:lang w:val="pl-PL"/>
              </w:rPr>
              <w:t>Koncesje, licencje i oprogramowanie</w:t>
            </w:r>
          </w:p>
        </w:tc>
        <w:tc>
          <w:tcPr>
            <w:tcW w:w="992" w:type="dxa"/>
            <w:tcBorders>
              <w:top w:val="nil"/>
              <w:left w:val="nil"/>
              <w:bottom w:val="nil"/>
              <w:right w:val="nil"/>
            </w:tcBorders>
            <w:vAlign w:val="center"/>
          </w:tcPr>
          <w:p w:rsidR="00C362CD" w:rsidRPr="00765C97" w:rsidRDefault="00C362CD">
            <w:pPr>
              <w:jc w:val="right"/>
              <w:rPr>
                <w:rFonts w:ascii="Arial" w:hAnsi="Arial"/>
                <w:b/>
                <w:sz w:val="18"/>
                <w:lang w:val="pl-PL"/>
              </w:rPr>
            </w:pPr>
            <w:r w:rsidRPr="00765C97">
              <w:rPr>
                <w:rFonts w:ascii="Arial" w:hAnsi="Arial"/>
                <w:b/>
                <w:sz w:val="18"/>
                <w:lang w:val="pl-PL"/>
              </w:rPr>
              <w:t>Inne</w:t>
            </w:r>
          </w:p>
        </w:tc>
        <w:tc>
          <w:tcPr>
            <w:tcW w:w="992" w:type="dxa"/>
            <w:tcBorders>
              <w:top w:val="nil"/>
              <w:left w:val="nil"/>
              <w:bottom w:val="nil"/>
              <w:right w:val="nil"/>
            </w:tcBorders>
            <w:vAlign w:val="center"/>
          </w:tcPr>
          <w:p w:rsidR="00C362CD" w:rsidRPr="00765C97" w:rsidRDefault="00C362CD">
            <w:pPr>
              <w:jc w:val="right"/>
              <w:rPr>
                <w:rFonts w:ascii="Arial" w:hAnsi="Arial"/>
                <w:b/>
                <w:sz w:val="18"/>
                <w:lang w:val="pl-PL"/>
              </w:rPr>
            </w:pPr>
            <w:r w:rsidRPr="00765C97">
              <w:rPr>
                <w:rFonts w:ascii="Arial" w:hAnsi="Arial"/>
                <w:b/>
                <w:sz w:val="18"/>
                <w:lang w:val="pl-PL"/>
              </w:rPr>
              <w:t>Ogółem</w:t>
            </w:r>
          </w:p>
        </w:tc>
      </w:tr>
      <w:tr w:rsidR="002B0248" w:rsidRPr="00765C97" w:rsidTr="00D11CE7">
        <w:trPr>
          <w:trHeight w:val="255"/>
        </w:trPr>
        <w:tc>
          <w:tcPr>
            <w:tcW w:w="2694" w:type="dxa"/>
            <w:tcBorders>
              <w:top w:val="nil"/>
              <w:left w:val="nil"/>
              <w:bottom w:val="nil"/>
              <w:right w:val="nil"/>
            </w:tcBorders>
            <w:vAlign w:val="center"/>
          </w:tcPr>
          <w:p w:rsidR="002B0248" w:rsidRPr="00765C97" w:rsidRDefault="002B0248" w:rsidP="0032384B">
            <w:pPr>
              <w:rPr>
                <w:rFonts w:ascii="Arial" w:hAnsi="Arial"/>
                <w:b/>
                <w:sz w:val="20"/>
                <w:lang w:val="pl-PL"/>
              </w:rPr>
            </w:pPr>
            <w:r w:rsidRPr="00765C97">
              <w:rPr>
                <w:rFonts w:ascii="Arial" w:hAnsi="Arial"/>
                <w:b/>
                <w:sz w:val="20"/>
                <w:lang w:val="pl-PL"/>
              </w:rPr>
              <w:t>Stan na 1 stycznia 20</w:t>
            </w:r>
            <w:r w:rsidR="006A59F1" w:rsidRPr="00765C97">
              <w:rPr>
                <w:rFonts w:ascii="Arial" w:hAnsi="Arial"/>
                <w:b/>
                <w:sz w:val="20"/>
                <w:lang w:val="pl-PL"/>
              </w:rPr>
              <w:t>11</w:t>
            </w:r>
            <w:r w:rsidRPr="00765C97">
              <w:rPr>
                <w:rFonts w:ascii="Arial" w:hAnsi="Arial"/>
                <w:b/>
                <w:sz w:val="20"/>
                <w:lang w:val="pl-PL"/>
              </w:rPr>
              <w:t xml:space="preserve"> r.</w:t>
            </w:r>
          </w:p>
        </w:tc>
        <w:tc>
          <w:tcPr>
            <w:tcW w:w="1276" w:type="dxa"/>
            <w:tcBorders>
              <w:top w:val="nil"/>
              <w:left w:val="nil"/>
              <w:bottom w:val="nil"/>
              <w:right w:val="nil"/>
            </w:tcBorders>
            <w:vAlign w:val="center"/>
          </w:tcPr>
          <w:p w:rsidR="002B0248" w:rsidRPr="00765C97" w:rsidRDefault="002B0248" w:rsidP="0072215A">
            <w:pPr>
              <w:jc w:val="right"/>
              <w:rPr>
                <w:rFonts w:ascii="Arial" w:hAnsi="Arial"/>
                <w:b/>
                <w:sz w:val="20"/>
                <w:lang w:val="pl-PL"/>
              </w:rPr>
            </w:pPr>
          </w:p>
        </w:tc>
        <w:tc>
          <w:tcPr>
            <w:tcW w:w="1134" w:type="dxa"/>
            <w:tcBorders>
              <w:top w:val="nil"/>
              <w:left w:val="nil"/>
              <w:bottom w:val="nil"/>
              <w:right w:val="nil"/>
            </w:tcBorders>
            <w:vAlign w:val="center"/>
          </w:tcPr>
          <w:p w:rsidR="002B0248" w:rsidRPr="00765C97" w:rsidRDefault="002B0248" w:rsidP="0072215A">
            <w:pPr>
              <w:jc w:val="right"/>
              <w:rPr>
                <w:rFonts w:ascii="Arial" w:hAnsi="Arial"/>
                <w:b/>
                <w:sz w:val="20"/>
                <w:lang w:val="pl-PL"/>
              </w:rPr>
            </w:pPr>
          </w:p>
        </w:tc>
        <w:tc>
          <w:tcPr>
            <w:tcW w:w="1559" w:type="dxa"/>
            <w:tcBorders>
              <w:top w:val="nil"/>
              <w:left w:val="nil"/>
              <w:bottom w:val="nil"/>
              <w:right w:val="nil"/>
            </w:tcBorders>
            <w:vAlign w:val="center"/>
          </w:tcPr>
          <w:p w:rsidR="002B0248" w:rsidRPr="00765C97" w:rsidRDefault="002B0248" w:rsidP="0072215A">
            <w:pPr>
              <w:jc w:val="right"/>
              <w:rPr>
                <w:rFonts w:ascii="Arial" w:hAnsi="Arial"/>
                <w:b/>
                <w:sz w:val="20"/>
                <w:lang w:val="pl-PL"/>
              </w:rPr>
            </w:pPr>
          </w:p>
        </w:tc>
        <w:tc>
          <w:tcPr>
            <w:tcW w:w="992" w:type="dxa"/>
            <w:tcBorders>
              <w:top w:val="nil"/>
              <w:left w:val="nil"/>
              <w:bottom w:val="nil"/>
              <w:right w:val="nil"/>
            </w:tcBorders>
            <w:vAlign w:val="center"/>
          </w:tcPr>
          <w:p w:rsidR="002B0248" w:rsidRPr="00765C97" w:rsidRDefault="002B0248" w:rsidP="0072215A">
            <w:pPr>
              <w:jc w:val="right"/>
              <w:rPr>
                <w:rFonts w:ascii="Arial" w:hAnsi="Arial"/>
                <w:b/>
                <w:sz w:val="20"/>
                <w:lang w:val="pl-PL"/>
              </w:rPr>
            </w:pPr>
          </w:p>
        </w:tc>
        <w:tc>
          <w:tcPr>
            <w:tcW w:w="992" w:type="dxa"/>
            <w:tcBorders>
              <w:top w:val="nil"/>
              <w:left w:val="nil"/>
              <w:bottom w:val="nil"/>
              <w:right w:val="nil"/>
            </w:tcBorders>
            <w:vAlign w:val="center"/>
          </w:tcPr>
          <w:p w:rsidR="002B0248" w:rsidRPr="00765C97" w:rsidRDefault="002B0248" w:rsidP="0072215A">
            <w:pPr>
              <w:jc w:val="right"/>
              <w:rPr>
                <w:rFonts w:ascii="Arial" w:hAnsi="Arial"/>
                <w:b/>
                <w:sz w:val="20"/>
                <w:lang w:val="pl-PL"/>
              </w:rPr>
            </w:pPr>
          </w:p>
        </w:tc>
      </w:tr>
      <w:tr w:rsidR="006A59F1" w:rsidRPr="00765C97" w:rsidTr="00D11CE7">
        <w:trPr>
          <w:trHeight w:val="255"/>
        </w:trPr>
        <w:tc>
          <w:tcPr>
            <w:tcW w:w="2694" w:type="dxa"/>
            <w:tcBorders>
              <w:top w:val="nil"/>
              <w:left w:val="nil"/>
              <w:bottom w:val="nil"/>
              <w:right w:val="nil"/>
            </w:tcBorders>
            <w:vAlign w:val="center"/>
          </w:tcPr>
          <w:p w:rsidR="006A59F1" w:rsidRPr="00765C97" w:rsidRDefault="006A59F1" w:rsidP="0032384B">
            <w:pPr>
              <w:rPr>
                <w:rFonts w:ascii="Arial" w:hAnsi="Arial"/>
                <w:color w:val="000000"/>
                <w:sz w:val="20"/>
                <w:lang w:val="pl-PL"/>
              </w:rPr>
            </w:pPr>
            <w:r w:rsidRPr="00765C97">
              <w:rPr>
                <w:rFonts w:ascii="Arial" w:hAnsi="Arial"/>
                <w:color w:val="000000"/>
                <w:sz w:val="20"/>
                <w:lang w:val="pl-PL"/>
              </w:rPr>
              <w:t>Koszt (brutto)</w:t>
            </w:r>
          </w:p>
        </w:tc>
        <w:tc>
          <w:tcPr>
            <w:tcW w:w="1276" w:type="dxa"/>
            <w:tcBorders>
              <w:top w:val="nil"/>
              <w:left w:val="nil"/>
              <w:bottom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2 057</w:t>
            </w:r>
          </w:p>
        </w:tc>
        <w:tc>
          <w:tcPr>
            <w:tcW w:w="1134" w:type="dxa"/>
            <w:tcBorders>
              <w:top w:val="nil"/>
              <w:left w:val="nil"/>
              <w:bottom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39 313</w:t>
            </w:r>
          </w:p>
        </w:tc>
        <w:tc>
          <w:tcPr>
            <w:tcW w:w="1559" w:type="dxa"/>
            <w:tcBorders>
              <w:top w:val="nil"/>
              <w:left w:val="nil"/>
              <w:bottom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86 963</w:t>
            </w:r>
          </w:p>
        </w:tc>
        <w:tc>
          <w:tcPr>
            <w:tcW w:w="992" w:type="dxa"/>
            <w:tcBorders>
              <w:top w:val="nil"/>
              <w:left w:val="nil"/>
              <w:bottom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11 033</w:t>
            </w:r>
          </w:p>
        </w:tc>
        <w:tc>
          <w:tcPr>
            <w:tcW w:w="992" w:type="dxa"/>
            <w:tcBorders>
              <w:top w:val="nil"/>
              <w:left w:val="nil"/>
              <w:bottom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139 366</w:t>
            </w:r>
          </w:p>
        </w:tc>
      </w:tr>
      <w:tr w:rsidR="006A59F1" w:rsidRPr="00765C97" w:rsidTr="00D11CE7">
        <w:trPr>
          <w:trHeight w:val="255"/>
        </w:trPr>
        <w:tc>
          <w:tcPr>
            <w:tcW w:w="2694" w:type="dxa"/>
            <w:tcBorders>
              <w:top w:val="nil"/>
              <w:left w:val="nil"/>
              <w:bottom w:val="nil"/>
              <w:right w:val="nil"/>
            </w:tcBorders>
            <w:vAlign w:val="center"/>
          </w:tcPr>
          <w:p w:rsidR="006A59F1" w:rsidRPr="00765C97" w:rsidRDefault="006A59F1" w:rsidP="0032384B">
            <w:pPr>
              <w:rPr>
                <w:rFonts w:ascii="Arial" w:hAnsi="Arial"/>
                <w:color w:val="000000"/>
                <w:sz w:val="20"/>
                <w:lang w:val="pl-PL"/>
              </w:rPr>
            </w:pPr>
            <w:r w:rsidRPr="00765C97">
              <w:rPr>
                <w:rFonts w:ascii="Arial" w:hAnsi="Arial"/>
                <w:color w:val="000000"/>
                <w:sz w:val="20"/>
                <w:lang w:val="pl-PL"/>
              </w:rPr>
              <w:t>Umorzenie i łączne dotychczasowe odpisy z tytułu utraty wartości</w:t>
            </w:r>
          </w:p>
        </w:tc>
        <w:tc>
          <w:tcPr>
            <w:tcW w:w="1276" w:type="dxa"/>
            <w:tcBorders>
              <w:top w:val="nil"/>
              <w:left w:val="nil"/>
              <w:bottom w:val="single" w:sz="4" w:space="0" w:color="auto"/>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(2 057)</w:t>
            </w:r>
          </w:p>
        </w:tc>
        <w:tc>
          <w:tcPr>
            <w:tcW w:w="1134" w:type="dxa"/>
            <w:tcBorders>
              <w:top w:val="nil"/>
              <w:left w:val="nil"/>
              <w:bottom w:val="single" w:sz="4" w:space="0" w:color="auto"/>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w:t>
            </w:r>
          </w:p>
        </w:tc>
        <w:tc>
          <w:tcPr>
            <w:tcW w:w="1559" w:type="dxa"/>
            <w:tcBorders>
              <w:top w:val="nil"/>
              <w:left w:val="nil"/>
              <w:bottom w:val="single" w:sz="4" w:space="0" w:color="auto"/>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(52 513)</w:t>
            </w:r>
          </w:p>
        </w:tc>
        <w:tc>
          <w:tcPr>
            <w:tcW w:w="992" w:type="dxa"/>
            <w:tcBorders>
              <w:top w:val="nil"/>
              <w:left w:val="nil"/>
              <w:bottom w:val="single" w:sz="4" w:space="0" w:color="auto"/>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(5 690)</w:t>
            </w:r>
          </w:p>
        </w:tc>
        <w:tc>
          <w:tcPr>
            <w:tcW w:w="992" w:type="dxa"/>
            <w:tcBorders>
              <w:top w:val="nil"/>
              <w:left w:val="nil"/>
              <w:bottom w:val="single" w:sz="4" w:space="0" w:color="auto"/>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(60 260)</w:t>
            </w:r>
          </w:p>
        </w:tc>
      </w:tr>
      <w:tr w:rsidR="006A59F1" w:rsidRPr="00765C97" w:rsidTr="00D11CE7">
        <w:trPr>
          <w:trHeight w:val="255"/>
        </w:trPr>
        <w:tc>
          <w:tcPr>
            <w:tcW w:w="2694" w:type="dxa"/>
            <w:tcBorders>
              <w:top w:val="nil"/>
              <w:left w:val="nil"/>
              <w:bottom w:val="nil"/>
              <w:right w:val="nil"/>
            </w:tcBorders>
            <w:vAlign w:val="center"/>
          </w:tcPr>
          <w:p w:rsidR="006A59F1" w:rsidRPr="00765C97" w:rsidRDefault="006A59F1" w:rsidP="0032384B">
            <w:pPr>
              <w:rPr>
                <w:rFonts w:ascii="Arial" w:hAnsi="Arial"/>
                <w:color w:val="000000"/>
                <w:sz w:val="20"/>
                <w:lang w:val="pl-PL"/>
              </w:rPr>
            </w:pPr>
            <w:r w:rsidRPr="00765C97">
              <w:rPr>
                <w:rFonts w:ascii="Arial" w:hAnsi="Arial"/>
                <w:color w:val="000000"/>
                <w:sz w:val="20"/>
                <w:lang w:val="pl-PL"/>
              </w:rPr>
              <w:t>Wartość księgowa netto</w:t>
            </w:r>
          </w:p>
        </w:tc>
        <w:tc>
          <w:tcPr>
            <w:tcW w:w="1276" w:type="dxa"/>
            <w:tcBorders>
              <w:top w:val="single" w:sz="4" w:space="0" w:color="auto"/>
              <w:left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w:t>
            </w:r>
          </w:p>
        </w:tc>
        <w:tc>
          <w:tcPr>
            <w:tcW w:w="1134" w:type="dxa"/>
            <w:tcBorders>
              <w:top w:val="single" w:sz="4" w:space="0" w:color="auto"/>
              <w:left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39 313</w:t>
            </w:r>
          </w:p>
        </w:tc>
        <w:tc>
          <w:tcPr>
            <w:tcW w:w="1559" w:type="dxa"/>
            <w:tcBorders>
              <w:top w:val="single" w:sz="4" w:space="0" w:color="auto"/>
              <w:left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34 450</w:t>
            </w:r>
          </w:p>
        </w:tc>
        <w:tc>
          <w:tcPr>
            <w:tcW w:w="992" w:type="dxa"/>
            <w:tcBorders>
              <w:top w:val="single" w:sz="4" w:space="0" w:color="auto"/>
              <w:left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5 343</w:t>
            </w:r>
          </w:p>
        </w:tc>
        <w:tc>
          <w:tcPr>
            <w:tcW w:w="992" w:type="dxa"/>
            <w:tcBorders>
              <w:top w:val="single" w:sz="4" w:space="0" w:color="auto"/>
              <w:left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79 106</w:t>
            </w:r>
          </w:p>
        </w:tc>
      </w:tr>
      <w:tr w:rsidR="0032384B" w:rsidRPr="00765C97" w:rsidTr="00D11CE7">
        <w:trPr>
          <w:trHeight w:val="255"/>
        </w:trPr>
        <w:tc>
          <w:tcPr>
            <w:tcW w:w="2694" w:type="dxa"/>
            <w:tcBorders>
              <w:top w:val="nil"/>
              <w:left w:val="nil"/>
              <w:bottom w:val="nil"/>
              <w:right w:val="nil"/>
            </w:tcBorders>
            <w:vAlign w:val="center"/>
          </w:tcPr>
          <w:p w:rsidR="0032384B" w:rsidRPr="00765C97" w:rsidRDefault="006A59F1" w:rsidP="0032384B">
            <w:pPr>
              <w:rPr>
                <w:rFonts w:ascii="Arial" w:hAnsi="Arial"/>
                <w:b/>
                <w:sz w:val="20"/>
                <w:lang w:val="pl-PL"/>
              </w:rPr>
            </w:pPr>
            <w:r w:rsidRPr="00765C97">
              <w:rPr>
                <w:rFonts w:ascii="Arial" w:hAnsi="Arial"/>
                <w:b/>
                <w:sz w:val="20"/>
                <w:lang w:val="pl-PL"/>
              </w:rPr>
              <w:t>Rok obrotowy 2011</w:t>
            </w:r>
          </w:p>
        </w:tc>
        <w:tc>
          <w:tcPr>
            <w:tcW w:w="1276" w:type="dxa"/>
            <w:tcBorders>
              <w:left w:val="nil"/>
              <w:bottom w:val="single" w:sz="4" w:space="0" w:color="auto"/>
              <w:right w:val="nil"/>
            </w:tcBorders>
            <w:vAlign w:val="center"/>
          </w:tcPr>
          <w:p w:rsidR="0032384B" w:rsidRPr="00765C97" w:rsidRDefault="0032384B" w:rsidP="0032384B">
            <w:pPr>
              <w:jc w:val="right"/>
              <w:rPr>
                <w:rFonts w:ascii="Arial" w:hAnsi="Arial"/>
                <w:b/>
                <w:sz w:val="20"/>
                <w:lang w:val="pl-PL"/>
              </w:rPr>
            </w:pPr>
          </w:p>
        </w:tc>
        <w:tc>
          <w:tcPr>
            <w:tcW w:w="1134" w:type="dxa"/>
            <w:tcBorders>
              <w:left w:val="nil"/>
              <w:bottom w:val="single" w:sz="4" w:space="0" w:color="auto"/>
              <w:right w:val="nil"/>
            </w:tcBorders>
            <w:vAlign w:val="center"/>
          </w:tcPr>
          <w:p w:rsidR="0032384B" w:rsidRPr="00765C97" w:rsidRDefault="0032384B" w:rsidP="0032384B">
            <w:pPr>
              <w:jc w:val="right"/>
              <w:rPr>
                <w:rFonts w:ascii="Arial" w:hAnsi="Arial"/>
                <w:b/>
                <w:sz w:val="20"/>
                <w:lang w:val="pl-PL"/>
              </w:rPr>
            </w:pPr>
          </w:p>
        </w:tc>
        <w:tc>
          <w:tcPr>
            <w:tcW w:w="1559" w:type="dxa"/>
            <w:tcBorders>
              <w:left w:val="nil"/>
              <w:bottom w:val="single" w:sz="4" w:space="0" w:color="auto"/>
              <w:right w:val="nil"/>
            </w:tcBorders>
            <w:vAlign w:val="center"/>
          </w:tcPr>
          <w:p w:rsidR="0032384B" w:rsidRPr="00765C97" w:rsidRDefault="0032384B" w:rsidP="0032384B">
            <w:pPr>
              <w:jc w:val="right"/>
              <w:rPr>
                <w:rFonts w:ascii="Arial" w:hAnsi="Arial"/>
                <w:b/>
                <w:sz w:val="20"/>
                <w:lang w:val="pl-PL"/>
              </w:rPr>
            </w:pPr>
          </w:p>
        </w:tc>
        <w:tc>
          <w:tcPr>
            <w:tcW w:w="992" w:type="dxa"/>
            <w:tcBorders>
              <w:left w:val="nil"/>
              <w:bottom w:val="single" w:sz="4" w:space="0" w:color="auto"/>
              <w:right w:val="nil"/>
            </w:tcBorders>
            <w:vAlign w:val="center"/>
          </w:tcPr>
          <w:p w:rsidR="0032384B" w:rsidRPr="00765C97" w:rsidRDefault="0032384B" w:rsidP="0032384B">
            <w:pPr>
              <w:jc w:val="right"/>
              <w:rPr>
                <w:rFonts w:ascii="Arial" w:hAnsi="Arial"/>
                <w:b/>
                <w:sz w:val="20"/>
                <w:lang w:val="pl-PL"/>
              </w:rPr>
            </w:pPr>
          </w:p>
        </w:tc>
        <w:tc>
          <w:tcPr>
            <w:tcW w:w="992" w:type="dxa"/>
            <w:tcBorders>
              <w:left w:val="nil"/>
              <w:bottom w:val="single" w:sz="4" w:space="0" w:color="auto"/>
              <w:right w:val="nil"/>
            </w:tcBorders>
            <w:vAlign w:val="center"/>
          </w:tcPr>
          <w:p w:rsidR="0032384B" w:rsidRPr="00765C97" w:rsidRDefault="0032384B" w:rsidP="0032384B">
            <w:pPr>
              <w:jc w:val="right"/>
              <w:rPr>
                <w:rFonts w:ascii="Arial" w:hAnsi="Arial"/>
                <w:b/>
                <w:sz w:val="20"/>
                <w:lang w:val="pl-PL"/>
              </w:rPr>
            </w:pPr>
          </w:p>
        </w:tc>
      </w:tr>
      <w:tr w:rsidR="006A59F1" w:rsidRPr="00765C97" w:rsidTr="00D11CE7">
        <w:trPr>
          <w:trHeight w:val="255"/>
        </w:trPr>
        <w:tc>
          <w:tcPr>
            <w:tcW w:w="2694" w:type="dxa"/>
            <w:tcBorders>
              <w:top w:val="nil"/>
              <w:left w:val="nil"/>
              <w:bottom w:val="nil"/>
              <w:right w:val="nil"/>
            </w:tcBorders>
            <w:vAlign w:val="center"/>
          </w:tcPr>
          <w:p w:rsidR="006A59F1" w:rsidRPr="00765C97" w:rsidRDefault="006A59F1" w:rsidP="0032384B">
            <w:pPr>
              <w:rPr>
                <w:rFonts w:ascii="Arial" w:hAnsi="Arial"/>
                <w:color w:val="000000"/>
                <w:sz w:val="20"/>
                <w:lang w:val="pl-PL"/>
              </w:rPr>
            </w:pPr>
            <w:r w:rsidRPr="00765C97">
              <w:rPr>
                <w:rFonts w:ascii="Arial" w:hAnsi="Arial"/>
                <w:color w:val="000000"/>
                <w:sz w:val="20"/>
                <w:lang w:val="pl-PL"/>
              </w:rPr>
              <w:t>Wartość księgowa netto na początek roku</w:t>
            </w:r>
          </w:p>
        </w:tc>
        <w:tc>
          <w:tcPr>
            <w:tcW w:w="1276" w:type="dxa"/>
            <w:tcBorders>
              <w:top w:val="single" w:sz="4" w:space="0" w:color="auto"/>
              <w:left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w:t>
            </w:r>
          </w:p>
        </w:tc>
        <w:tc>
          <w:tcPr>
            <w:tcW w:w="1134" w:type="dxa"/>
            <w:tcBorders>
              <w:top w:val="single" w:sz="4" w:space="0" w:color="auto"/>
              <w:left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39 313</w:t>
            </w:r>
          </w:p>
        </w:tc>
        <w:tc>
          <w:tcPr>
            <w:tcW w:w="1559" w:type="dxa"/>
            <w:tcBorders>
              <w:top w:val="single" w:sz="4" w:space="0" w:color="auto"/>
              <w:left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34 450</w:t>
            </w:r>
          </w:p>
        </w:tc>
        <w:tc>
          <w:tcPr>
            <w:tcW w:w="992" w:type="dxa"/>
            <w:tcBorders>
              <w:top w:val="single" w:sz="4" w:space="0" w:color="auto"/>
              <w:left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5 343</w:t>
            </w:r>
          </w:p>
        </w:tc>
        <w:tc>
          <w:tcPr>
            <w:tcW w:w="992" w:type="dxa"/>
            <w:tcBorders>
              <w:top w:val="single" w:sz="4" w:space="0" w:color="auto"/>
              <w:left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79 106</w:t>
            </w:r>
          </w:p>
        </w:tc>
      </w:tr>
      <w:tr w:rsidR="006A59F1" w:rsidRPr="00765C97" w:rsidTr="00D11CE7">
        <w:trPr>
          <w:trHeight w:val="255"/>
        </w:trPr>
        <w:tc>
          <w:tcPr>
            <w:tcW w:w="2694" w:type="dxa"/>
            <w:tcBorders>
              <w:top w:val="nil"/>
              <w:left w:val="nil"/>
              <w:bottom w:val="nil"/>
              <w:right w:val="nil"/>
            </w:tcBorders>
            <w:vAlign w:val="center"/>
          </w:tcPr>
          <w:p w:rsidR="006A59F1" w:rsidRPr="00765C97" w:rsidRDefault="006A59F1" w:rsidP="0032384B">
            <w:pPr>
              <w:rPr>
                <w:rFonts w:ascii="Arial" w:hAnsi="Arial"/>
                <w:color w:val="000000"/>
                <w:sz w:val="20"/>
                <w:lang w:val="pl-PL"/>
              </w:rPr>
            </w:pPr>
            <w:r w:rsidRPr="00765C97">
              <w:rPr>
                <w:rFonts w:ascii="Arial" w:hAnsi="Arial"/>
                <w:color w:val="000000"/>
                <w:sz w:val="20"/>
                <w:lang w:val="pl-PL"/>
              </w:rPr>
              <w:t>Zwiększenia</w:t>
            </w:r>
          </w:p>
        </w:tc>
        <w:tc>
          <w:tcPr>
            <w:tcW w:w="1276" w:type="dxa"/>
            <w:tcBorders>
              <w:left w:val="nil"/>
              <w:bottom w:val="nil"/>
              <w:right w:val="nil"/>
            </w:tcBorders>
            <w:vAlign w:val="center"/>
          </w:tcPr>
          <w:p w:rsidR="006A59F1" w:rsidRPr="00765C97" w:rsidRDefault="006A59F1" w:rsidP="00385F70">
            <w:pPr>
              <w:jc w:val="right"/>
              <w:rPr>
                <w:rFonts w:ascii="Arial" w:hAnsi="Arial"/>
                <w:spacing w:val="-2"/>
                <w:sz w:val="20"/>
                <w:lang w:val="pl-PL"/>
              </w:rPr>
            </w:pPr>
            <w:r w:rsidRPr="00765C97">
              <w:rPr>
                <w:rFonts w:ascii="Arial" w:hAnsi="Arial"/>
                <w:spacing w:val="-2"/>
                <w:sz w:val="20"/>
                <w:lang w:val="pl-PL"/>
              </w:rPr>
              <w:t>-</w:t>
            </w:r>
          </w:p>
        </w:tc>
        <w:tc>
          <w:tcPr>
            <w:tcW w:w="1134" w:type="dxa"/>
            <w:tcBorders>
              <w:left w:val="nil"/>
              <w:bottom w:val="nil"/>
              <w:right w:val="nil"/>
            </w:tcBorders>
            <w:vAlign w:val="center"/>
          </w:tcPr>
          <w:p w:rsidR="006A59F1" w:rsidRPr="00765C97" w:rsidRDefault="006A59F1" w:rsidP="00385F70">
            <w:pPr>
              <w:jc w:val="right"/>
              <w:rPr>
                <w:rFonts w:ascii="Arial" w:hAnsi="Arial"/>
                <w:spacing w:val="-3"/>
                <w:sz w:val="20"/>
                <w:lang w:val="pl-PL"/>
              </w:rPr>
            </w:pPr>
            <w:r w:rsidRPr="00765C97">
              <w:rPr>
                <w:rFonts w:ascii="Arial" w:hAnsi="Arial"/>
                <w:spacing w:val="-3"/>
                <w:sz w:val="20"/>
                <w:lang w:val="pl-PL"/>
              </w:rPr>
              <w:t>627</w:t>
            </w:r>
          </w:p>
        </w:tc>
        <w:tc>
          <w:tcPr>
            <w:tcW w:w="1559" w:type="dxa"/>
            <w:tcBorders>
              <w:left w:val="nil"/>
              <w:bottom w:val="nil"/>
              <w:right w:val="nil"/>
            </w:tcBorders>
            <w:vAlign w:val="center"/>
          </w:tcPr>
          <w:p w:rsidR="006A59F1" w:rsidRPr="00765C97" w:rsidRDefault="006A59F1" w:rsidP="00385F70">
            <w:pPr>
              <w:jc w:val="right"/>
              <w:rPr>
                <w:rFonts w:ascii="Arial" w:hAnsi="Arial"/>
                <w:spacing w:val="-3"/>
                <w:sz w:val="20"/>
                <w:lang w:val="pl-PL"/>
              </w:rPr>
            </w:pPr>
            <w:r w:rsidRPr="00765C97">
              <w:rPr>
                <w:rFonts w:ascii="Arial" w:hAnsi="Arial"/>
                <w:spacing w:val="-3"/>
                <w:sz w:val="20"/>
                <w:lang w:val="pl-PL"/>
              </w:rPr>
              <w:t>15 810</w:t>
            </w:r>
          </w:p>
        </w:tc>
        <w:tc>
          <w:tcPr>
            <w:tcW w:w="992" w:type="dxa"/>
            <w:tcBorders>
              <w:left w:val="nil"/>
              <w:bottom w:val="nil"/>
              <w:right w:val="nil"/>
            </w:tcBorders>
            <w:vAlign w:val="center"/>
          </w:tcPr>
          <w:p w:rsidR="006A59F1" w:rsidRPr="00765C97" w:rsidRDefault="006A59F1" w:rsidP="00385F70">
            <w:pPr>
              <w:jc w:val="right"/>
              <w:rPr>
                <w:rFonts w:ascii="Arial" w:hAnsi="Arial"/>
                <w:spacing w:val="-6"/>
                <w:sz w:val="20"/>
                <w:lang w:val="pl-PL"/>
              </w:rPr>
            </w:pPr>
            <w:r w:rsidRPr="00765C97">
              <w:rPr>
                <w:rFonts w:ascii="Arial" w:hAnsi="Arial"/>
                <w:spacing w:val="-6"/>
                <w:sz w:val="20"/>
                <w:lang w:val="pl-PL"/>
              </w:rPr>
              <w:t>3 001</w:t>
            </w:r>
          </w:p>
        </w:tc>
        <w:tc>
          <w:tcPr>
            <w:tcW w:w="992" w:type="dxa"/>
            <w:tcBorders>
              <w:left w:val="nil"/>
              <w:bottom w:val="nil"/>
              <w:right w:val="nil"/>
            </w:tcBorders>
            <w:vAlign w:val="center"/>
          </w:tcPr>
          <w:p w:rsidR="006A59F1" w:rsidRPr="00765C97" w:rsidRDefault="006A59F1" w:rsidP="00385F70">
            <w:pPr>
              <w:jc w:val="right"/>
              <w:rPr>
                <w:rFonts w:ascii="Arial" w:hAnsi="Arial"/>
                <w:spacing w:val="-2"/>
                <w:sz w:val="20"/>
                <w:lang w:val="pl-PL"/>
              </w:rPr>
            </w:pPr>
            <w:r w:rsidRPr="00765C97">
              <w:rPr>
                <w:rFonts w:ascii="Arial" w:hAnsi="Arial"/>
                <w:spacing w:val="-2"/>
                <w:sz w:val="20"/>
                <w:lang w:val="pl-PL"/>
              </w:rPr>
              <w:t>19 438</w:t>
            </w:r>
          </w:p>
        </w:tc>
      </w:tr>
      <w:tr w:rsidR="006A59F1" w:rsidRPr="00765C97" w:rsidTr="00D11CE7">
        <w:trPr>
          <w:trHeight w:val="255"/>
        </w:trPr>
        <w:tc>
          <w:tcPr>
            <w:tcW w:w="2694" w:type="dxa"/>
            <w:tcBorders>
              <w:top w:val="nil"/>
              <w:left w:val="nil"/>
              <w:bottom w:val="nil"/>
              <w:right w:val="nil"/>
            </w:tcBorders>
            <w:vAlign w:val="center"/>
          </w:tcPr>
          <w:p w:rsidR="006A59F1" w:rsidRPr="00765C97" w:rsidRDefault="006A59F1" w:rsidP="0032384B">
            <w:pPr>
              <w:rPr>
                <w:rFonts w:ascii="Arial" w:hAnsi="Arial"/>
                <w:color w:val="000000"/>
                <w:sz w:val="20"/>
                <w:lang w:val="pl-PL"/>
              </w:rPr>
            </w:pPr>
            <w:r w:rsidRPr="00765C97">
              <w:rPr>
                <w:rFonts w:ascii="Arial" w:hAnsi="Arial"/>
                <w:color w:val="000000"/>
                <w:sz w:val="20"/>
                <w:lang w:val="pl-PL"/>
              </w:rPr>
              <w:t>Zmniejszenia</w:t>
            </w:r>
          </w:p>
        </w:tc>
        <w:tc>
          <w:tcPr>
            <w:tcW w:w="1276" w:type="dxa"/>
            <w:tcBorders>
              <w:top w:val="nil"/>
              <w:left w:val="nil"/>
              <w:bottom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w:t>
            </w:r>
          </w:p>
        </w:tc>
        <w:tc>
          <w:tcPr>
            <w:tcW w:w="1134" w:type="dxa"/>
            <w:tcBorders>
              <w:top w:val="nil"/>
              <w:left w:val="nil"/>
              <w:bottom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w:t>
            </w:r>
          </w:p>
        </w:tc>
        <w:tc>
          <w:tcPr>
            <w:tcW w:w="1559" w:type="dxa"/>
            <w:tcBorders>
              <w:top w:val="nil"/>
              <w:left w:val="nil"/>
              <w:bottom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(6)</w:t>
            </w:r>
          </w:p>
        </w:tc>
        <w:tc>
          <w:tcPr>
            <w:tcW w:w="992" w:type="dxa"/>
            <w:tcBorders>
              <w:top w:val="nil"/>
              <w:left w:val="nil"/>
              <w:bottom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(628)</w:t>
            </w:r>
          </w:p>
        </w:tc>
        <w:tc>
          <w:tcPr>
            <w:tcW w:w="992" w:type="dxa"/>
            <w:tcBorders>
              <w:top w:val="nil"/>
              <w:left w:val="nil"/>
              <w:bottom w:val="nil"/>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(634)</w:t>
            </w:r>
          </w:p>
        </w:tc>
      </w:tr>
      <w:tr w:rsidR="006A59F1" w:rsidRPr="00765C97" w:rsidTr="00D11CE7">
        <w:trPr>
          <w:trHeight w:val="255"/>
        </w:trPr>
        <w:tc>
          <w:tcPr>
            <w:tcW w:w="2694" w:type="dxa"/>
            <w:tcBorders>
              <w:top w:val="nil"/>
              <w:left w:val="nil"/>
              <w:bottom w:val="nil"/>
              <w:right w:val="nil"/>
            </w:tcBorders>
            <w:vAlign w:val="center"/>
          </w:tcPr>
          <w:p w:rsidR="006A59F1" w:rsidRPr="00765C97" w:rsidRDefault="006A59F1" w:rsidP="0032384B">
            <w:pPr>
              <w:rPr>
                <w:rFonts w:ascii="Arial" w:hAnsi="Arial"/>
                <w:color w:val="000000"/>
                <w:sz w:val="20"/>
                <w:lang w:val="pl-PL"/>
              </w:rPr>
            </w:pPr>
            <w:r w:rsidRPr="00765C97">
              <w:rPr>
                <w:rFonts w:ascii="Arial" w:hAnsi="Arial"/>
                <w:color w:val="000000"/>
                <w:sz w:val="20"/>
                <w:lang w:val="pl-PL"/>
              </w:rPr>
              <w:t>Amortyzacja</w:t>
            </w:r>
          </w:p>
        </w:tc>
        <w:tc>
          <w:tcPr>
            <w:tcW w:w="1276" w:type="dxa"/>
            <w:tcBorders>
              <w:top w:val="nil"/>
              <w:left w:val="nil"/>
              <w:bottom w:val="single" w:sz="4" w:space="0" w:color="auto"/>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w:t>
            </w:r>
          </w:p>
        </w:tc>
        <w:tc>
          <w:tcPr>
            <w:tcW w:w="1134" w:type="dxa"/>
            <w:tcBorders>
              <w:top w:val="nil"/>
              <w:left w:val="nil"/>
              <w:bottom w:val="single" w:sz="4" w:space="0" w:color="auto"/>
              <w:right w:val="nil"/>
            </w:tcBorders>
            <w:vAlign w:val="center"/>
          </w:tcPr>
          <w:p w:rsidR="006A59F1" w:rsidRPr="00765C97" w:rsidRDefault="006A59F1" w:rsidP="00385F70">
            <w:pPr>
              <w:jc w:val="right"/>
              <w:rPr>
                <w:rFonts w:ascii="Arial" w:hAnsi="Arial"/>
                <w:spacing w:val="-3"/>
                <w:sz w:val="20"/>
                <w:lang w:val="pl-PL"/>
              </w:rPr>
            </w:pPr>
            <w:r w:rsidRPr="00765C97">
              <w:rPr>
                <w:rFonts w:ascii="Arial" w:hAnsi="Arial"/>
                <w:spacing w:val="-3"/>
                <w:sz w:val="20"/>
                <w:lang w:val="pl-PL"/>
              </w:rPr>
              <w:t>(719)</w:t>
            </w:r>
          </w:p>
        </w:tc>
        <w:tc>
          <w:tcPr>
            <w:tcW w:w="1559" w:type="dxa"/>
            <w:tcBorders>
              <w:top w:val="nil"/>
              <w:left w:val="nil"/>
              <w:bottom w:val="single" w:sz="4" w:space="0" w:color="auto"/>
              <w:right w:val="nil"/>
            </w:tcBorders>
            <w:vAlign w:val="center"/>
          </w:tcPr>
          <w:p w:rsidR="006A59F1" w:rsidRPr="00765C97" w:rsidRDefault="006A59F1" w:rsidP="00385F70">
            <w:pPr>
              <w:rPr>
                <w:rFonts w:ascii="Arial" w:hAnsi="Arial"/>
                <w:spacing w:val="-3"/>
                <w:sz w:val="20"/>
                <w:lang w:val="pl-PL"/>
              </w:rPr>
            </w:pPr>
            <w:r w:rsidRPr="00765C97">
              <w:rPr>
                <w:rFonts w:ascii="Arial" w:hAnsi="Arial"/>
                <w:spacing w:val="-3"/>
                <w:sz w:val="20"/>
                <w:lang w:val="pl-PL"/>
              </w:rPr>
              <w:t xml:space="preserve">               (14 245)</w:t>
            </w:r>
          </w:p>
        </w:tc>
        <w:tc>
          <w:tcPr>
            <w:tcW w:w="992" w:type="dxa"/>
            <w:tcBorders>
              <w:top w:val="nil"/>
              <w:left w:val="nil"/>
              <w:bottom w:val="single" w:sz="4" w:space="0" w:color="auto"/>
              <w:right w:val="nil"/>
            </w:tcBorders>
            <w:vAlign w:val="center"/>
          </w:tcPr>
          <w:p w:rsidR="006A59F1" w:rsidRPr="00765C97" w:rsidRDefault="006A59F1" w:rsidP="00385F70">
            <w:pPr>
              <w:rPr>
                <w:rFonts w:ascii="Arial" w:hAnsi="Arial"/>
                <w:spacing w:val="-3"/>
                <w:sz w:val="20"/>
                <w:lang w:val="pl-PL"/>
              </w:rPr>
            </w:pPr>
            <w:r w:rsidRPr="00765C97">
              <w:rPr>
                <w:rFonts w:ascii="Arial" w:hAnsi="Arial"/>
                <w:spacing w:val="-3"/>
                <w:sz w:val="20"/>
                <w:lang w:val="pl-PL"/>
              </w:rPr>
              <w:t xml:space="preserve"> </w:t>
            </w:r>
            <w:r w:rsidR="007C526B" w:rsidRPr="00765C97">
              <w:rPr>
                <w:rFonts w:ascii="Arial" w:hAnsi="Arial"/>
                <w:spacing w:val="-3"/>
                <w:sz w:val="20"/>
                <w:lang w:val="pl-PL"/>
              </w:rPr>
              <w:t xml:space="preserve">      </w:t>
            </w:r>
            <w:r w:rsidRPr="00765C97">
              <w:rPr>
                <w:rFonts w:ascii="Arial" w:hAnsi="Arial"/>
                <w:spacing w:val="-3"/>
                <w:sz w:val="20"/>
                <w:lang w:val="pl-PL"/>
              </w:rPr>
              <w:t xml:space="preserve">(2 536) </w:t>
            </w:r>
          </w:p>
        </w:tc>
        <w:tc>
          <w:tcPr>
            <w:tcW w:w="992" w:type="dxa"/>
            <w:tcBorders>
              <w:top w:val="nil"/>
              <w:left w:val="nil"/>
              <w:bottom w:val="single" w:sz="4" w:space="0" w:color="auto"/>
              <w:right w:val="nil"/>
            </w:tcBorders>
            <w:vAlign w:val="center"/>
          </w:tcPr>
          <w:p w:rsidR="006A59F1" w:rsidRPr="00765C97" w:rsidRDefault="006A59F1" w:rsidP="00385F70">
            <w:pPr>
              <w:jc w:val="right"/>
              <w:rPr>
                <w:rFonts w:ascii="Arial" w:hAnsi="Arial"/>
                <w:spacing w:val="-2"/>
                <w:sz w:val="20"/>
                <w:lang w:val="pl-PL"/>
              </w:rPr>
            </w:pPr>
            <w:r w:rsidRPr="00765C97">
              <w:rPr>
                <w:rFonts w:ascii="Arial" w:hAnsi="Arial"/>
                <w:spacing w:val="-2"/>
                <w:sz w:val="20"/>
                <w:lang w:val="pl-PL"/>
              </w:rPr>
              <w:t>(17 500)</w:t>
            </w:r>
          </w:p>
        </w:tc>
      </w:tr>
      <w:tr w:rsidR="006A59F1" w:rsidRPr="00765C97" w:rsidTr="00D11CE7">
        <w:trPr>
          <w:trHeight w:val="255"/>
        </w:trPr>
        <w:tc>
          <w:tcPr>
            <w:tcW w:w="2694" w:type="dxa"/>
            <w:tcBorders>
              <w:top w:val="nil"/>
              <w:left w:val="nil"/>
              <w:bottom w:val="nil"/>
              <w:right w:val="nil"/>
            </w:tcBorders>
            <w:vAlign w:val="center"/>
          </w:tcPr>
          <w:p w:rsidR="006A59F1" w:rsidRPr="00765C97" w:rsidRDefault="006A59F1" w:rsidP="0032384B">
            <w:pPr>
              <w:rPr>
                <w:rFonts w:ascii="Arial" w:hAnsi="Arial"/>
                <w:color w:val="000000"/>
                <w:sz w:val="20"/>
                <w:lang w:val="pl-PL"/>
              </w:rPr>
            </w:pPr>
            <w:r w:rsidRPr="00765C97">
              <w:rPr>
                <w:rFonts w:ascii="Arial" w:hAnsi="Arial"/>
                <w:color w:val="000000"/>
                <w:sz w:val="20"/>
                <w:lang w:val="pl-PL"/>
              </w:rPr>
              <w:t xml:space="preserve">Wartość księgowa netto na </w:t>
            </w:r>
          </w:p>
          <w:p w:rsidR="006A59F1" w:rsidRPr="00765C97" w:rsidRDefault="006A59F1" w:rsidP="0032384B">
            <w:pPr>
              <w:rPr>
                <w:rFonts w:ascii="Arial" w:hAnsi="Arial"/>
                <w:color w:val="000000"/>
                <w:sz w:val="20"/>
                <w:lang w:val="pl-PL"/>
              </w:rPr>
            </w:pPr>
            <w:r w:rsidRPr="00765C97">
              <w:rPr>
                <w:rFonts w:ascii="Arial" w:hAnsi="Arial"/>
                <w:color w:val="000000"/>
                <w:sz w:val="20"/>
                <w:lang w:val="pl-PL"/>
              </w:rPr>
              <w:t>31 grudnia 2011 r.</w:t>
            </w:r>
          </w:p>
        </w:tc>
        <w:tc>
          <w:tcPr>
            <w:tcW w:w="1276" w:type="dxa"/>
            <w:tcBorders>
              <w:top w:val="single" w:sz="4" w:space="0" w:color="auto"/>
              <w:left w:val="nil"/>
              <w:bottom w:val="single" w:sz="4" w:space="0" w:color="auto"/>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w:t>
            </w:r>
          </w:p>
        </w:tc>
        <w:tc>
          <w:tcPr>
            <w:tcW w:w="1134" w:type="dxa"/>
            <w:tcBorders>
              <w:top w:val="single" w:sz="4" w:space="0" w:color="auto"/>
              <w:left w:val="nil"/>
              <w:bottom w:val="single" w:sz="4" w:space="0" w:color="auto"/>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39 221</w:t>
            </w:r>
          </w:p>
        </w:tc>
        <w:tc>
          <w:tcPr>
            <w:tcW w:w="1559" w:type="dxa"/>
            <w:tcBorders>
              <w:top w:val="single" w:sz="4" w:space="0" w:color="auto"/>
              <w:left w:val="nil"/>
              <w:bottom w:val="single" w:sz="4" w:space="0" w:color="auto"/>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36 009</w:t>
            </w:r>
          </w:p>
        </w:tc>
        <w:tc>
          <w:tcPr>
            <w:tcW w:w="992" w:type="dxa"/>
            <w:tcBorders>
              <w:top w:val="single" w:sz="4" w:space="0" w:color="auto"/>
              <w:left w:val="nil"/>
              <w:bottom w:val="single" w:sz="4" w:space="0" w:color="auto"/>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5 180</w:t>
            </w:r>
          </w:p>
        </w:tc>
        <w:tc>
          <w:tcPr>
            <w:tcW w:w="992" w:type="dxa"/>
            <w:tcBorders>
              <w:top w:val="single" w:sz="4" w:space="0" w:color="auto"/>
              <w:left w:val="nil"/>
              <w:bottom w:val="single" w:sz="4" w:space="0" w:color="auto"/>
              <w:right w:val="nil"/>
            </w:tcBorders>
            <w:vAlign w:val="center"/>
          </w:tcPr>
          <w:p w:rsidR="006A59F1" w:rsidRPr="00765C97" w:rsidRDefault="006A59F1" w:rsidP="00385F70">
            <w:pPr>
              <w:jc w:val="right"/>
              <w:rPr>
                <w:rFonts w:ascii="Arial" w:hAnsi="Arial"/>
                <w:sz w:val="20"/>
                <w:lang w:val="pl-PL"/>
              </w:rPr>
            </w:pPr>
            <w:r w:rsidRPr="00765C97">
              <w:rPr>
                <w:rFonts w:ascii="Arial" w:hAnsi="Arial"/>
                <w:sz w:val="20"/>
                <w:lang w:val="pl-PL"/>
              </w:rPr>
              <w:t>80 410</w:t>
            </w:r>
          </w:p>
        </w:tc>
      </w:tr>
      <w:tr w:rsidR="0032384B" w:rsidRPr="00765C97" w:rsidTr="00D11CE7">
        <w:trPr>
          <w:trHeight w:val="255"/>
        </w:trPr>
        <w:tc>
          <w:tcPr>
            <w:tcW w:w="2694" w:type="dxa"/>
            <w:tcBorders>
              <w:top w:val="nil"/>
              <w:left w:val="nil"/>
              <w:bottom w:val="nil"/>
              <w:right w:val="nil"/>
            </w:tcBorders>
            <w:vAlign w:val="center"/>
          </w:tcPr>
          <w:p w:rsidR="0032384B" w:rsidRPr="00765C97" w:rsidRDefault="006A59F1" w:rsidP="0032384B">
            <w:pPr>
              <w:rPr>
                <w:rFonts w:ascii="Arial" w:hAnsi="Arial"/>
                <w:color w:val="000000"/>
                <w:sz w:val="20"/>
                <w:lang w:val="pl-PL"/>
              </w:rPr>
            </w:pPr>
            <w:r w:rsidRPr="00765C97">
              <w:rPr>
                <w:rFonts w:ascii="Arial" w:hAnsi="Arial"/>
                <w:b/>
                <w:sz w:val="20"/>
                <w:lang w:val="pl-PL"/>
              </w:rPr>
              <w:t>Stan na 31 grudnia 2011</w:t>
            </w:r>
            <w:r w:rsidR="0032384B" w:rsidRPr="00765C97">
              <w:rPr>
                <w:rFonts w:ascii="Arial" w:hAnsi="Arial"/>
                <w:b/>
                <w:sz w:val="20"/>
                <w:lang w:val="pl-PL"/>
              </w:rPr>
              <w:t xml:space="preserve"> r.</w:t>
            </w:r>
          </w:p>
        </w:tc>
        <w:tc>
          <w:tcPr>
            <w:tcW w:w="1276" w:type="dxa"/>
            <w:tcBorders>
              <w:top w:val="single" w:sz="4" w:space="0" w:color="auto"/>
              <w:left w:val="nil"/>
              <w:right w:val="nil"/>
            </w:tcBorders>
            <w:vAlign w:val="center"/>
          </w:tcPr>
          <w:p w:rsidR="0032384B" w:rsidRPr="00765C97" w:rsidRDefault="0032384B" w:rsidP="0032384B">
            <w:pPr>
              <w:jc w:val="right"/>
              <w:rPr>
                <w:rFonts w:ascii="Arial" w:hAnsi="Arial"/>
                <w:b/>
                <w:sz w:val="20"/>
                <w:lang w:val="pl-PL"/>
              </w:rPr>
            </w:pPr>
          </w:p>
        </w:tc>
        <w:tc>
          <w:tcPr>
            <w:tcW w:w="1134" w:type="dxa"/>
            <w:tcBorders>
              <w:top w:val="single" w:sz="4" w:space="0" w:color="auto"/>
              <w:left w:val="nil"/>
              <w:right w:val="nil"/>
            </w:tcBorders>
            <w:vAlign w:val="center"/>
          </w:tcPr>
          <w:p w:rsidR="0032384B" w:rsidRPr="00765C97" w:rsidRDefault="0032384B" w:rsidP="0032384B">
            <w:pPr>
              <w:jc w:val="right"/>
              <w:rPr>
                <w:rFonts w:ascii="Arial" w:hAnsi="Arial"/>
                <w:b/>
                <w:sz w:val="20"/>
                <w:lang w:val="pl-PL"/>
              </w:rPr>
            </w:pPr>
          </w:p>
        </w:tc>
        <w:tc>
          <w:tcPr>
            <w:tcW w:w="1559" w:type="dxa"/>
            <w:tcBorders>
              <w:top w:val="single" w:sz="4" w:space="0" w:color="auto"/>
              <w:left w:val="nil"/>
              <w:right w:val="nil"/>
            </w:tcBorders>
            <w:vAlign w:val="center"/>
          </w:tcPr>
          <w:p w:rsidR="0032384B" w:rsidRPr="00765C97" w:rsidRDefault="0032384B" w:rsidP="0032384B">
            <w:pPr>
              <w:jc w:val="right"/>
              <w:rPr>
                <w:rFonts w:ascii="Arial" w:hAnsi="Arial"/>
                <w:b/>
                <w:sz w:val="20"/>
                <w:lang w:val="pl-PL"/>
              </w:rPr>
            </w:pPr>
          </w:p>
        </w:tc>
        <w:tc>
          <w:tcPr>
            <w:tcW w:w="992" w:type="dxa"/>
            <w:tcBorders>
              <w:top w:val="single" w:sz="4" w:space="0" w:color="auto"/>
              <w:left w:val="nil"/>
              <w:right w:val="nil"/>
            </w:tcBorders>
            <w:vAlign w:val="center"/>
          </w:tcPr>
          <w:p w:rsidR="0032384B" w:rsidRPr="00765C97" w:rsidRDefault="0032384B" w:rsidP="0032384B">
            <w:pPr>
              <w:jc w:val="right"/>
              <w:rPr>
                <w:rFonts w:ascii="Arial" w:hAnsi="Arial"/>
                <w:b/>
                <w:sz w:val="20"/>
                <w:lang w:val="pl-PL"/>
              </w:rPr>
            </w:pPr>
          </w:p>
        </w:tc>
        <w:tc>
          <w:tcPr>
            <w:tcW w:w="992" w:type="dxa"/>
            <w:tcBorders>
              <w:top w:val="single" w:sz="4" w:space="0" w:color="auto"/>
              <w:left w:val="nil"/>
              <w:right w:val="nil"/>
            </w:tcBorders>
            <w:vAlign w:val="center"/>
          </w:tcPr>
          <w:p w:rsidR="0032384B" w:rsidRPr="00765C97" w:rsidRDefault="0032384B" w:rsidP="0032384B">
            <w:pPr>
              <w:jc w:val="right"/>
              <w:rPr>
                <w:rFonts w:ascii="Arial" w:hAnsi="Arial"/>
                <w:b/>
                <w:sz w:val="20"/>
                <w:lang w:val="pl-PL"/>
              </w:rPr>
            </w:pPr>
          </w:p>
        </w:tc>
      </w:tr>
      <w:tr w:rsidR="00C36604" w:rsidRPr="00765C97" w:rsidTr="00D11CE7">
        <w:trPr>
          <w:trHeight w:val="255"/>
        </w:trPr>
        <w:tc>
          <w:tcPr>
            <w:tcW w:w="2694" w:type="dxa"/>
            <w:tcBorders>
              <w:top w:val="nil"/>
              <w:left w:val="nil"/>
              <w:bottom w:val="nil"/>
              <w:right w:val="nil"/>
            </w:tcBorders>
            <w:vAlign w:val="center"/>
          </w:tcPr>
          <w:p w:rsidR="00C36604" w:rsidRPr="00765C97" w:rsidRDefault="00C36604" w:rsidP="0032384B">
            <w:pPr>
              <w:rPr>
                <w:rFonts w:ascii="Arial" w:hAnsi="Arial"/>
                <w:color w:val="000000"/>
                <w:sz w:val="20"/>
                <w:lang w:val="pl-PL"/>
              </w:rPr>
            </w:pPr>
            <w:r w:rsidRPr="00765C97">
              <w:rPr>
                <w:rFonts w:ascii="Arial" w:hAnsi="Arial"/>
                <w:color w:val="000000"/>
                <w:sz w:val="20"/>
                <w:lang w:val="pl-PL"/>
              </w:rPr>
              <w:t>Koszt (brutto)</w:t>
            </w:r>
          </w:p>
        </w:tc>
        <w:tc>
          <w:tcPr>
            <w:tcW w:w="1276" w:type="dxa"/>
            <w:tcBorders>
              <w:left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2 057</w:t>
            </w:r>
          </w:p>
        </w:tc>
        <w:tc>
          <w:tcPr>
            <w:tcW w:w="1134" w:type="dxa"/>
            <w:tcBorders>
              <w:left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39 940</w:t>
            </w:r>
          </w:p>
        </w:tc>
        <w:tc>
          <w:tcPr>
            <w:tcW w:w="1559" w:type="dxa"/>
            <w:tcBorders>
              <w:left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102 767</w:t>
            </w:r>
          </w:p>
        </w:tc>
        <w:tc>
          <w:tcPr>
            <w:tcW w:w="992" w:type="dxa"/>
            <w:tcBorders>
              <w:left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13 406</w:t>
            </w:r>
          </w:p>
        </w:tc>
        <w:tc>
          <w:tcPr>
            <w:tcW w:w="992" w:type="dxa"/>
            <w:tcBorders>
              <w:left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158 170</w:t>
            </w:r>
          </w:p>
        </w:tc>
      </w:tr>
      <w:tr w:rsidR="00C36604" w:rsidRPr="00765C97" w:rsidTr="00D11CE7">
        <w:trPr>
          <w:trHeight w:val="255"/>
        </w:trPr>
        <w:tc>
          <w:tcPr>
            <w:tcW w:w="2694" w:type="dxa"/>
            <w:tcBorders>
              <w:top w:val="nil"/>
              <w:left w:val="nil"/>
              <w:bottom w:val="nil"/>
              <w:right w:val="nil"/>
            </w:tcBorders>
            <w:vAlign w:val="center"/>
          </w:tcPr>
          <w:p w:rsidR="00C36604" w:rsidRPr="00765C97" w:rsidRDefault="00C36604" w:rsidP="0032384B">
            <w:pPr>
              <w:rPr>
                <w:rFonts w:ascii="Arial" w:hAnsi="Arial"/>
                <w:color w:val="000000"/>
                <w:sz w:val="20"/>
                <w:lang w:val="pl-PL"/>
              </w:rPr>
            </w:pPr>
            <w:r w:rsidRPr="00765C97">
              <w:rPr>
                <w:rFonts w:ascii="Arial" w:hAnsi="Arial"/>
                <w:color w:val="000000"/>
                <w:sz w:val="20"/>
                <w:lang w:val="pl-PL"/>
              </w:rPr>
              <w:t>Umorzenie i łączne dotychczasowe odpisy z tytułu utraty wartości</w:t>
            </w:r>
          </w:p>
        </w:tc>
        <w:tc>
          <w:tcPr>
            <w:tcW w:w="1276" w:type="dxa"/>
            <w:tcBorders>
              <w:left w:val="nil"/>
              <w:bottom w:val="single" w:sz="4" w:space="0" w:color="auto"/>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(2 057)</w:t>
            </w:r>
          </w:p>
        </w:tc>
        <w:tc>
          <w:tcPr>
            <w:tcW w:w="1134" w:type="dxa"/>
            <w:tcBorders>
              <w:left w:val="nil"/>
              <w:bottom w:val="single" w:sz="4" w:space="0" w:color="auto"/>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(719)</w:t>
            </w:r>
          </w:p>
        </w:tc>
        <w:tc>
          <w:tcPr>
            <w:tcW w:w="1559" w:type="dxa"/>
            <w:tcBorders>
              <w:left w:val="nil"/>
              <w:bottom w:val="single" w:sz="4" w:space="0" w:color="auto"/>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(66 758)</w:t>
            </w:r>
          </w:p>
        </w:tc>
        <w:tc>
          <w:tcPr>
            <w:tcW w:w="992" w:type="dxa"/>
            <w:tcBorders>
              <w:left w:val="nil"/>
              <w:bottom w:val="single" w:sz="4" w:space="0" w:color="auto"/>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(8 226)</w:t>
            </w:r>
          </w:p>
        </w:tc>
        <w:tc>
          <w:tcPr>
            <w:tcW w:w="992" w:type="dxa"/>
            <w:tcBorders>
              <w:left w:val="nil"/>
              <w:bottom w:val="single" w:sz="4" w:space="0" w:color="auto"/>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(77 760)</w:t>
            </w:r>
          </w:p>
        </w:tc>
      </w:tr>
      <w:tr w:rsidR="00C36604" w:rsidRPr="00765C97" w:rsidTr="00D11CE7">
        <w:trPr>
          <w:trHeight w:val="255"/>
        </w:trPr>
        <w:tc>
          <w:tcPr>
            <w:tcW w:w="2694" w:type="dxa"/>
            <w:tcBorders>
              <w:top w:val="nil"/>
              <w:left w:val="nil"/>
              <w:bottom w:val="nil"/>
              <w:right w:val="nil"/>
            </w:tcBorders>
            <w:vAlign w:val="center"/>
          </w:tcPr>
          <w:p w:rsidR="00C36604" w:rsidRPr="00765C97" w:rsidRDefault="00C36604" w:rsidP="0032384B">
            <w:pPr>
              <w:rPr>
                <w:rFonts w:ascii="Arial" w:hAnsi="Arial"/>
                <w:color w:val="000000"/>
                <w:sz w:val="20"/>
                <w:lang w:val="pl-PL"/>
              </w:rPr>
            </w:pPr>
            <w:r w:rsidRPr="00765C97">
              <w:rPr>
                <w:rFonts w:ascii="Arial" w:hAnsi="Arial"/>
                <w:color w:val="000000"/>
                <w:sz w:val="20"/>
                <w:lang w:val="pl-PL"/>
              </w:rPr>
              <w:t>Wartość księgowa netto</w:t>
            </w:r>
          </w:p>
        </w:tc>
        <w:tc>
          <w:tcPr>
            <w:tcW w:w="1276" w:type="dxa"/>
            <w:tcBorders>
              <w:top w:val="single" w:sz="4" w:space="0" w:color="auto"/>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w:t>
            </w:r>
          </w:p>
        </w:tc>
        <w:tc>
          <w:tcPr>
            <w:tcW w:w="1134" w:type="dxa"/>
            <w:tcBorders>
              <w:top w:val="single" w:sz="4" w:space="0" w:color="auto"/>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39 221</w:t>
            </w:r>
          </w:p>
        </w:tc>
        <w:tc>
          <w:tcPr>
            <w:tcW w:w="1559" w:type="dxa"/>
            <w:tcBorders>
              <w:top w:val="single" w:sz="4" w:space="0" w:color="auto"/>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36 009</w:t>
            </w:r>
          </w:p>
        </w:tc>
        <w:tc>
          <w:tcPr>
            <w:tcW w:w="992" w:type="dxa"/>
            <w:tcBorders>
              <w:top w:val="single" w:sz="4" w:space="0" w:color="auto"/>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5 180</w:t>
            </w:r>
          </w:p>
        </w:tc>
        <w:tc>
          <w:tcPr>
            <w:tcW w:w="992" w:type="dxa"/>
            <w:tcBorders>
              <w:top w:val="single" w:sz="4" w:space="0" w:color="auto"/>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80 410</w:t>
            </w:r>
          </w:p>
        </w:tc>
      </w:tr>
      <w:tr w:rsidR="0032384B" w:rsidRPr="00765C97" w:rsidTr="00D11CE7">
        <w:trPr>
          <w:trHeight w:val="255"/>
        </w:trPr>
        <w:tc>
          <w:tcPr>
            <w:tcW w:w="2694" w:type="dxa"/>
            <w:tcBorders>
              <w:top w:val="nil"/>
              <w:left w:val="nil"/>
              <w:bottom w:val="nil"/>
              <w:right w:val="nil"/>
            </w:tcBorders>
            <w:vAlign w:val="center"/>
          </w:tcPr>
          <w:p w:rsidR="0032384B" w:rsidRPr="00765C97" w:rsidRDefault="0032384B" w:rsidP="00455C28">
            <w:pPr>
              <w:rPr>
                <w:rFonts w:ascii="Arial" w:hAnsi="Arial"/>
                <w:b/>
                <w:sz w:val="20"/>
                <w:lang w:val="pl-PL"/>
              </w:rPr>
            </w:pPr>
            <w:r w:rsidRPr="00765C97">
              <w:rPr>
                <w:rFonts w:ascii="Arial" w:hAnsi="Arial"/>
                <w:b/>
                <w:sz w:val="20"/>
                <w:lang w:val="pl-PL"/>
              </w:rPr>
              <w:t>Rok obrotowy 201</w:t>
            </w:r>
            <w:r w:rsidR="00455C28" w:rsidRPr="00765C97">
              <w:rPr>
                <w:rFonts w:ascii="Arial" w:hAnsi="Arial"/>
                <w:b/>
                <w:sz w:val="20"/>
                <w:lang w:val="pl-PL"/>
              </w:rPr>
              <w:t>2</w:t>
            </w:r>
          </w:p>
        </w:tc>
        <w:tc>
          <w:tcPr>
            <w:tcW w:w="1276" w:type="dxa"/>
            <w:tcBorders>
              <w:top w:val="single" w:sz="4" w:space="0" w:color="auto"/>
              <w:left w:val="nil"/>
              <w:bottom w:val="nil"/>
              <w:right w:val="nil"/>
            </w:tcBorders>
            <w:vAlign w:val="center"/>
          </w:tcPr>
          <w:p w:rsidR="0032384B" w:rsidRPr="00765C97" w:rsidRDefault="0032384B" w:rsidP="00A11A4E">
            <w:pPr>
              <w:jc w:val="right"/>
              <w:rPr>
                <w:rFonts w:ascii="Arial" w:hAnsi="Arial"/>
                <w:b/>
                <w:sz w:val="20"/>
                <w:lang w:val="pl-PL"/>
              </w:rPr>
            </w:pPr>
          </w:p>
        </w:tc>
        <w:tc>
          <w:tcPr>
            <w:tcW w:w="1134" w:type="dxa"/>
            <w:tcBorders>
              <w:top w:val="single" w:sz="4" w:space="0" w:color="auto"/>
              <w:left w:val="nil"/>
              <w:bottom w:val="nil"/>
              <w:right w:val="nil"/>
            </w:tcBorders>
            <w:vAlign w:val="center"/>
          </w:tcPr>
          <w:p w:rsidR="0032384B" w:rsidRPr="00765C97" w:rsidRDefault="0032384B" w:rsidP="00A11A4E">
            <w:pPr>
              <w:jc w:val="right"/>
              <w:rPr>
                <w:rFonts w:ascii="Arial" w:hAnsi="Arial"/>
                <w:b/>
                <w:sz w:val="20"/>
                <w:lang w:val="pl-PL"/>
              </w:rPr>
            </w:pPr>
          </w:p>
        </w:tc>
        <w:tc>
          <w:tcPr>
            <w:tcW w:w="1559" w:type="dxa"/>
            <w:tcBorders>
              <w:top w:val="single" w:sz="4" w:space="0" w:color="auto"/>
              <w:left w:val="nil"/>
              <w:bottom w:val="nil"/>
              <w:right w:val="nil"/>
            </w:tcBorders>
            <w:vAlign w:val="center"/>
          </w:tcPr>
          <w:p w:rsidR="0032384B" w:rsidRPr="00765C97" w:rsidRDefault="0032384B">
            <w:pPr>
              <w:jc w:val="right"/>
              <w:rPr>
                <w:rFonts w:ascii="Arial" w:hAnsi="Arial"/>
                <w:b/>
                <w:sz w:val="20"/>
                <w:lang w:val="pl-PL"/>
              </w:rPr>
            </w:pPr>
          </w:p>
        </w:tc>
        <w:tc>
          <w:tcPr>
            <w:tcW w:w="992" w:type="dxa"/>
            <w:tcBorders>
              <w:top w:val="single" w:sz="4" w:space="0" w:color="auto"/>
              <w:left w:val="nil"/>
              <w:bottom w:val="nil"/>
              <w:right w:val="nil"/>
            </w:tcBorders>
            <w:vAlign w:val="center"/>
          </w:tcPr>
          <w:p w:rsidR="0032384B" w:rsidRPr="00765C97" w:rsidRDefault="0032384B">
            <w:pPr>
              <w:jc w:val="right"/>
              <w:rPr>
                <w:rFonts w:ascii="Arial" w:hAnsi="Arial"/>
                <w:b/>
                <w:sz w:val="20"/>
                <w:lang w:val="pl-PL"/>
              </w:rPr>
            </w:pPr>
          </w:p>
        </w:tc>
        <w:tc>
          <w:tcPr>
            <w:tcW w:w="992" w:type="dxa"/>
            <w:tcBorders>
              <w:top w:val="single" w:sz="4" w:space="0" w:color="auto"/>
              <w:left w:val="nil"/>
              <w:bottom w:val="nil"/>
              <w:right w:val="nil"/>
            </w:tcBorders>
            <w:vAlign w:val="center"/>
          </w:tcPr>
          <w:p w:rsidR="0032384B" w:rsidRPr="00765C97" w:rsidRDefault="0032384B">
            <w:pPr>
              <w:jc w:val="right"/>
              <w:rPr>
                <w:rFonts w:ascii="Arial" w:hAnsi="Arial"/>
                <w:b/>
                <w:sz w:val="20"/>
                <w:lang w:val="pl-PL"/>
              </w:rPr>
            </w:pPr>
          </w:p>
        </w:tc>
      </w:tr>
      <w:tr w:rsidR="0032384B" w:rsidRPr="00765C97" w:rsidTr="00D11CE7">
        <w:trPr>
          <w:trHeight w:val="255"/>
        </w:trPr>
        <w:tc>
          <w:tcPr>
            <w:tcW w:w="2694" w:type="dxa"/>
            <w:tcBorders>
              <w:top w:val="nil"/>
              <w:left w:val="nil"/>
              <w:bottom w:val="nil"/>
              <w:right w:val="nil"/>
            </w:tcBorders>
            <w:vAlign w:val="center"/>
          </w:tcPr>
          <w:p w:rsidR="0032384B" w:rsidRPr="00765C97" w:rsidRDefault="0032384B">
            <w:pPr>
              <w:rPr>
                <w:rFonts w:ascii="Arial" w:hAnsi="Arial"/>
                <w:color w:val="000000"/>
                <w:sz w:val="20"/>
                <w:lang w:val="pl-PL"/>
              </w:rPr>
            </w:pPr>
            <w:r w:rsidRPr="00765C97">
              <w:rPr>
                <w:rFonts w:ascii="Arial" w:hAnsi="Arial"/>
                <w:color w:val="000000"/>
                <w:sz w:val="20"/>
                <w:lang w:val="pl-PL"/>
              </w:rPr>
              <w:t>Wartość księgowa netto na początek roku</w:t>
            </w:r>
            <w:r w:rsidR="009671D2" w:rsidRPr="00765C97">
              <w:rPr>
                <w:rFonts w:ascii="Arial" w:hAnsi="Arial"/>
                <w:color w:val="000000"/>
                <w:sz w:val="20"/>
                <w:lang w:val="pl-PL"/>
              </w:rPr>
              <w:t xml:space="preserve"> </w:t>
            </w:r>
          </w:p>
        </w:tc>
        <w:tc>
          <w:tcPr>
            <w:tcW w:w="1276" w:type="dxa"/>
            <w:tcBorders>
              <w:top w:val="nil"/>
              <w:left w:val="nil"/>
              <w:bottom w:val="nil"/>
              <w:right w:val="nil"/>
            </w:tcBorders>
            <w:vAlign w:val="center"/>
          </w:tcPr>
          <w:p w:rsidR="0032384B" w:rsidRPr="00765C97" w:rsidRDefault="002921ED" w:rsidP="00A11A4E">
            <w:pPr>
              <w:jc w:val="right"/>
              <w:rPr>
                <w:rFonts w:ascii="Arial" w:hAnsi="Arial"/>
                <w:sz w:val="20"/>
                <w:lang w:val="pl-PL"/>
              </w:rPr>
            </w:pPr>
            <w:r w:rsidRPr="00765C97">
              <w:rPr>
                <w:rFonts w:ascii="Arial" w:hAnsi="Arial"/>
                <w:sz w:val="20"/>
                <w:lang w:val="pl-PL"/>
              </w:rPr>
              <w:t>-</w:t>
            </w:r>
          </w:p>
        </w:tc>
        <w:tc>
          <w:tcPr>
            <w:tcW w:w="1134" w:type="dxa"/>
            <w:tcBorders>
              <w:top w:val="nil"/>
              <w:left w:val="nil"/>
              <w:bottom w:val="nil"/>
              <w:right w:val="nil"/>
            </w:tcBorders>
            <w:vAlign w:val="center"/>
          </w:tcPr>
          <w:p w:rsidR="0032384B" w:rsidRPr="00765C97" w:rsidRDefault="002921ED" w:rsidP="00A11A4E">
            <w:pPr>
              <w:jc w:val="right"/>
              <w:rPr>
                <w:rFonts w:ascii="Arial" w:hAnsi="Arial"/>
                <w:sz w:val="20"/>
                <w:lang w:val="pl-PL"/>
              </w:rPr>
            </w:pPr>
            <w:r w:rsidRPr="00765C97">
              <w:rPr>
                <w:rFonts w:ascii="Arial" w:hAnsi="Arial"/>
                <w:sz w:val="20"/>
                <w:lang w:val="pl-PL"/>
              </w:rPr>
              <w:t>39 221</w:t>
            </w:r>
          </w:p>
        </w:tc>
        <w:tc>
          <w:tcPr>
            <w:tcW w:w="1559" w:type="dxa"/>
            <w:tcBorders>
              <w:top w:val="nil"/>
              <w:left w:val="nil"/>
              <w:bottom w:val="nil"/>
              <w:right w:val="nil"/>
            </w:tcBorders>
            <w:vAlign w:val="center"/>
          </w:tcPr>
          <w:p w:rsidR="0032384B" w:rsidRPr="00765C97" w:rsidRDefault="002921ED">
            <w:pPr>
              <w:jc w:val="right"/>
              <w:rPr>
                <w:rFonts w:ascii="Arial" w:hAnsi="Arial"/>
                <w:sz w:val="20"/>
                <w:lang w:val="pl-PL"/>
              </w:rPr>
            </w:pPr>
            <w:r w:rsidRPr="00765C97">
              <w:rPr>
                <w:rFonts w:ascii="Arial" w:hAnsi="Arial"/>
                <w:sz w:val="20"/>
                <w:lang w:val="pl-PL"/>
              </w:rPr>
              <w:t>36 009</w:t>
            </w:r>
          </w:p>
        </w:tc>
        <w:tc>
          <w:tcPr>
            <w:tcW w:w="992" w:type="dxa"/>
            <w:tcBorders>
              <w:top w:val="nil"/>
              <w:left w:val="nil"/>
              <w:bottom w:val="nil"/>
              <w:right w:val="nil"/>
            </w:tcBorders>
            <w:vAlign w:val="center"/>
          </w:tcPr>
          <w:p w:rsidR="0032384B" w:rsidRPr="00765C97" w:rsidRDefault="002921ED">
            <w:pPr>
              <w:jc w:val="right"/>
              <w:rPr>
                <w:rFonts w:ascii="Arial" w:hAnsi="Arial"/>
                <w:sz w:val="20"/>
                <w:lang w:val="pl-PL"/>
              </w:rPr>
            </w:pPr>
            <w:r w:rsidRPr="00765C97">
              <w:rPr>
                <w:rFonts w:ascii="Arial" w:hAnsi="Arial"/>
                <w:sz w:val="20"/>
                <w:lang w:val="pl-PL"/>
              </w:rPr>
              <w:t>5 180</w:t>
            </w:r>
          </w:p>
        </w:tc>
        <w:tc>
          <w:tcPr>
            <w:tcW w:w="992" w:type="dxa"/>
            <w:tcBorders>
              <w:top w:val="nil"/>
              <w:left w:val="nil"/>
              <w:bottom w:val="nil"/>
              <w:right w:val="nil"/>
            </w:tcBorders>
            <w:vAlign w:val="center"/>
          </w:tcPr>
          <w:p w:rsidR="0032384B" w:rsidRPr="00765C97" w:rsidRDefault="002921ED">
            <w:pPr>
              <w:jc w:val="right"/>
              <w:rPr>
                <w:rFonts w:ascii="Arial" w:hAnsi="Arial"/>
                <w:sz w:val="20"/>
                <w:lang w:val="pl-PL"/>
              </w:rPr>
            </w:pPr>
            <w:r w:rsidRPr="00765C97">
              <w:rPr>
                <w:rFonts w:ascii="Arial" w:hAnsi="Arial"/>
                <w:sz w:val="20"/>
                <w:lang w:val="pl-PL"/>
              </w:rPr>
              <w:t>80 410</w:t>
            </w:r>
          </w:p>
        </w:tc>
      </w:tr>
      <w:tr w:rsidR="0032384B" w:rsidRPr="00765C97" w:rsidTr="00D11CE7">
        <w:trPr>
          <w:trHeight w:val="255"/>
        </w:trPr>
        <w:tc>
          <w:tcPr>
            <w:tcW w:w="2694" w:type="dxa"/>
            <w:tcBorders>
              <w:top w:val="nil"/>
              <w:left w:val="nil"/>
              <w:bottom w:val="nil"/>
              <w:right w:val="nil"/>
            </w:tcBorders>
            <w:vAlign w:val="center"/>
          </w:tcPr>
          <w:p w:rsidR="0032384B" w:rsidRPr="00765C97" w:rsidRDefault="0032384B">
            <w:pPr>
              <w:rPr>
                <w:rFonts w:ascii="Arial" w:hAnsi="Arial"/>
                <w:color w:val="000000"/>
                <w:sz w:val="20"/>
                <w:lang w:val="pl-PL"/>
              </w:rPr>
            </w:pPr>
            <w:r w:rsidRPr="00765C97">
              <w:rPr>
                <w:rFonts w:ascii="Arial" w:hAnsi="Arial"/>
                <w:color w:val="000000"/>
                <w:sz w:val="20"/>
                <w:lang w:val="pl-PL"/>
              </w:rPr>
              <w:t>Zwiększenia</w:t>
            </w:r>
          </w:p>
        </w:tc>
        <w:tc>
          <w:tcPr>
            <w:tcW w:w="1276" w:type="dxa"/>
            <w:tcBorders>
              <w:top w:val="nil"/>
              <w:left w:val="nil"/>
              <w:bottom w:val="nil"/>
              <w:right w:val="nil"/>
            </w:tcBorders>
            <w:vAlign w:val="center"/>
          </w:tcPr>
          <w:p w:rsidR="0032384B" w:rsidRPr="00765C97" w:rsidRDefault="002921ED" w:rsidP="00A11A4E">
            <w:pPr>
              <w:jc w:val="right"/>
              <w:rPr>
                <w:rFonts w:ascii="Arial" w:hAnsi="Arial"/>
                <w:spacing w:val="-2"/>
                <w:sz w:val="20"/>
                <w:lang w:val="pl-PL"/>
              </w:rPr>
            </w:pPr>
            <w:r w:rsidRPr="00765C97">
              <w:rPr>
                <w:rFonts w:ascii="Arial" w:hAnsi="Arial"/>
                <w:spacing w:val="-2"/>
                <w:sz w:val="20"/>
                <w:lang w:val="pl-PL"/>
              </w:rPr>
              <w:t>1 484</w:t>
            </w:r>
          </w:p>
        </w:tc>
        <w:tc>
          <w:tcPr>
            <w:tcW w:w="1134" w:type="dxa"/>
            <w:tcBorders>
              <w:top w:val="nil"/>
              <w:left w:val="nil"/>
              <w:bottom w:val="nil"/>
              <w:right w:val="nil"/>
            </w:tcBorders>
            <w:vAlign w:val="center"/>
          </w:tcPr>
          <w:p w:rsidR="0032384B" w:rsidRPr="00765C97" w:rsidRDefault="002921ED" w:rsidP="00A11A4E">
            <w:pPr>
              <w:jc w:val="right"/>
              <w:rPr>
                <w:rFonts w:ascii="Arial" w:hAnsi="Arial"/>
                <w:spacing w:val="-3"/>
                <w:sz w:val="20"/>
                <w:lang w:val="pl-PL"/>
              </w:rPr>
            </w:pPr>
            <w:r w:rsidRPr="00765C97">
              <w:rPr>
                <w:rFonts w:ascii="Arial" w:hAnsi="Arial"/>
                <w:spacing w:val="-3"/>
                <w:sz w:val="20"/>
                <w:lang w:val="pl-PL"/>
              </w:rPr>
              <w:t>-</w:t>
            </w:r>
          </w:p>
        </w:tc>
        <w:tc>
          <w:tcPr>
            <w:tcW w:w="1559" w:type="dxa"/>
            <w:tcBorders>
              <w:top w:val="nil"/>
              <w:left w:val="nil"/>
              <w:bottom w:val="nil"/>
              <w:right w:val="nil"/>
            </w:tcBorders>
            <w:vAlign w:val="center"/>
          </w:tcPr>
          <w:p w:rsidR="0032384B" w:rsidRPr="00765C97" w:rsidRDefault="00327A92" w:rsidP="002253CA">
            <w:pPr>
              <w:jc w:val="right"/>
              <w:rPr>
                <w:rFonts w:ascii="Arial" w:hAnsi="Arial"/>
                <w:spacing w:val="-3"/>
                <w:sz w:val="20"/>
                <w:lang w:val="pl-PL"/>
              </w:rPr>
            </w:pPr>
            <w:r w:rsidRPr="00765C97">
              <w:rPr>
                <w:rFonts w:ascii="Arial" w:hAnsi="Arial"/>
                <w:spacing w:val="-3"/>
                <w:sz w:val="20"/>
                <w:lang w:val="pl-PL"/>
              </w:rPr>
              <w:t>27 992</w:t>
            </w:r>
          </w:p>
        </w:tc>
        <w:tc>
          <w:tcPr>
            <w:tcW w:w="992" w:type="dxa"/>
            <w:tcBorders>
              <w:top w:val="nil"/>
              <w:left w:val="nil"/>
              <w:bottom w:val="nil"/>
              <w:right w:val="nil"/>
            </w:tcBorders>
            <w:vAlign w:val="center"/>
          </w:tcPr>
          <w:p w:rsidR="0032384B" w:rsidRPr="00765C97" w:rsidRDefault="00327A92" w:rsidP="00F568D5">
            <w:pPr>
              <w:jc w:val="right"/>
              <w:rPr>
                <w:rFonts w:ascii="Arial" w:hAnsi="Arial"/>
                <w:spacing w:val="-6"/>
                <w:sz w:val="20"/>
                <w:lang w:val="pl-PL"/>
              </w:rPr>
            </w:pPr>
            <w:r w:rsidRPr="00765C97">
              <w:rPr>
                <w:rFonts w:ascii="Arial" w:hAnsi="Arial"/>
                <w:spacing w:val="-6"/>
                <w:sz w:val="20"/>
                <w:lang w:val="pl-PL"/>
              </w:rPr>
              <w:t>14 199</w:t>
            </w:r>
          </w:p>
        </w:tc>
        <w:tc>
          <w:tcPr>
            <w:tcW w:w="992" w:type="dxa"/>
            <w:tcBorders>
              <w:top w:val="nil"/>
              <w:left w:val="nil"/>
              <w:bottom w:val="nil"/>
              <w:right w:val="nil"/>
            </w:tcBorders>
            <w:vAlign w:val="center"/>
          </w:tcPr>
          <w:p w:rsidR="0032384B" w:rsidRPr="00765C97" w:rsidRDefault="00327A92" w:rsidP="00327A92">
            <w:pPr>
              <w:jc w:val="right"/>
              <w:rPr>
                <w:rFonts w:ascii="Arial" w:hAnsi="Arial"/>
                <w:spacing w:val="-2"/>
                <w:sz w:val="20"/>
                <w:lang w:val="pl-PL"/>
              </w:rPr>
            </w:pPr>
            <w:r w:rsidRPr="00765C97">
              <w:rPr>
                <w:rFonts w:ascii="Arial" w:hAnsi="Arial"/>
                <w:spacing w:val="-2"/>
                <w:sz w:val="20"/>
                <w:lang w:val="pl-PL"/>
              </w:rPr>
              <w:t>43 675</w:t>
            </w:r>
          </w:p>
        </w:tc>
      </w:tr>
      <w:tr w:rsidR="0032384B" w:rsidRPr="00765C97" w:rsidTr="00D11CE7">
        <w:trPr>
          <w:trHeight w:val="255"/>
        </w:trPr>
        <w:tc>
          <w:tcPr>
            <w:tcW w:w="2694" w:type="dxa"/>
            <w:tcBorders>
              <w:top w:val="nil"/>
              <w:left w:val="nil"/>
              <w:bottom w:val="nil"/>
              <w:right w:val="nil"/>
            </w:tcBorders>
            <w:vAlign w:val="center"/>
          </w:tcPr>
          <w:p w:rsidR="0032384B" w:rsidRPr="00765C97" w:rsidRDefault="0032384B">
            <w:pPr>
              <w:rPr>
                <w:rFonts w:ascii="Arial" w:hAnsi="Arial"/>
                <w:color w:val="000000"/>
                <w:sz w:val="20"/>
                <w:lang w:val="pl-PL"/>
              </w:rPr>
            </w:pPr>
            <w:r w:rsidRPr="00765C97">
              <w:rPr>
                <w:rFonts w:ascii="Arial" w:hAnsi="Arial"/>
                <w:color w:val="000000"/>
                <w:sz w:val="20"/>
                <w:lang w:val="pl-PL"/>
              </w:rPr>
              <w:t>Zmniejszenia</w:t>
            </w:r>
          </w:p>
        </w:tc>
        <w:tc>
          <w:tcPr>
            <w:tcW w:w="1276" w:type="dxa"/>
            <w:tcBorders>
              <w:top w:val="nil"/>
              <w:left w:val="nil"/>
              <w:bottom w:val="nil"/>
              <w:right w:val="nil"/>
            </w:tcBorders>
            <w:vAlign w:val="center"/>
          </w:tcPr>
          <w:p w:rsidR="0032384B" w:rsidRPr="00765C97" w:rsidRDefault="00327A92" w:rsidP="00A11A4E">
            <w:pPr>
              <w:jc w:val="right"/>
              <w:rPr>
                <w:rFonts w:ascii="Arial" w:hAnsi="Arial"/>
                <w:sz w:val="20"/>
                <w:lang w:val="pl-PL"/>
              </w:rPr>
            </w:pPr>
            <w:r w:rsidRPr="00765C97">
              <w:rPr>
                <w:rFonts w:ascii="Arial" w:hAnsi="Arial"/>
                <w:sz w:val="20"/>
                <w:lang w:val="pl-PL"/>
              </w:rPr>
              <w:t>(279)</w:t>
            </w:r>
          </w:p>
        </w:tc>
        <w:tc>
          <w:tcPr>
            <w:tcW w:w="1134" w:type="dxa"/>
            <w:tcBorders>
              <w:top w:val="nil"/>
              <w:left w:val="nil"/>
              <w:bottom w:val="nil"/>
              <w:right w:val="nil"/>
            </w:tcBorders>
            <w:vAlign w:val="center"/>
          </w:tcPr>
          <w:p w:rsidR="0032384B" w:rsidRPr="00765C97" w:rsidRDefault="00327A92" w:rsidP="00A11A4E">
            <w:pPr>
              <w:jc w:val="right"/>
              <w:rPr>
                <w:rFonts w:ascii="Arial" w:hAnsi="Arial"/>
                <w:sz w:val="20"/>
                <w:lang w:val="pl-PL"/>
              </w:rPr>
            </w:pPr>
            <w:r w:rsidRPr="00765C97">
              <w:rPr>
                <w:rFonts w:ascii="Arial" w:hAnsi="Arial"/>
                <w:sz w:val="20"/>
                <w:lang w:val="pl-PL"/>
              </w:rPr>
              <w:t>-</w:t>
            </w:r>
          </w:p>
        </w:tc>
        <w:tc>
          <w:tcPr>
            <w:tcW w:w="1559" w:type="dxa"/>
            <w:tcBorders>
              <w:top w:val="nil"/>
              <w:left w:val="nil"/>
              <w:bottom w:val="nil"/>
              <w:right w:val="nil"/>
            </w:tcBorders>
            <w:vAlign w:val="center"/>
          </w:tcPr>
          <w:p w:rsidR="0032384B" w:rsidRPr="00765C97" w:rsidRDefault="00327A92" w:rsidP="00D375C5">
            <w:pPr>
              <w:jc w:val="right"/>
              <w:rPr>
                <w:rFonts w:ascii="Arial" w:hAnsi="Arial"/>
                <w:sz w:val="20"/>
                <w:lang w:val="pl-PL"/>
              </w:rPr>
            </w:pPr>
            <w:r w:rsidRPr="00765C97">
              <w:rPr>
                <w:rFonts w:ascii="Arial" w:hAnsi="Arial"/>
                <w:sz w:val="20"/>
                <w:lang w:val="pl-PL"/>
              </w:rPr>
              <w:t>(285)</w:t>
            </w:r>
          </w:p>
        </w:tc>
        <w:tc>
          <w:tcPr>
            <w:tcW w:w="992" w:type="dxa"/>
            <w:tcBorders>
              <w:top w:val="nil"/>
              <w:left w:val="nil"/>
              <w:bottom w:val="nil"/>
              <w:right w:val="nil"/>
            </w:tcBorders>
            <w:vAlign w:val="center"/>
          </w:tcPr>
          <w:p w:rsidR="0032384B" w:rsidRPr="00765C97" w:rsidRDefault="00327A92" w:rsidP="00CA2E10">
            <w:pPr>
              <w:jc w:val="right"/>
              <w:rPr>
                <w:rFonts w:ascii="Arial" w:hAnsi="Arial"/>
                <w:sz w:val="20"/>
                <w:lang w:val="pl-PL"/>
              </w:rPr>
            </w:pPr>
            <w:r w:rsidRPr="00765C97">
              <w:rPr>
                <w:rFonts w:ascii="Arial" w:hAnsi="Arial"/>
                <w:sz w:val="20"/>
                <w:lang w:val="pl-PL"/>
              </w:rPr>
              <w:t>(73</w:t>
            </w:r>
            <w:r w:rsidR="00CA2E10" w:rsidRPr="00765C97">
              <w:rPr>
                <w:rFonts w:ascii="Arial" w:hAnsi="Arial"/>
                <w:sz w:val="20"/>
                <w:lang w:val="pl-PL"/>
              </w:rPr>
              <w:t>0</w:t>
            </w:r>
            <w:r w:rsidRPr="00765C97">
              <w:rPr>
                <w:rFonts w:ascii="Arial" w:hAnsi="Arial"/>
                <w:sz w:val="20"/>
                <w:lang w:val="pl-PL"/>
              </w:rPr>
              <w:t>)</w:t>
            </w:r>
          </w:p>
        </w:tc>
        <w:tc>
          <w:tcPr>
            <w:tcW w:w="992" w:type="dxa"/>
            <w:tcBorders>
              <w:top w:val="nil"/>
              <w:left w:val="nil"/>
              <w:bottom w:val="nil"/>
              <w:right w:val="nil"/>
            </w:tcBorders>
            <w:vAlign w:val="center"/>
          </w:tcPr>
          <w:p w:rsidR="0032384B" w:rsidRPr="00765C97" w:rsidRDefault="00327A92" w:rsidP="00CA2E10">
            <w:pPr>
              <w:jc w:val="right"/>
              <w:rPr>
                <w:rFonts w:ascii="Arial" w:hAnsi="Arial"/>
                <w:sz w:val="20"/>
                <w:lang w:val="pl-PL"/>
              </w:rPr>
            </w:pPr>
            <w:r w:rsidRPr="00765C97">
              <w:rPr>
                <w:rFonts w:ascii="Arial" w:hAnsi="Arial"/>
                <w:sz w:val="20"/>
                <w:lang w:val="pl-PL"/>
              </w:rPr>
              <w:t>(1 29</w:t>
            </w:r>
            <w:r w:rsidR="00CA2E10" w:rsidRPr="00765C97">
              <w:rPr>
                <w:rFonts w:ascii="Arial" w:hAnsi="Arial"/>
                <w:sz w:val="20"/>
                <w:lang w:val="pl-PL"/>
              </w:rPr>
              <w:t>4</w:t>
            </w:r>
            <w:r w:rsidRPr="00765C97">
              <w:rPr>
                <w:rFonts w:ascii="Arial" w:hAnsi="Arial"/>
                <w:sz w:val="20"/>
                <w:lang w:val="pl-PL"/>
              </w:rPr>
              <w:t>)</w:t>
            </w:r>
          </w:p>
        </w:tc>
      </w:tr>
      <w:tr w:rsidR="0032384B" w:rsidRPr="00765C97" w:rsidTr="00D11CE7">
        <w:trPr>
          <w:trHeight w:val="255"/>
        </w:trPr>
        <w:tc>
          <w:tcPr>
            <w:tcW w:w="2694" w:type="dxa"/>
            <w:tcBorders>
              <w:top w:val="nil"/>
              <w:left w:val="nil"/>
              <w:bottom w:val="nil"/>
              <w:right w:val="nil"/>
            </w:tcBorders>
            <w:vAlign w:val="center"/>
          </w:tcPr>
          <w:p w:rsidR="0032384B" w:rsidRPr="00765C97" w:rsidRDefault="0032384B">
            <w:pPr>
              <w:rPr>
                <w:rFonts w:ascii="Arial" w:hAnsi="Arial"/>
                <w:color w:val="000000"/>
                <w:sz w:val="20"/>
                <w:lang w:val="pl-PL"/>
              </w:rPr>
            </w:pPr>
            <w:r w:rsidRPr="00765C97">
              <w:rPr>
                <w:rFonts w:ascii="Arial" w:hAnsi="Arial"/>
                <w:color w:val="000000"/>
                <w:sz w:val="20"/>
                <w:lang w:val="pl-PL"/>
              </w:rPr>
              <w:t>Amortyzacja</w:t>
            </w:r>
          </w:p>
        </w:tc>
        <w:tc>
          <w:tcPr>
            <w:tcW w:w="1276" w:type="dxa"/>
            <w:tcBorders>
              <w:top w:val="nil"/>
              <w:left w:val="nil"/>
              <w:bottom w:val="single" w:sz="2" w:space="0" w:color="auto"/>
              <w:right w:val="nil"/>
            </w:tcBorders>
            <w:vAlign w:val="center"/>
          </w:tcPr>
          <w:p w:rsidR="0032384B" w:rsidRPr="00765C97" w:rsidRDefault="00327A92" w:rsidP="00D375C5">
            <w:pPr>
              <w:jc w:val="right"/>
              <w:rPr>
                <w:rFonts w:ascii="Arial" w:hAnsi="Arial"/>
                <w:sz w:val="20"/>
                <w:lang w:val="pl-PL"/>
              </w:rPr>
            </w:pPr>
            <w:r w:rsidRPr="00765C97">
              <w:rPr>
                <w:rFonts w:ascii="Arial" w:hAnsi="Arial"/>
                <w:sz w:val="20"/>
                <w:lang w:val="pl-PL"/>
              </w:rPr>
              <w:t>(38)</w:t>
            </w:r>
          </w:p>
        </w:tc>
        <w:tc>
          <w:tcPr>
            <w:tcW w:w="1134" w:type="dxa"/>
            <w:tcBorders>
              <w:top w:val="nil"/>
              <w:left w:val="nil"/>
              <w:bottom w:val="single" w:sz="2" w:space="0" w:color="auto"/>
              <w:right w:val="nil"/>
            </w:tcBorders>
            <w:vAlign w:val="center"/>
          </w:tcPr>
          <w:p w:rsidR="0032384B" w:rsidRPr="00765C97" w:rsidRDefault="00327A92" w:rsidP="00327A92">
            <w:pPr>
              <w:jc w:val="right"/>
              <w:rPr>
                <w:rFonts w:ascii="Arial" w:hAnsi="Arial"/>
                <w:spacing w:val="-3"/>
                <w:sz w:val="20"/>
                <w:lang w:val="pl-PL"/>
              </w:rPr>
            </w:pPr>
            <w:r w:rsidRPr="00765C97">
              <w:rPr>
                <w:rFonts w:ascii="Arial" w:hAnsi="Arial"/>
                <w:spacing w:val="-3"/>
                <w:sz w:val="20"/>
                <w:lang w:val="pl-PL"/>
              </w:rPr>
              <w:t>(93)</w:t>
            </w:r>
          </w:p>
        </w:tc>
        <w:tc>
          <w:tcPr>
            <w:tcW w:w="1559" w:type="dxa"/>
            <w:tcBorders>
              <w:top w:val="nil"/>
              <w:left w:val="nil"/>
              <w:bottom w:val="single" w:sz="2" w:space="0" w:color="auto"/>
              <w:right w:val="nil"/>
            </w:tcBorders>
            <w:vAlign w:val="center"/>
          </w:tcPr>
          <w:p w:rsidR="0032384B" w:rsidRPr="00765C97" w:rsidRDefault="00327A92" w:rsidP="00327A92">
            <w:pPr>
              <w:jc w:val="right"/>
              <w:rPr>
                <w:rFonts w:ascii="Arial" w:hAnsi="Arial"/>
                <w:spacing w:val="-3"/>
                <w:sz w:val="20"/>
                <w:lang w:val="pl-PL"/>
              </w:rPr>
            </w:pPr>
            <w:r w:rsidRPr="00765C97">
              <w:rPr>
                <w:rFonts w:ascii="Arial" w:hAnsi="Arial"/>
                <w:spacing w:val="-3"/>
                <w:sz w:val="20"/>
                <w:lang w:val="pl-PL"/>
              </w:rPr>
              <w:t>(21 995)</w:t>
            </w:r>
          </w:p>
        </w:tc>
        <w:tc>
          <w:tcPr>
            <w:tcW w:w="992" w:type="dxa"/>
            <w:tcBorders>
              <w:top w:val="nil"/>
              <w:left w:val="nil"/>
              <w:bottom w:val="single" w:sz="2" w:space="0" w:color="auto"/>
              <w:right w:val="nil"/>
            </w:tcBorders>
            <w:vAlign w:val="center"/>
          </w:tcPr>
          <w:p w:rsidR="0032384B" w:rsidRPr="00765C97" w:rsidRDefault="00327A92" w:rsidP="00CA2E10">
            <w:pPr>
              <w:jc w:val="right"/>
              <w:rPr>
                <w:rFonts w:ascii="Arial" w:hAnsi="Arial"/>
                <w:spacing w:val="-3"/>
                <w:sz w:val="20"/>
                <w:lang w:val="pl-PL"/>
              </w:rPr>
            </w:pPr>
            <w:r w:rsidRPr="00765C97">
              <w:rPr>
                <w:rFonts w:ascii="Arial" w:hAnsi="Arial"/>
                <w:spacing w:val="-3"/>
                <w:sz w:val="20"/>
                <w:lang w:val="pl-PL"/>
              </w:rPr>
              <w:t>(4 26</w:t>
            </w:r>
            <w:r w:rsidR="00CA2E10" w:rsidRPr="00765C97">
              <w:rPr>
                <w:rFonts w:ascii="Arial" w:hAnsi="Arial"/>
                <w:spacing w:val="-3"/>
                <w:sz w:val="20"/>
                <w:lang w:val="pl-PL"/>
              </w:rPr>
              <w:t>4</w:t>
            </w:r>
            <w:r w:rsidRPr="00765C97">
              <w:rPr>
                <w:rFonts w:ascii="Arial" w:hAnsi="Arial"/>
                <w:spacing w:val="-3"/>
                <w:sz w:val="20"/>
                <w:lang w:val="pl-PL"/>
              </w:rPr>
              <w:t>)</w:t>
            </w:r>
          </w:p>
        </w:tc>
        <w:tc>
          <w:tcPr>
            <w:tcW w:w="992" w:type="dxa"/>
            <w:tcBorders>
              <w:top w:val="nil"/>
              <w:left w:val="nil"/>
              <w:bottom w:val="single" w:sz="2" w:space="0" w:color="auto"/>
              <w:right w:val="nil"/>
            </w:tcBorders>
            <w:vAlign w:val="center"/>
          </w:tcPr>
          <w:p w:rsidR="0032384B" w:rsidRPr="00765C97" w:rsidRDefault="00327A92" w:rsidP="00CA2E10">
            <w:pPr>
              <w:jc w:val="right"/>
              <w:rPr>
                <w:rFonts w:ascii="Arial" w:hAnsi="Arial"/>
                <w:spacing w:val="-2"/>
                <w:sz w:val="20"/>
                <w:lang w:val="pl-PL"/>
              </w:rPr>
            </w:pPr>
            <w:r w:rsidRPr="00765C97">
              <w:rPr>
                <w:rFonts w:ascii="Arial" w:hAnsi="Arial"/>
                <w:spacing w:val="-2"/>
                <w:sz w:val="20"/>
                <w:lang w:val="pl-PL"/>
              </w:rPr>
              <w:t>(26 3</w:t>
            </w:r>
            <w:r w:rsidR="00CA2E10" w:rsidRPr="00765C97">
              <w:rPr>
                <w:rFonts w:ascii="Arial" w:hAnsi="Arial"/>
                <w:spacing w:val="-2"/>
                <w:sz w:val="20"/>
                <w:lang w:val="pl-PL"/>
              </w:rPr>
              <w:t>90</w:t>
            </w:r>
            <w:r w:rsidRPr="00765C97">
              <w:rPr>
                <w:rFonts w:ascii="Arial" w:hAnsi="Arial"/>
                <w:spacing w:val="-2"/>
                <w:sz w:val="20"/>
                <w:lang w:val="pl-PL"/>
              </w:rPr>
              <w:t>)</w:t>
            </w:r>
          </w:p>
        </w:tc>
      </w:tr>
      <w:tr w:rsidR="0032384B" w:rsidRPr="00765C97" w:rsidTr="00D11CE7">
        <w:trPr>
          <w:trHeight w:val="255"/>
        </w:trPr>
        <w:tc>
          <w:tcPr>
            <w:tcW w:w="2694" w:type="dxa"/>
            <w:tcBorders>
              <w:top w:val="nil"/>
              <w:left w:val="nil"/>
              <w:bottom w:val="nil"/>
              <w:right w:val="nil"/>
            </w:tcBorders>
            <w:vAlign w:val="center"/>
          </w:tcPr>
          <w:p w:rsidR="0032384B" w:rsidRPr="00765C97" w:rsidRDefault="0032384B">
            <w:pPr>
              <w:rPr>
                <w:rFonts w:ascii="Arial" w:hAnsi="Arial"/>
                <w:color w:val="000000"/>
                <w:sz w:val="20"/>
                <w:lang w:val="pl-PL"/>
              </w:rPr>
            </w:pPr>
            <w:r w:rsidRPr="00765C97">
              <w:rPr>
                <w:rFonts w:ascii="Arial" w:hAnsi="Arial"/>
                <w:color w:val="000000"/>
                <w:sz w:val="20"/>
                <w:lang w:val="pl-PL"/>
              </w:rPr>
              <w:t xml:space="preserve">Wartość księgowa netto na </w:t>
            </w:r>
          </w:p>
          <w:p w:rsidR="0032384B" w:rsidRPr="00765C97" w:rsidRDefault="006A59F1" w:rsidP="0032384B">
            <w:pPr>
              <w:rPr>
                <w:rFonts w:ascii="Arial" w:hAnsi="Arial"/>
                <w:color w:val="000000"/>
                <w:sz w:val="20"/>
                <w:lang w:val="pl-PL"/>
              </w:rPr>
            </w:pPr>
            <w:r w:rsidRPr="00765C97">
              <w:rPr>
                <w:rFonts w:ascii="Arial" w:hAnsi="Arial"/>
                <w:color w:val="000000"/>
                <w:sz w:val="20"/>
                <w:lang w:val="pl-PL"/>
              </w:rPr>
              <w:t>31 grudnia 2012</w:t>
            </w:r>
            <w:r w:rsidR="0032384B" w:rsidRPr="00765C97">
              <w:rPr>
                <w:rFonts w:ascii="Arial" w:hAnsi="Arial"/>
                <w:color w:val="000000"/>
                <w:sz w:val="20"/>
                <w:lang w:val="pl-PL"/>
              </w:rPr>
              <w:t xml:space="preserve"> r.</w:t>
            </w:r>
          </w:p>
        </w:tc>
        <w:tc>
          <w:tcPr>
            <w:tcW w:w="1276" w:type="dxa"/>
            <w:tcBorders>
              <w:top w:val="single" w:sz="2" w:space="0" w:color="auto"/>
              <w:left w:val="nil"/>
              <w:bottom w:val="single" w:sz="2" w:space="0" w:color="auto"/>
              <w:right w:val="nil"/>
            </w:tcBorders>
            <w:vAlign w:val="center"/>
          </w:tcPr>
          <w:p w:rsidR="0032384B" w:rsidRPr="00765C97" w:rsidRDefault="00327A92" w:rsidP="00A11A4E">
            <w:pPr>
              <w:jc w:val="right"/>
              <w:rPr>
                <w:rFonts w:ascii="Arial" w:hAnsi="Arial"/>
                <w:sz w:val="20"/>
                <w:lang w:val="pl-PL"/>
              </w:rPr>
            </w:pPr>
            <w:r w:rsidRPr="00765C97">
              <w:rPr>
                <w:rFonts w:ascii="Arial" w:hAnsi="Arial"/>
                <w:sz w:val="20"/>
                <w:lang w:val="pl-PL"/>
              </w:rPr>
              <w:t>1 167</w:t>
            </w:r>
          </w:p>
        </w:tc>
        <w:tc>
          <w:tcPr>
            <w:tcW w:w="1134" w:type="dxa"/>
            <w:tcBorders>
              <w:top w:val="single" w:sz="2" w:space="0" w:color="auto"/>
              <w:left w:val="nil"/>
              <w:bottom w:val="single" w:sz="2" w:space="0" w:color="auto"/>
              <w:right w:val="nil"/>
            </w:tcBorders>
            <w:vAlign w:val="center"/>
          </w:tcPr>
          <w:p w:rsidR="0032384B" w:rsidRPr="00765C97" w:rsidRDefault="00327A92" w:rsidP="00A11A4E">
            <w:pPr>
              <w:jc w:val="right"/>
              <w:rPr>
                <w:rFonts w:ascii="Arial" w:hAnsi="Arial"/>
                <w:sz w:val="20"/>
                <w:lang w:val="pl-PL"/>
              </w:rPr>
            </w:pPr>
            <w:r w:rsidRPr="00765C97">
              <w:rPr>
                <w:rFonts w:ascii="Arial" w:hAnsi="Arial"/>
                <w:sz w:val="20"/>
                <w:lang w:val="pl-PL"/>
              </w:rPr>
              <w:t>39 128</w:t>
            </w:r>
          </w:p>
        </w:tc>
        <w:tc>
          <w:tcPr>
            <w:tcW w:w="1559" w:type="dxa"/>
            <w:tcBorders>
              <w:top w:val="single" w:sz="2" w:space="0" w:color="auto"/>
              <w:left w:val="nil"/>
              <w:bottom w:val="single" w:sz="2" w:space="0" w:color="auto"/>
              <w:right w:val="nil"/>
            </w:tcBorders>
            <w:vAlign w:val="center"/>
          </w:tcPr>
          <w:p w:rsidR="0032384B" w:rsidRPr="00765C97" w:rsidRDefault="00327A92" w:rsidP="002253CA">
            <w:pPr>
              <w:jc w:val="right"/>
              <w:rPr>
                <w:rFonts w:ascii="Arial" w:hAnsi="Arial"/>
                <w:sz w:val="20"/>
                <w:lang w:val="pl-PL"/>
              </w:rPr>
            </w:pPr>
            <w:r w:rsidRPr="00765C97">
              <w:rPr>
                <w:rFonts w:ascii="Arial" w:hAnsi="Arial"/>
                <w:sz w:val="20"/>
                <w:lang w:val="pl-PL"/>
              </w:rPr>
              <w:t>41 721</w:t>
            </w:r>
          </w:p>
        </w:tc>
        <w:tc>
          <w:tcPr>
            <w:tcW w:w="992" w:type="dxa"/>
            <w:tcBorders>
              <w:top w:val="single" w:sz="2" w:space="0" w:color="auto"/>
              <w:left w:val="nil"/>
              <w:bottom w:val="single" w:sz="2" w:space="0" w:color="auto"/>
              <w:right w:val="nil"/>
            </w:tcBorders>
            <w:vAlign w:val="center"/>
          </w:tcPr>
          <w:p w:rsidR="0032384B" w:rsidRPr="00765C97" w:rsidRDefault="00327A92" w:rsidP="00327A92">
            <w:pPr>
              <w:jc w:val="right"/>
              <w:rPr>
                <w:rFonts w:ascii="Arial" w:hAnsi="Arial"/>
                <w:sz w:val="20"/>
                <w:lang w:val="pl-PL"/>
              </w:rPr>
            </w:pPr>
            <w:r w:rsidRPr="00765C97">
              <w:rPr>
                <w:rFonts w:ascii="Arial" w:hAnsi="Arial"/>
                <w:sz w:val="20"/>
                <w:lang w:val="pl-PL"/>
              </w:rPr>
              <w:t>14 385</w:t>
            </w:r>
          </w:p>
        </w:tc>
        <w:tc>
          <w:tcPr>
            <w:tcW w:w="992" w:type="dxa"/>
            <w:tcBorders>
              <w:top w:val="single" w:sz="2" w:space="0" w:color="auto"/>
              <w:left w:val="nil"/>
              <w:bottom w:val="single" w:sz="2" w:space="0" w:color="auto"/>
              <w:right w:val="nil"/>
            </w:tcBorders>
            <w:vAlign w:val="center"/>
          </w:tcPr>
          <w:p w:rsidR="0032384B" w:rsidRPr="00765C97" w:rsidRDefault="00327A92">
            <w:pPr>
              <w:jc w:val="right"/>
              <w:rPr>
                <w:rFonts w:ascii="Arial" w:hAnsi="Arial"/>
                <w:sz w:val="20"/>
                <w:lang w:val="pl-PL"/>
              </w:rPr>
            </w:pPr>
            <w:r w:rsidRPr="00765C97">
              <w:rPr>
                <w:rFonts w:ascii="Arial" w:hAnsi="Arial"/>
                <w:sz w:val="20"/>
                <w:lang w:val="pl-PL"/>
              </w:rPr>
              <w:t>96 401</w:t>
            </w:r>
          </w:p>
        </w:tc>
      </w:tr>
      <w:tr w:rsidR="0032384B" w:rsidRPr="00765C97" w:rsidTr="00D11CE7">
        <w:trPr>
          <w:trHeight w:val="255"/>
        </w:trPr>
        <w:tc>
          <w:tcPr>
            <w:tcW w:w="2694" w:type="dxa"/>
            <w:tcBorders>
              <w:top w:val="nil"/>
              <w:left w:val="nil"/>
              <w:bottom w:val="nil"/>
              <w:right w:val="nil"/>
            </w:tcBorders>
            <w:vAlign w:val="center"/>
          </w:tcPr>
          <w:p w:rsidR="0032384B" w:rsidRPr="00765C97" w:rsidRDefault="00455C28" w:rsidP="0032384B">
            <w:pPr>
              <w:rPr>
                <w:rFonts w:ascii="Arial" w:hAnsi="Arial"/>
                <w:color w:val="000000"/>
                <w:sz w:val="20"/>
                <w:lang w:val="pl-PL"/>
              </w:rPr>
            </w:pPr>
            <w:r w:rsidRPr="00765C97">
              <w:rPr>
                <w:rFonts w:ascii="Arial" w:hAnsi="Arial"/>
                <w:b/>
                <w:sz w:val="20"/>
                <w:lang w:val="pl-PL"/>
              </w:rPr>
              <w:t>Stan na 31 grudnia 2012</w:t>
            </w:r>
            <w:r w:rsidR="0032384B" w:rsidRPr="00765C97">
              <w:rPr>
                <w:rFonts w:ascii="Arial" w:hAnsi="Arial"/>
                <w:b/>
                <w:sz w:val="20"/>
                <w:lang w:val="pl-PL"/>
              </w:rPr>
              <w:t xml:space="preserve"> r.</w:t>
            </w:r>
          </w:p>
        </w:tc>
        <w:tc>
          <w:tcPr>
            <w:tcW w:w="1276" w:type="dxa"/>
            <w:tcBorders>
              <w:top w:val="single" w:sz="2" w:space="0" w:color="auto"/>
              <w:left w:val="nil"/>
              <w:right w:val="nil"/>
            </w:tcBorders>
            <w:vAlign w:val="center"/>
          </w:tcPr>
          <w:p w:rsidR="0032384B" w:rsidRPr="00765C97" w:rsidRDefault="0032384B" w:rsidP="00A11A4E">
            <w:pPr>
              <w:jc w:val="right"/>
              <w:rPr>
                <w:rFonts w:ascii="Arial" w:hAnsi="Arial"/>
                <w:b/>
                <w:sz w:val="20"/>
                <w:lang w:val="pl-PL"/>
              </w:rPr>
            </w:pPr>
          </w:p>
        </w:tc>
        <w:tc>
          <w:tcPr>
            <w:tcW w:w="1134" w:type="dxa"/>
            <w:tcBorders>
              <w:top w:val="single" w:sz="2" w:space="0" w:color="auto"/>
              <w:left w:val="nil"/>
              <w:right w:val="nil"/>
            </w:tcBorders>
            <w:vAlign w:val="center"/>
          </w:tcPr>
          <w:p w:rsidR="0032384B" w:rsidRPr="00765C97" w:rsidRDefault="0032384B" w:rsidP="00A11A4E">
            <w:pPr>
              <w:jc w:val="right"/>
              <w:rPr>
                <w:rFonts w:ascii="Arial" w:hAnsi="Arial"/>
                <w:b/>
                <w:sz w:val="20"/>
                <w:lang w:val="pl-PL"/>
              </w:rPr>
            </w:pPr>
          </w:p>
        </w:tc>
        <w:tc>
          <w:tcPr>
            <w:tcW w:w="1559" w:type="dxa"/>
            <w:tcBorders>
              <w:top w:val="single" w:sz="2" w:space="0" w:color="auto"/>
              <w:left w:val="nil"/>
              <w:right w:val="nil"/>
            </w:tcBorders>
            <w:vAlign w:val="center"/>
          </w:tcPr>
          <w:p w:rsidR="0032384B" w:rsidRPr="00765C97" w:rsidRDefault="0032384B">
            <w:pPr>
              <w:jc w:val="right"/>
              <w:rPr>
                <w:rFonts w:ascii="Arial" w:hAnsi="Arial"/>
                <w:b/>
                <w:sz w:val="20"/>
                <w:lang w:val="pl-PL"/>
              </w:rPr>
            </w:pPr>
          </w:p>
        </w:tc>
        <w:tc>
          <w:tcPr>
            <w:tcW w:w="992" w:type="dxa"/>
            <w:tcBorders>
              <w:top w:val="single" w:sz="2" w:space="0" w:color="auto"/>
              <w:left w:val="nil"/>
              <w:right w:val="nil"/>
            </w:tcBorders>
            <w:vAlign w:val="center"/>
          </w:tcPr>
          <w:p w:rsidR="0032384B" w:rsidRPr="00765C97" w:rsidRDefault="0032384B">
            <w:pPr>
              <w:jc w:val="right"/>
              <w:rPr>
                <w:rFonts w:ascii="Arial" w:hAnsi="Arial"/>
                <w:b/>
                <w:sz w:val="20"/>
                <w:lang w:val="pl-PL"/>
              </w:rPr>
            </w:pPr>
          </w:p>
        </w:tc>
        <w:tc>
          <w:tcPr>
            <w:tcW w:w="992" w:type="dxa"/>
            <w:tcBorders>
              <w:top w:val="single" w:sz="2" w:space="0" w:color="auto"/>
              <w:left w:val="nil"/>
              <w:right w:val="nil"/>
            </w:tcBorders>
            <w:vAlign w:val="center"/>
          </w:tcPr>
          <w:p w:rsidR="0032384B" w:rsidRPr="00765C97" w:rsidRDefault="0032384B">
            <w:pPr>
              <w:jc w:val="right"/>
              <w:rPr>
                <w:rFonts w:ascii="Arial" w:hAnsi="Arial"/>
                <w:b/>
                <w:sz w:val="20"/>
                <w:lang w:val="pl-PL"/>
              </w:rPr>
            </w:pPr>
          </w:p>
        </w:tc>
      </w:tr>
      <w:tr w:rsidR="0032384B" w:rsidRPr="00765C97" w:rsidTr="00D11CE7">
        <w:trPr>
          <w:trHeight w:val="255"/>
        </w:trPr>
        <w:tc>
          <w:tcPr>
            <w:tcW w:w="2694" w:type="dxa"/>
            <w:tcBorders>
              <w:top w:val="nil"/>
              <w:left w:val="nil"/>
              <w:bottom w:val="nil"/>
              <w:right w:val="nil"/>
            </w:tcBorders>
            <w:vAlign w:val="center"/>
          </w:tcPr>
          <w:p w:rsidR="0032384B" w:rsidRPr="00765C97" w:rsidRDefault="0032384B">
            <w:pPr>
              <w:rPr>
                <w:rFonts w:ascii="Arial" w:hAnsi="Arial"/>
                <w:color w:val="000000"/>
                <w:sz w:val="20"/>
                <w:lang w:val="pl-PL"/>
              </w:rPr>
            </w:pPr>
            <w:r w:rsidRPr="00765C97">
              <w:rPr>
                <w:rFonts w:ascii="Arial" w:hAnsi="Arial"/>
                <w:color w:val="000000"/>
                <w:sz w:val="20"/>
                <w:lang w:val="pl-PL"/>
              </w:rPr>
              <w:t>Koszt (brutto)</w:t>
            </w:r>
          </w:p>
        </w:tc>
        <w:tc>
          <w:tcPr>
            <w:tcW w:w="1276" w:type="dxa"/>
            <w:tcBorders>
              <w:left w:val="nil"/>
              <w:right w:val="nil"/>
            </w:tcBorders>
            <w:vAlign w:val="center"/>
          </w:tcPr>
          <w:p w:rsidR="0032384B" w:rsidRPr="00765C97" w:rsidRDefault="00327A92" w:rsidP="00A51FEA">
            <w:pPr>
              <w:jc w:val="right"/>
              <w:rPr>
                <w:rFonts w:ascii="Arial" w:hAnsi="Arial"/>
                <w:sz w:val="20"/>
                <w:lang w:val="pl-PL"/>
              </w:rPr>
            </w:pPr>
            <w:r w:rsidRPr="00765C97">
              <w:rPr>
                <w:rFonts w:ascii="Arial" w:hAnsi="Arial"/>
                <w:sz w:val="20"/>
                <w:lang w:val="pl-PL"/>
              </w:rPr>
              <w:t>3 26</w:t>
            </w:r>
            <w:r w:rsidR="00A51FEA" w:rsidRPr="00765C97">
              <w:rPr>
                <w:rFonts w:ascii="Arial" w:hAnsi="Arial"/>
                <w:sz w:val="20"/>
                <w:lang w:val="pl-PL"/>
              </w:rPr>
              <w:t>2</w:t>
            </w:r>
          </w:p>
        </w:tc>
        <w:tc>
          <w:tcPr>
            <w:tcW w:w="1134" w:type="dxa"/>
            <w:tcBorders>
              <w:left w:val="nil"/>
              <w:right w:val="nil"/>
            </w:tcBorders>
            <w:vAlign w:val="center"/>
          </w:tcPr>
          <w:p w:rsidR="0032384B" w:rsidRPr="00765C97" w:rsidRDefault="00327A92" w:rsidP="00A11A4E">
            <w:pPr>
              <w:jc w:val="right"/>
              <w:rPr>
                <w:rFonts w:ascii="Arial" w:hAnsi="Arial"/>
                <w:sz w:val="20"/>
                <w:lang w:val="pl-PL"/>
              </w:rPr>
            </w:pPr>
            <w:r w:rsidRPr="00765C97">
              <w:rPr>
                <w:rFonts w:ascii="Arial" w:hAnsi="Arial"/>
                <w:sz w:val="20"/>
                <w:lang w:val="pl-PL"/>
              </w:rPr>
              <w:t>39 940</w:t>
            </w:r>
          </w:p>
        </w:tc>
        <w:tc>
          <w:tcPr>
            <w:tcW w:w="1559" w:type="dxa"/>
            <w:tcBorders>
              <w:left w:val="nil"/>
              <w:right w:val="nil"/>
            </w:tcBorders>
            <w:vAlign w:val="center"/>
          </w:tcPr>
          <w:p w:rsidR="0032384B" w:rsidRPr="00765C97" w:rsidRDefault="00327A92" w:rsidP="00CA37A2">
            <w:pPr>
              <w:jc w:val="right"/>
              <w:rPr>
                <w:rFonts w:ascii="Arial" w:hAnsi="Arial"/>
                <w:sz w:val="20"/>
                <w:lang w:val="pl-PL"/>
              </w:rPr>
            </w:pPr>
            <w:r w:rsidRPr="00765C97">
              <w:rPr>
                <w:rFonts w:ascii="Arial" w:hAnsi="Arial"/>
                <w:sz w:val="20"/>
                <w:lang w:val="pl-PL"/>
              </w:rPr>
              <w:t>130 474</w:t>
            </w:r>
          </w:p>
        </w:tc>
        <w:tc>
          <w:tcPr>
            <w:tcW w:w="992" w:type="dxa"/>
            <w:tcBorders>
              <w:left w:val="nil"/>
              <w:right w:val="nil"/>
            </w:tcBorders>
            <w:vAlign w:val="center"/>
          </w:tcPr>
          <w:p w:rsidR="0032384B" w:rsidRPr="00765C97" w:rsidRDefault="00327A92" w:rsidP="00CA2E10">
            <w:pPr>
              <w:jc w:val="right"/>
              <w:rPr>
                <w:rFonts w:ascii="Arial" w:hAnsi="Arial"/>
                <w:sz w:val="20"/>
                <w:lang w:val="pl-PL"/>
              </w:rPr>
            </w:pPr>
            <w:r w:rsidRPr="00765C97">
              <w:rPr>
                <w:rFonts w:ascii="Arial" w:hAnsi="Arial"/>
                <w:sz w:val="20"/>
                <w:lang w:val="pl-PL"/>
              </w:rPr>
              <w:t>26 87</w:t>
            </w:r>
            <w:r w:rsidR="00CA2E10" w:rsidRPr="00765C97">
              <w:rPr>
                <w:rFonts w:ascii="Arial" w:hAnsi="Arial"/>
                <w:sz w:val="20"/>
                <w:lang w:val="pl-PL"/>
              </w:rPr>
              <w:t>5</w:t>
            </w:r>
          </w:p>
        </w:tc>
        <w:tc>
          <w:tcPr>
            <w:tcW w:w="992" w:type="dxa"/>
            <w:tcBorders>
              <w:left w:val="nil"/>
              <w:right w:val="nil"/>
            </w:tcBorders>
            <w:vAlign w:val="center"/>
          </w:tcPr>
          <w:p w:rsidR="0032384B" w:rsidRPr="00765C97" w:rsidRDefault="00327A92" w:rsidP="00CA2E10">
            <w:pPr>
              <w:jc w:val="right"/>
              <w:rPr>
                <w:rFonts w:ascii="Arial" w:hAnsi="Arial"/>
                <w:sz w:val="20"/>
                <w:lang w:val="pl-PL"/>
              </w:rPr>
            </w:pPr>
            <w:r w:rsidRPr="00765C97">
              <w:rPr>
                <w:rFonts w:ascii="Arial" w:hAnsi="Arial"/>
                <w:sz w:val="20"/>
                <w:lang w:val="pl-PL"/>
              </w:rPr>
              <w:t>200 5</w:t>
            </w:r>
            <w:r w:rsidR="00CA2E10" w:rsidRPr="00765C97">
              <w:rPr>
                <w:rFonts w:ascii="Arial" w:hAnsi="Arial"/>
                <w:sz w:val="20"/>
                <w:lang w:val="pl-PL"/>
              </w:rPr>
              <w:t>49</w:t>
            </w:r>
          </w:p>
        </w:tc>
      </w:tr>
      <w:tr w:rsidR="0032384B" w:rsidRPr="00765C97" w:rsidTr="00D11CE7">
        <w:trPr>
          <w:trHeight w:val="255"/>
        </w:trPr>
        <w:tc>
          <w:tcPr>
            <w:tcW w:w="2694" w:type="dxa"/>
            <w:tcBorders>
              <w:top w:val="nil"/>
              <w:left w:val="nil"/>
              <w:bottom w:val="nil"/>
              <w:right w:val="nil"/>
            </w:tcBorders>
            <w:vAlign w:val="center"/>
          </w:tcPr>
          <w:p w:rsidR="0032384B" w:rsidRPr="00765C97" w:rsidRDefault="0032384B">
            <w:pPr>
              <w:rPr>
                <w:rFonts w:ascii="Arial" w:hAnsi="Arial"/>
                <w:color w:val="000000"/>
                <w:sz w:val="20"/>
                <w:lang w:val="pl-PL"/>
              </w:rPr>
            </w:pPr>
            <w:r w:rsidRPr="00765C97">
              <w:rPr>
                <w:rFonts w:ascii="Arial" w:hAnsi="Arial"/>
                <w:color w:val="000000"/>
                <w:sz w:val="20"/>
                <w:lang w:val="pl-PL"/>
              </w:rPr>
              <w:t>Umorzenie i łączne dotychczasowe odpisy z tytułu utraty wartości</w:t>
            </w:r>
          </w:p>
        </w:tc>
        <w:tc>
          <w:tcPr>
            <w:tcW w:w="1276" w:type="dxa"/>
            <w:tcBorders>
              <w:left w:val="nil"/>
              <w:right w:val="nil"/>
            </w:tcBorders>
            <w:vAlign w:val="center"/>
          </w:tcPr>
          <w:p w:rsidR="0032384B" w:rsidRPr="00765C97" w:rsidRDefault="00327A92" w:rsidP="00D375C5">
            <w:pPr>
              <w:jc w:val="right"/>
              <w:rPr>
                <w:rFonts w:ascii="Arial" w:hAnsi="Arial"/>
                <w:sz w:val="20"/>
                <w:lang w:val="pl-PL"/>
              </w:rPr>
            </w:pPr>
            <w:r w:rsidRPr="00765C97">
              <w:rPr>
                <w:rFonts w:ascii="Arial" w:hAnsi="Arial"/>
                <w:sz w:val="20"/>
                <w:lang w:val="pl-PL"/>
              </w:rPr>
              <w:t>(2 095)</w:t>
            </w:r>
          </w:p>
        </w:tc>
        <w:tc>
          <w:tcPr>
            <w:tcW w:w="1134" w:type="dxa"/>
            <w:tcBorders>
              <w:left w:val="nil"/>
              <w:right w:val="nil"/>
            </w:tcBorders>
            <w:vAlign w:val="center"/>
          </w:tcPr>
          <w:p w:rsidR="0032384B" w:rsidRPr="00765C97" w:rsidRDefault="00327A92" w:rsidP="00A11A4E">
            <w:pPr>
              <w:jc w:val="right"/>
              <w:rPr>
                <w:rFonts w:ascii="Arial" w:hAnsi="Arial"/>
                <w:sz w:val="20"/>
                <w:lang w:val="pl-PL"/>
              </w:rPr>
            </w:pPr>
            <w:r w:rsidRPr="00765C97">
              <w:rPr>
                <w:rFonts w:ascii="Arial" w:hAnsi="Arial"/>
                <w:sz w:val="20"/>
                <w:lang w:val="pl-PL"/>
              </w:rPr>
              <w:t>(812)</w:t>
            </w:r>
          </w:p>
        </w:tc>
        <w:tc>
          <w:tcPr>
            <w:tcW w:w="1559" w:type="dxa"/>
            <w:tcBorders>
              <w:left w:val="nil"/>
              <w:right w:val="nil"/>
            </w:tcBorders>
            <w:vAlign w:val="center"/>
          </w:tcPr>
          <w:p w:rsidR="0032384B" w:rsidRPr="00765C97" w:rsidRDefault="00327A92" w:rsidP="00CA37A2">
            <w:pPr>
              <w:jc w:val="right"/>
              <w:rPr>
                <w:rFonts w:ascii="Arial" w:hAnsi="Arial"/>
                <w:sz w:val="20"/>
                <w:lang w:val="pl-PL"/>
              </w:rPr>
            </w:pPr>
            <w:r w:rsidRPr="00765C97">
              <w:rPr>
                <w:rFonts w:ascii="Arial" w:hAnsi="Arial"/>
                <w:sz w:val="20"/>
                <w:lang w:val="pl-PL"/>
              </w:rPr>
              <w:t>(88 753)</w:t>
            </w:r>
          </w:p>
        </w:tc>
        <w:tc>
          <w:tcPr>
            <w:tcW w:w="992" w:type="dxa"/>
            <w:tcBorders>
              <w:left w:val="nil"/>
              <w:right w:val="nil"/>
            </w:tcBorders>
            <w:vAlign w:val="center"/>
          </w:tcPr>
          <w:p w:rsidR="0032384B" w:rsidRPr="00765C97" w:rsidRDefault="00327A92" w:rsidP="00CA2E10">
            <w:pPr>
              <w:jc w:val="right"/>
              <w:rPr>
                <w:rFonts w:ascii="Arial" w:hAnsi="Arial"/>
                <w:sz w:val="20"/>
                <w:lang w:val="pl-PL"/>
              </w:rPr>
            </w:pPr>
            <w:r w:rsidRPr="00765C97">
              <w:rPr>
                <w:rFonts w:ascii="Arial" w:hAnsi="Arial"/>
                <w:sz w:val="20"/>
                <w:lang w:val="pl-PL"/>
              </w:rPr>
              <w:t>(12 4</w:t>
            </w:r>
            <w:r w:rsidR="00CA2E10" w:rsidRPr="00765C97">
              <w:rPr>
                <w:rFonts w:ascii="Arial" w:hAnsi="Arial"/>
                <w:sz w:val="20"/>
                <w:lang w:val="pl-PL"/>
              </w:rPr>
              <w:t>90</w:t>
            </w:r>
            <w:r w:rsidRPr="00765C97">
              <w:rPr>
                <w:rFonts w:ascii="Arial" w:hAnsi="Arial"/>
                <w:sz w:val="20"/>
                <w:lang w:val="pl-PL"/>
              </w:rPr>
              <w:t>)</w:t>
            </w:r>
          </w:p>
        </w:tc>
        <w:tc>
          <w:tcPr>
            <w:tcW w:w="992" w:type="dxa"/>
            <w:tcBorders>
              <w:left w:val="nil"/>
              <w:right w:val="nil"/>
            </w:tcBorders>
            <w:vAlign w:val="center"/>
          </w:tcPr>
          <w:p w:rsidR="0032384B" w:rsidRPr="00765C97" w:rsidRDefault="00327A92" w:rsidP="00CA2E10">
            <w:pPr>
              <w:jc w:val="right"/>
              <w:rPr>
                <w:rFonts w:ascii="Arial" w:hAnsi="Arial"/>
                <w:sz w:val="20"/>
                <w:lang w:val="pl-PL"/>
              </w:rPr>
            </w:pPr>
            <w:r w:rsidRPr="00765C97">
              <w:rPr>
                <w:rFonts w:ascii="Arial" w:hAnsi="Arial"/>
                <w:sz w:val="20"/>
                <w:lang w:val="pl-PL"/>
              </w:rPr>
              <w:t>(104 1</w:t>
            </w:r>
            <w:r w:rsidR="00CA2E10" w:rsidRPr="00765C97">
              <w:rPr>
                <w:rFonts w:ascii="Arial" w:hAnsi="Arial"/>
                <w:sz w:val="20"/>
                <w:lang w:val="pl-PL"/>
              </w:rPr>
              <w:t>50</w:t>
            </w:r>
            <w:r w:rsidRPr="00765C97">
              <w:rPr>
                <w:rFonts w:ascii="Arial" w:hAnsi="Arial"/>
                <w:sz w:val="20"/>
                <w:lang w:val="pl-PL"/>
              </w:rPr>
              <w:t>)</w:t>
            </w:r>
          </w:p>
        </w:tc>
      </w:tr>
      <w:tr w:rsidR="0032384B" w:rsidRPr="00765C97" w:rsidTr="00D11CE7">
        <w:trPr>
          <w:trHeight w:val="255"/>
        </w:trPr>
        <w:tc>
          <w:tcPr>
            <w:tcW w:w="2694" w:type="dxa"/>
            <w:tcBorders>
              <w:top w:val="nil"/>
              <w:left w:val="nil"/>
              <w:bottom w:val="nil"/>
              <w:right w:val="nil"/>
            </w:tcBorders>
            <w:vAlign w:val="center"/>
          </w:tcPr>
          <w:p w:rsidR="0032384B" w:rsidRPr="00765C97" w:rsidRDefault="0032384B">
            <w:pPr>
              <w:rPr>
                <w:rFonts w:ascii="Arial" w:hAnsi="Arial"/>
                <w:color w:val="000000"/>
                <w:sz w:val="20"/>
                <w:lang w:val="pl-PL"/>
              </w:rPr>
            </w:pPr>
            <w:r w:rsidRPr="00765C97">
              <w:rPr>
                <w:rFonts w:ascii="Arial" w:hAnsi="Arial"/>
                <w:color w:val="000000"/>
                <w:sz w:val="20"/>
                <w:lang w:val="pl-PL"/>
              </w:rPr>
              <w:t>Wartość księgowa netto</w:t>
            </w:r>
          </w:p>
        </w:tc>
        <w:tc>
          <w:tcPr>
            <w:tcW w:w="1276" w:type="dxa"/>
            <w:tcBorders>
              <w:top w:val="single" w:sz="2" w:space="0" w:color="auto"/>
              <w:left w:val="nil"/>
              <w:bottom w:val="single" w:sz="2" w:space="0" w:color="auto"/>
              <w:right w:val="nil"/>
            </w:tcBorders>
            <w:vAlign w:val="center"/>
          </w:tcPr>
          <w:p w:rsidR="0032384B" w:rsidRPr="00765C97" w:rsidRDefault="00327A92" w:rsidP="00A11A4E">
            <w:pPr>
              <w:jc w:val="right"/>
              <w:rPr>
                <w:rFonts w:ascii="Arial" w:hAnsi="Arial"/>
                <w:sz w:val="20"/>
                <w:lang w:val="pl-PL"/>
              </w:rPr>
            </w:pPr>
            <w:r w:rsidRPr="00765C97">
              <w:rPr>
                <w:rFonts w:ascii="Arial" w:hAnsi="Arial"/>
                <w:sz w:val="20"/>
                <w:lang w:val="pl-PL"/>
              </w:rPr>
              <w:t>1 167</w:t>
            </w:r>
          </w:p>
        </w:tc>
        <w:tc>
          <w:tcPr>
            <w:tcW w:w="1134" w:type="dxa"/>
            <w:tcBorders>
              <w:top w:val="single" w:sz="2" w:space="0" w:color="auto"/>
              <w:left w:val="nil"/>
              <w:bottom w:val="single" w:sz="2" w:space="0" w:color="auto"/>
              <w:right w:val="nil"/>
            </w:tcBorders>
            <w:vAlign w:val="center"/>
          </w:tcPr>
          <w:p w:rsidR="0032384B" w:rsidRPr="00765C97" w:rsidRDefault="00327A92" w:rsidP="00A11A4E">
            <w:pPr>
              <w:jc w:val="right"/>
              <w:rPr>
                <w:rFonts w:ascii="Arial" w:hAnsi="Arial"/>
                <w:sz w:val="20"/>
                <w:lang w:val="pl-PL"/>
              </w:rPr>
            </w:pPr>
            <w:r w:rsidRPr="00765C97">
              <w:rPr>
                <w:rFonts w:ascii="Arial" w:hAnsi="Arial"/>
                <w:sz w:val="20"/>
                <w:lang w:val="pl-PL"/>
              </w:rPr>
              <w:t>39 128</w:t>
            </w:r>
          </w:p>
        </w:tc>
        <w:tc>
          <w:tcPr>
            <w:tcW w:w="1559" w:type="dxa"/>
            <w:tcBorders>
              <w:top w:val="single" w:sz="2" w:space="0" w:color="auto"/>
              <w:left w:val="nil"/>
              <w:bottom w:val="single" w:sz="2" w:space="0" w:color="auto"/>
              <w:right w:val="nil"/>
            </w:tcBorders>
            <w:vAlign w:val="center"/>
          </w:tcPr>
          <w:p w:rsidR="0032384B" w:rsidRPr="00765C97" w:rsidRDefault="00327A92" w:rsidP="002253CA">
            <w:pPr>
              <w:jc w:val="right"/>
              <w:rPr>
                <w:rFonts w:ascii="Arial" w:hAnsi="Arial"/>
                <w:sz w:val="20"/>
                <w:lang w:val="pl-PL"/>
              </w:rPr>
            </w:pPr>
            <w:r w:rsidRPr="00765C97">
              <w:rPr>
                <w:rFonts w:ascii="Arial" w:hAnsi="Arial"/>
                <w:sz w:val="20"/>
                <w:lang w:val="pl-PL"/>
              </w:rPr>
              <w:t>41 721</w:t>
            </w:r>
          </w:p>
        </w:tc>
        <w:tc>
          <w:tcPr>
            <w:tcW w:w="992" w:type="dxa"/>
            <w:tcBorders>
              <w:top w:val="single" w:sz="2" w:space="0" w:color="auto"/>
              <w:left w:val="nil"/>
              <w:bottom w:val="single" w:sz="2" w:space="0" w:color="auto"/>
              <w:right w:val="nil"/>
            </w:tcBorders>
            <w:vAlign w:val="center"/>
          </w:tcPr>
          <w:p w:rsidR="0032384B" w:rsidRPr="00765C97" w:rsidRDefault="00327A92">
            <w:pPr>
              <w:jc w:val="right"/>
              <w:rPr>
                <w:rFonts w:ascii="Arial" w:hAnsi="Arial"/>
                <w:sz w:val="20"/>
                <w:lang w:val="pl-PL"/>
              </w:rPr>
            </w:pPr>
            <w:r w:rsidRPr="00765C97">
              <w:rPr>
                <w:rFonts w:ascii="Arial" w:hAnsi="Arial"/>
                <w:sz w:val="20"/>
                <w:lang w:val="pl-PL"/>
              </w:rPr>
              <w:t>14 385</w:t>
            </w:r>
          </w:p>
        </w:tc>
        <w:tc>
          <w:tcPr>
            <w:tcW w:w="992" w:type="dxa"/>
            <w:tcBorders>
              <w:top w:val="single" w:sz="2" w:space="0" w:color="auto"/>
              <w:left w:val="nil"/>
              <w:bottom w:val="single" w:sz="2" w:space="0" w:color="auto"/>
              <w:right w:val="nil"/>
            </w:tcBorders>
            <w:vAlign w:val="center"/>
          </w:tcPr>
          <w:p w:rsidR="0032384B" w:rsidRPr="00765C97" w:rsidRDefault="00327A92" w:rsidP="002253CA">
            <w:pPr>
              <w:jc w:val="right"/>
              <w:rPr>
                <w:rFonts w:ascii="Arial" w:hAnsi="Arial"/>
                <w:sz w:val="20"/>
                <w:lang w:val="pl-PL"/>
              </w:rPr>
            </w:pPr>
            <w:r w:rsidRPr="00765C97">
              <w:rPr>
                <w:rFonts w:ascii="Arial" w:hAnsi="Arial"/>
                <w:sz w:val="20"/>
                <w:lang w:val="pl-PL"/>
              </w:rPr>
              <w:t>96 401</w:t>
            </w:r>
          </w:p>
        </w:tc>
      </w:tr>
    </w:tbl>
    <w:p w:rsidR="00327A92" w:rsidRPr="00765C97" w:rsidRDefault="00327A92" w:rsidP="00F563FD">
      <w:pPr>
        <w:ind w:left="180"/>
        <w:jc w:val="both"/>
        <w:rPr>
          <w:rFonts w:ascii="Arial" w:hAnsi="Arial"/>
          <w:sz w:val="20"/>
          <w:lang w:val="pl-PL"/>
        </w:rPr>
      </w:pPr>
    </w:p>
    <w:p w:rsidR="00D40696" w:rsidRPr="00765C97" w:rsidRDefault="00D40696" w:rsidP="00765E5F">
      <w:pPr>
        <w:jc w:val="both"/>
        <w:rPr>
          <w:rFonts w:ascii="Arial" w:hAnsi="Arial"/>
          <w:sz w:val="20"/>
          <w:lang w:val="pl-PL"/>
        </w:rPr>
      </w:pPr>
      <w:r w:rsidRPr="00765C97">
        <w:rPr>
          <w:rFonts w:ascii="Arial" w:hAnsi="Arial"/>
          <w:sz w:val="20"/>
          <w:lang w:val="pl-PL"/>
        </w:rPr>
        <w:t xml:space="preserve">Grupa ujęła bezpośrednio w kosztach (bez uprzedniego dokonywania aktywacji) koszty prac badawczo-rozwojowych w wysokości </w:t>
      </w:r>
      <w:r w:rsidR="00F10B11" w:rsidRPr="00765C97">
        <w:rPr>
          <w:rFonts w:ascii="Arial" w:hAnsi="Arial"/>
          <w:sz w:val="20"/>
          <w:lang w:val="pl-PL"/>
        </w:rPr>
        <w:t>13 018</w:t>
      </w:r>
      <w:r w:rsidR="00C9402C" w:rsidRPr="00765C97">
        <w:rPr>
          <w:rFonts w:ascii="Arial" w:hAnsi="Arial"/>
          <w:sz w:val="20"/>
          <w:lang w:val="pl-PL"/>
        </w:rPr>
        <w:t xml:space="preserve"> </w:t>
      </w:r>
      <w:r w:rsidRPr="00765C97">
        <w:rPr>
          <w:rFonts w:ascii="Arial" w:hAnsi="Arial"/>
          <w:sz w:val="20"/>
          <w:lang w:val="pl-PL"/>
        </w:rPr>
        <w:t>tys. zł.</w:t>
      </w:r>
    </w:p>
    <w:p w:rsidR="00D40696" w:rsidRPr="00765C97" w:rsidRDefault="00D40696" w:rsidP="00765E5F">
      <w:pPr>
        <w:jc w:val="both"/>
        <w:rPr>
          <w:rFonts w:ascii="Arial" w:hAnsi="Arial"/>
          <w:sz w:val="20"/>
          <w:lang w:val="pl-PL"/>
        </w:rPr>
      </w:pPr>
    </w:p>
    <w:p w:rsidR="00F563FD" w:rsidRPr="00765C97" w:rsidRDefault="00492468" w:rsidP="00765E5F">
      <w:pPr>
        <w:jc w:val="both"/>
        <w:rPr>
          <w:rFonts w:ascii="Arial" w:hAnsi="Arial"/>
          <w:sz w:val="20"/>
          <w:lang w:val="pl-PL"/>
        </w:rPr>
      </w:pPr>
      <w:r w:rsidRPr="00765C97">
        <w:rPr>
          <w:rFonts w:ascii="Arial" w:hAnsi="Arial"/>
          <w:sz w:val="20"/>
          <w:lang w:val="pl-PL"/>
        </w:rPr>
        <w:t xml:space="preserve">I. </w:t>
      </w:r>
      <w:r w:rsidR="00F563FD" w:rsidRPr="00765C97">
        <w:rPr>
          <w:rFonts w:ascii="Arial" w:hAnsi="Arial"/>
          <w:sz w:val="20"/>
          <w:lang w:val="pl-PL"/>
        </w:rPr>
        <w:t>Inne wartości niematerialne obejmują głównie</w:t>
      </w:r>
      <w:r w:rsidR="00AF453C" w:rsidRPr="00765C97">
        <w:rPr>
          <w:rFonts w:ascii="Arial" w:hAnsi="Arial"/>
          <w:sz w:val="20"/>
          <w:lang w:val="pl-PL"/>
        </w:rPr>
        <w:t xml:space="preserve"> wycenę wartości firmy E</w:t>
      </w:r>
      <w:r w:rsidR="00ED1CFD" w:rsidRPr="00765C97">
        <w:rPr>
          <w:rFonts w:ascii="Arial" w:hAnsi="Arial"/>
          <w:sz w:val="20"/>
          <w:lang w:val="pl-PL"/>
        </w:rPr>
        <w:t>SA</w:t>
      </w:r>
      <w:r w:rsidR="00F42CA6" w:rsidRPr="00765C97">
        <w:rPr>
          <w:rFonts w:ascii="Arial" w:hAnsi="Arial"/>
          <w:sz w:val="20"/>
          <w:lang w:val="pl-PL"/>
        </w:rPr>
        <w:t>Projekt</w:t>
      </w:r>
      <w:r w:rsidR="00BF2273" w:rsidRPr="00765C97">
        <w:rPr>
          <w:rFonts w:ascii="Arial" w:hAnsi="Arial"/>
          <w:sz w:val="20"/>
          <w:lang w:val="pl-PL"/>
        </w:rPr>
        <w:t xml:space="preserve"> Sp. z o.o.</w:t>
      </w:r>
      <w:r w:rsidR="00F42CA6" w:rsidRPr="00765C97">
        <w:rPr>
          <w:rFonts w:ascii="Arial" w:hAnsi="Arial"/>
          <w:sz w:val="20"/>
          <w:lang w:val="pl-PL"/>
        </w:rPr>
        <w:t xml:space="preserve"> w k</w:t>
      </w:r>
      <w:r w:rsidR="00BF2273" w:rsidRPr="00765C97">
        <w:rPr>
          <w:rFonts w:ascii="Arial" w:hAnsi="Arial"/>
          <w:sz w:val="20"/>
          <w:lang w:val="pl-PL"/>
        </w:rPr>
        <w:t>wocie 9 178</w:t>
      </w:r>
      <w:r w:rsidR="00F42CA6" w:rsidRPr="00765C97">
        <w:rPr>
          <w:rFonts w:ascii="Arial" w:hAnsi="Arial"/>
          <w:sz w:val="20"/>
          <w:lang w:val="pl-PL"/>
        </w:rPr>
        <w:t xml:space="preserve"> tys. zł, war</w:t>
      </w:r>
      <w:r w:rsidR="00AF453C" w:rsidRPr="00765C97">
        <w:rPr>
          <w:rFonts w:ascii="Arial" w:hAnsi="Arial"/>
          <w:sz w:val="20"/>
          <w:lang w:val="pl-PL"/>
        </w:rPr>
        <w:t>tość relacji z klientami w spół</w:t>
      </w:r>
      <w:r w:rsidR="00ED1CFD" w:rsidRPr="00765C97">
        <w:rPr>
          <w:rFonts w:ascii="Arial" w:hAnsi="Arial"/>
          <w:sz w:val="20"/>
          <w:lang w:val="pl-PL"/>
        </w:rPr>
        <w:t>ce A-MEA</w:t>
      </w:r>
      <w:r w:rsidR="00F42CA6" w:rsidRPr="00765C97">
        <w:rPr>
          <w:rFonts w:ascii="Arial" w:hAnsi="Arial"/>
          <w:sz w:val="20"/>
          <w:lang w:val="pl-PL"/>
        </w:rPr>
        <w:t xml:space="preserve"> Informatik AG</w:t>
      </w:r>
      <w:r w:rsidR="00BF2273" w:rsidRPr="00765C97">
        <w:rPr>
          <w:rFonts w:ascii="Arial" w:hAnsi="Arial"/>
          <w:sz w:val="20"/>
          <w:lang w:val="pl-PL"/>
        </w:rPr>
        <w:t xml:space="preserve"> w kwocie </w:t>
      </w:r>
      <w:r w:rsidR="000020E0" w:rsidRPr="00765C97">
        <w:rPr>
          <w:rFonts w:ascii="Arial" w:hAnsi="Arial"/>
          <w:sz w:val="20"/>
          <w:lang w:val="pl-PL"/>
        </w:rPr>
        <w:t xml:space="preserve"> </w:t>
      </w:r>
      <w:r w:rsidR="00BF2273" w:rsidRPr="00765C97">
        <w:rPr>
          <w:rFonts w:ascii="Arial" w:hAnsi="Arial"/>
          <w:sz w:val="20"/>
          <w:lang w:val="pl-PL"/>
        </w:rPr>
        <w:t>2 455</w:t>
      </w:r>
      <w:r w:rsidR="00F42CA6" w:rsidRPr="00765C97">
        <w:rPr>
          <w:rFonts w:ascii="Arial" w:hAnsi="Arial"/>
          <w:sz w:val="20"/>
          <w:lang w:val="pl-PL"/>
        </w:rPr>
        <w:t xml:space="preserve"> tys. zł, oraz</w:t>
      </w:r>
      <w:r w:rsidR="00F563FD" w:rsidRPr="00765C97">
        <w:rPr>
          <w:rFonts w:ascii="Arial" w:hAnsi="Arial"/>
          <w:sz w:val="20"/>
          <w:lang w:val="pl-PL"/>
        </w:rPr>
        <w:t xml:space="preserve"> karty zawodników w MKS Cracovia SSA w kwocie </w:t>
      </w:r>
      <w:r w:rsidR="000B7063" w:rsidRPr="00765C97">
        <w:rPr>
          <w:rFonts w:ascii="Arial" w:hAnsi="Arial"/>
          <w:sz w:val="20"/>
          <w:lang w:val="pl-PL"/>
        </w:rPr>
        <w:t>2 577</w:t>
      </w:r>
      <w:r w:rsidR="00F563FD" w:rsidRPr="00765C97">
        <w:rPr>
          <w:rFonts w:ascii="Arial" w:hAnsi="Arial"/>
          <w:sz w:val="20"/>
          <w:lang w:val="pl-PL"/>
        </w:rPr>
        <w:t xml:space="preserve"> tys. zł. Wszystkie pozostałe pozycje wartości niematerialnych zostały nabyte.</w:t>
      </w:r>
    </w:p>
    <w:p w:rsidR="00F355D6" w:rsidRPr="00765C97" w:rsidRDefault="00F563FD" w:rsidP="00765E5F">
      <w:pPr>
        <w:jc w:val="both"/>
        <w:rPr>
          <w:rFonts w:ascii="Arial" w:hAnsi="Arial"/>
          <w:sz w:val="20"/>
          <w:lang w:val="pl-PL"/>
        </w:rPr>
      </w:pPr>
      <w:r w:rsidRPr="00765C97">
        <w:rPr>
          <w:rFonts w:ascii="Arial" w:hAnsi="Arial"/>
          <w:sz w:val="20"/>
          <w:lang w:val="pl-PL"/>
        </w:rPr>
        <w:t xml:space="preserve">Odpisy amortyzacyjne w rachunku zysków i strat zostały wykazane w pozycjach: kwota </w:t>
      </w:r>
      <w:r w:rsidR="00CC59E0" w:rsidRPr="00765C97">
        <w:rPr>
          <w:rFonts w:ascii="Arial" w:hAnsi="Arial"/>
          <w:sz w:val="20"/>
          <w:lang w:val="pl-PL"/>
        </w:rPr>
        <w:br/>
      </w:r>
      <w:r w:rsidR="00542F9D" w:rsidRPr="00765C97">
        <w:rPr>
          <w:rFonts w:ascii="Arial" w:hAnsi="Arial"/>
          <w:sz w:val="20"/>
          <w:lang w:val="pl-PL"/>
        </w:rPr>
        <w:t>25 384</w:t>
      </w:r>
      <w:r w:rsidRPr="00765C97">
        <w:rPr>
          <w:rFonts w:ascii="Arial" w:hAnsi="Arial"/>
          <w:sz w:val="20"/>
          <w:lang w:val="pl-PL"/>
        </w:rPr>
        <w:t xml:space="preserve"> tys. zł jest ujęta w koszcie wytworzenia, pozostała część wykazana jest w k</w:t>
      </w:r>
      <w:r w:rsidR="001611F5" w:rsidRPr="00765C97">
        <w:rPr>
          <w:rFonts w:ascii="Arial" w:hAnsi="Arial"/>
          <w:sz w:val="20"/>
          <w:lang w:val="pl-PL"/>
        </w:rPr>
        <w:t xml:space="preserve">osztach ogólnego zarządu: </w:t>
      </w:r>
      <w:r w:rsidR="00542F9D" w:rsidRPr="00765C97">
        <w:rPr>
          <w:rFonts w:ascii="Arial" w:hAnsi="Arial"/>
          <w:sz w:val="20"/>
          <w:lang w:val="pl-PL"/>
        </w:rPr>
        <w:t>311</w:t>
      </w:r>
      <w:r w:rsidR="001611F5" w:rsidRPr="00765C97">
        <w:rPr>
          <w:rFonts w:ascii="Arial" w:hAnsi="Arial"/>
          <w:sz w:val="20"/>
          <w:lang w:val="pl-PL"/>
        </w:rPr>
        <w:t xml:space="preserve"> </w:t>
      </w:r>
      <w:r w:rsidRPr="00765C97">
        <w:rPr>
          <w:rFonts w:ascii="Arial" w:hAnsi="Arial"/>
          <w:sz w:val="20"/>
          <w:lang w:val="pl-PL"/>
        </w:rPr>
        <w:t>ty</w:t>
      </w:r>
      <w:r w:rsidR="001611F5" w:rsidRPr="00765C97">
        <w:rPr>
          <w:rFonts w:ascii="Arial" w:hAnsi="Arial"/>
          <w:sz w:val="20"/>
          <w:lang w:val="pl-PL"/>
        </w:rPr>
        <w:t>s. zł, w koszta</w:t>
      </w:r>
      <w:r w:rsidR="00542F9D" w:rsidRPr="00765C97">
        <w:rPr>
          <w:rFonts w:ascii="Arial" w:hAnsi="Arial"/>
          <w:sz w:val="20"/>
          <w:lang w:val="pl-PL"/>
        </w:rPr>
        <w:t>ch sprzedaży: 694</w:t>
      </w:r>
      <w:r w:rsidRPr="00765C97">
        <w:rPr>
          <w:rFonts w:ascii="Arial" w:hAnsi="Arial"/>
          <w:sz w:val="20"/>
          <w:lang w:val="pl-PL"/>
        </w:rPr>
        <w:t xml:space="preserve"> tys. zł.</w:t>
      </w:r>
      <w:r w:rsidR="00F355D6" w:rsidRPr="00765C97">
        <w:rPr>
          <w:rFonts w:ascii="Arial" w:hAnsi="Arial"/>
          <w:sz w:val="20"/>
          <w:lang w:val="pl-PL"/>
        </w:rPr>
        <w:t xml:space="preserve"> </w:t>
      </w:r>
    </w:p>
    <w:p w:rsidR="00B24DA9" w:rsidRPr="00765C97" w:rsidRDefault="00B24DA9" w:rsidP="00765E5F">
      <w:pPr>
        <w:adjustRightInd w:val="0"/>
        <w:jc w:val="both"/>
        <w:rPr>
          <w:rFonts w:ascii="Arial" w:hAnsi="Arial"/>
          <w:spacing w:val="-2"/>
          <w:sz w:val="20"/>
          <w:lang w:val="pl-PL"/>
        </w:rPr>
      </w:pPr>
    </w:p>
    <w:p w:rsidR="00B24DA9" w:rsidRPr="00765C97" w:rsidRDefault="00B24DA9" w:rsidP="00765E5F">
      <w:pPr>
        <w:numPr>
          <w:ilvl w:val="12"/>
          <w:numId w:val="0"/>
        </w:numPr>
        <w:tabs>
          <w:tab w:val="left" w:pos="450"/>
        </w:tabs>
        <w:adjustRightInd w:val="0"/>
        <w:jc w:val="both"/>
        <w:rPr>
          <w:rFonts w:ascii="Arial" w:hAnsi="Arial"/>
          <w:sz w:val="20"/>
          <w:lang w:val="pl-PL"/>
        </w:rPr>
      </w:pPr>
      <w:r w:rsidRPr="00765C97">
        <w:rPr>
          <w:rFonts w:ascii="Arial" w:hAnsi="Arial"/>
          <w:sz w:val="20"/>
          <w:lang w:val="pl-PL"/>
        </w:rPr>
        <w:t xml:space="preserve">Prawo wieczystego użytkowania gruntów dotyczących MKS Cracovia SSA o wartości </w:t>
      </w:r>
      <w:r w:rsidRPr="00765C97">
        <w:rPr>
          <w:rFonts w:ascii="Arial" w:hAnsi="Arial"/>
          <w:sz w:val="20"/>
          <w:lang w:val="pl-PL"/>
        </w:rPr>
        <w:br/>
        <w:t xml:space="preserve">31 650 tys. zł jest traktowane jako wartość niematerialna, o nieokreślonym okresie użytkowania i nie jest amortyzowane. Spółka spodziewa się, że nastąpi odnowienie prawa wieczystego użytkowania i odbędzie się to bez ponoszenia znaczących kosztów, gdyż </w:t>
      </w:r>
      <w:r w:rsidR="006724E3" w:rsidRPr="00765C97">
        <w:rPr>
          <w:rFonts w:ascii="Arial" w:hAnsi="Arial"/>
          <w:sz w:val="20"/>
          <w:lang w:val="pl-PL"/>
        </w:rPr>
        <w:t>S</w:t>
      </w:r>
      <w:r w:rsidRPr="00765C97">
        <w:rPr>
          <w:rFonts w:ascii="Arial" w:hAnsi="Arial"/>
          <w:sz w:val="20"/>
          <w:lang w:val="pl-PL"/>
        </w:rPr>
        <w:t>półka nie jest zobowiązana do spełnienia żadnych warunków, od których zależałoby przedłużenie tego prawa.</w:t>
      </w:r>
    </w:p>
    <w:p w:rsidR="00B24DA9" w:rsidRPr="00765C97" w:rsidRDefault="00B24DA9" w:rsidP="00765E5F">
      <w:pPr>
        <w:numPr>
          <w:ilvl w:val="12"/>
          <w:numId w:val="0"/>
        </w:numPr>
        <w:tabs>
          <w:tab w:val="left" w:pos="450"/>
        </w:tabs>
        <w:adjustRightInd w:val="0"/>
        <w:jc w:val="both"/>
        <w:rPr>
          <w:rFonts w:ascii="Arial" w:hAnsi="Arial"/>
          <w:sz w:val="20"/>
          <w:lang w:val="pl-PL"/>
        </w:rPr>
      </w:pPr>
      <w:r w:rsidRPr="00765C97">
        <w:rPr>
          <w:rFonts w:ascii="Arial" w:hAnsi="Arial"/>
          <w:sz w:val="20"/>
          <w:lang w:val="pl-PL"/>
        </w:rPr>
        <w:t>Spółka nie spodziewa się poniesienia znaczących kosztów przy odnowieniu prawa wieczystego użytkowania w kontekście dotychczasowych działań współwłaściciela Klubu czyli Gminy Kraków. Miasto wspiera działalność sportową w tym MKS Cracovia SSA m</w:t>
      </w:r>
      <w:r w:rsidR="00BB4442" w:rsidRPr="00765C97">
        <w:rPr>
          <w:rFonts w:ascii="Arial" w:hAnsi="Arial"/>
          <w:sz w:val="20"/>
          <w:lang w:val="pl-PL"/>
        </w:rPr>
        <w:t>.</w:t>
      </w:r>
      <w:r w:rsidRPr="00765C97">
        <w:rPr>
          <w:rFonts w:ascii="Arial" w:hAnsi="Arial"/>
          <w:sz w:val="20"/>
          <w:lang w:val="pl-PL"/>
        </w:rPr>
        <w:t xml:space="preserve"> in. poprzez:</w:t>
      </w:r>
    </w:p>
    <w:p w:rsidR="00B24DA9" w:rsidRPr="00765C97" w:rsidRDefault="00B24DA9" w:rsidP="00135A9A">
      <w:pPr>
        <w:numPr>
          <w:ilvl w:val="0"/>
          <w:numId w:val="3"/>
        </w:numPr>
        <w:tabs>
          <w:tab w:val="left" w:pos="450"/>
        </w:tabs>
        <w:adjustRightInd w:val="0"/>
        <w:ind w:left="426"/>
        <w:jc w:val="both"/>
        <w:rPr>
          <w:rFonts w:ascii="Arial" w:hAnsi="Arial"/>
          <w:sz w:val="20"/>
          <w:lang w:val="pl-PL"/>
        </w:rPr>
      </w:pPr>
      <w:r w:rsidRPr="00765C97">
        <w:rPr>
          <w:rFonts w:ascii="Arial" w:hAnsi="Arial"/>
          <w:sz w:val="20"/>
          <w:lang w:val="pl-PL"/>
        </w:rPr>
        <w:t>dofinansowywanie budowy infrastruktury sportowej</w:t>
      </w:r>
    </w:p>
    <w:p w:rsidR="00B24DA9" w:rsidRPr="00765C97" w:rsidRDefault="00B24DA9" w:rsidP="00135A9A">
      <w:pPr>
        <w:numPr>
          <w:ilvl w:val="0"/>
          <w:numId w:val="3"/>
        </w:numPr>
        <w:tabs>
          <w:tab w:val="left" w:pos="450"/>
        </w:tabs>
        <w:adjustRightInd w:val="0"/>
        <w:ind w:left="426"/>
        <w:jc w:val="both"/>
        <w:rPr>
          <w:rFonts w:ascii="Arial" w:hAnsi="Arial"/>
          <w:sz w:val="20"/>
          <w:lang w:val="pl-PL"/>
        </w:rPr>
      </w:pPr>
      <w:r w:rsidRPr="00765C97">
        <w:rPr>
          <w:rFonts w:ascii="Arial" w:hAnsi="Arial"/>
          <w:sz w:val="20"/>
          <w:lang w:val="pl-PL"/>
        </w:rPr>
        <w:t>umorzenie podatku od nieruchomości</w:t>
      </w:r>
    </w:p>
    <w:p w:rsidR="00F36B22" w:rsidRPr="00765C97" w:rsidRDefault="00B24DA9" w:rsidP="00135A9A">
      <w:pPr>
        <w:numPr>
          <w:ilvl w:val="0"/>
          <w:numId w:val="3"/>
        </w:numPr>
        <w:tabs>
          <w:tab w:val="left" w:pos="450"/>
        </w:tabs>
        <w:adjustRightInd w:val="0"/>
        <w:ind w:left="426"/>
        <w:jc w:val="both"/>
        <w:rPr>
          <w:rFonts w:ascii="Arial" w:hAnsi="Arial"/>
          <w:sz w:val="20"/>
          <w:lang w:val="pl-PL"/>
        </w:rPr>
      </w:pPr>
      <w:r w:rsidRPr="00765C97">
        <w:rPr>
          <w:rFonts w:ascii="Arial" w:hAnsi="Arial"/>
          <w:sz w:val="20"/>
          <w:lang w:val="pl-PL"/>
        </w:rPr>
        <w:t>wniesienie aportem opłat za użytkowanie wieczyste</w:t>
      </w:r>
    </w:p>
    <w:p w:rsidR="00F36B22" w:rsidRPr="00765C97" w:rsidRDefault="00F36B22" w:rsidP="00765E5F">
      <w:pPr>
        <w:numPr>
          <w:ilvl w:val="12"/>
          <w:numId w:val="0"/>
        </w:numPr>
        <w:tabs>
          <w:tab w:val="left" w:pos="450"/>
        </w:tabs>
        <w:adjustRightInd w:val="0"/>
        <w:jc w:val="both"/>
        <w:rPr>
          <w:rFonts w:ascii="Arial" w:hAnsi="Arial"/>
          <w:sz w:val="20"/>
          <w:lang w:val="pl-PL"/>
        </w:rPr>
      </w:pPr>
      <w:r w:rsidRPr="00765C97">
        <w:rPr>
          <w:rFonts w:ascii="Arial" w:hAnsi="Arial"/>
          <w:sz w:val="20"/>
          <w:lang w:val="pl-PL"/>
        </w:rPr>
        <w:t>Prawo wieczystego użytkowania gruntów dotyczących jednostki dominującej jest amortyzowane przez określony czas użytkowania (założony od momentu nabycia okres użytkowania wynosi od 84 do 99 lat). Średnia stawka amortyzacyjna wynosi 1,2%.</w:t>
      </w:r>
    </w:p>
    <w:p w:rsidR="00B24DA9" w:rsidRPr="00765C97" w:rsidRDefault="00B24DA9" w:rsidP="00765E5F">
      <w:pPr>
        <w:adjustRightInd w:val="0"/>
        <w:jc w:val="both"/>
        <w:rPr>
          <w:rFonts w:ascii="Arial" w:hAnsi="Arial"/>
          <w:sz w:val="20"/>
          <w:lang w:val="pl-PL"/>
        </w:rPr>
      </w:pPr>
    </w:p>
    <w:p w:rsidR="00B24DA9" w:rsidRPr="00765C97" w:rsidRDefault="00B24DA9" w:rsidP="00765E5F">
      <w:pPr>
        <w:adjustRightInd w:val="0"/>
        <w:jc w:val="both"/>
        <w:rPr>
          <w:rFonts w:ascii="Arial" w:hAnsi="Arial"/>
          <w:sz w:val="20"/>
          <w:lang w:val="pl-PL"/>
        </w:rPr>
      </w:pPr>
      <w:r w:rsidRPr="00765C97">
        <w:rPr>
          <w:rFonts w:ascii="Arial" w:hAnsi="Arial"/>
          <w:sz w:val="20"/>
          <w:lang w:val="pl-PL"/>
        </w:rPr>
        <w:t>II. Test na utratę wartości prawa wieczystego użytkowania gruntu na 31 grudnia 20</w:t>
      </w:r>
      <w:r w:rsidR="00C11C76" w:rsidRPr="00765C97">
        <w:rPr>
          <w:rFonts w:ascii="Arial" w:hAnsi="Arial"/>
          <w:sz w:val="20"/>
          <w:lang w:val="pl-PL"/>
        </w:rPr>
        <w:t>1</w:t>
      </w:r>
      <w:r w:rsidR="004271BB" w:rsidRPr="00765C97">
        <w:rPr>
          <w:rFonts w:ascii="Arial" w:hAnsi="Arial"/>
          <w:sz w:val="20"/>
          <w:lang w:val="pl-PL"/>
        </w:rPr>
        <w:t>2</w:t>
      </w:r>
      <w:r w:rsidRPr="00765C97">
        <w:rPr>
          <w:rFonts w:ascii="Arial" w:hAnsi="Arial"/>
          <w:sz w:val="20"/>
          <w:lang w:val="pl-PL"/>
        </w:rPr>
        <w:t xml:space="preserve"> r.</w:t>
      </w:r>
    </w:p>
    <w:p w:rsidR="00B24DA9" w:rsidRPr="00765C97" w:rsidRDefault="00B24DA9" w:rsidP="00765E5F">
      <w:pPr>
        <w:adjustRightInd w:val="0"/>
        <w:jc w:val="both"/>
        <w:rPr>
          <w:rFonts w:ascii="Arial" w:hAnsi="Arial"/>
          <w:sz w:val="20"/>
          <w:lang w:val="pl-PL"/>
        </w:rPr>
      </w:pPr>
    </w:p>
    <w:p w:rsidR="00B24DA9" w:rsidRPr="00765C97" w:rsidRDefault="003F29D7" w:rsidP="00765E5F">
      <w:pPr>
        <w:adjustRightInd w:val="0"/>
        <w:jc w:val="both"/>
        <w:rPr>
          <w:rFonts w:ascii="Arial" w:hAnsi="Arial"/>
          <w:sz w:val="20"/>
          <w:lang w:val="pl-PL"/>
        </w:rPr>
      </w:pPr>
      <w:r w:rsidRPr="00765C97">
        <w:rPr>
          <w:rFonts w:ascii="Arial" w:hAnsi="Arial" w:cs="Arial"/>
          <w:sz w:val="20"/>
          <w:szCs w:val="20"/>
          <w:lang w:val="pl-PL"/>
        </w:rPr>
        <w:t>Na dzień 31 grudnia 2012 r. dokonano analizy zmian cen nieruchomości gruntowych w Krakowie w 2012 r. W oparciu o raporty Research &amp; Forecast Report z 2012 i 2013 roku opracowane przez Colliers International (</w:t>
      </w:r>
      <w:hyperlink r:id="rId11" w:history="1">
        <w:r w:rsidRPr="00765C97">
          <w:rPr>
            <w:rStyle w:val="Hipercze"/>
            <w:rFonts w:ascii="Arial" w:hAnsi="Arial" w:cs="Arial"/>
            <w:sz w:val="20"/>
            <w:szCs w:val="20"/>
            <w:lang w:val="pl-PL"/>
          </w:rPr>
          <w:t>www.colliers.com</w:t>
        </w:r>
      </w:hyperlink>
      <w:r w:rsidRPr="00765C97">
        <w:rPr>
          <w:rFonts w:ascii="Arial" w:hAnsi="Arial" w:cs="Arial"/>
          <w:sz w:val="20"/>
          <w:szCs w:val="20"/>
          <w:lang w:val="pl-PL"/>
        </w:rPr>
        <w:t>) a także artykuły portali branżowych stwierdzono, że średnie ceny nieruchomości gruntowych w Krakowie w 2012 r. nie zmieniły się. Na tej podstawie ustalono, iż w roku 2012 nie nastąpiła utrata wartości prawa wieczystego użytkowania gruntów posiadanych przez spółki Grupy Comarch.</w:t>
      </w:r>
      <w:r w:rsidR="00B24DA9" w:rsidRPr="00765C97">
        <w:rPr>
          <w:rFonts w:ascii="Arial" w:hAnsi="Arial"/>
          <w:sz w:val="20"/>
          <w:lang w:val="pl-PL"/>
        </w:rPr>
        <w:t xml:space="preserve"> </w:t>
      </w:r>
    </w:p>
    <w:p w:rsidR="00B24DA9" w:rsidRPr="00765C97" w:rsidRDefault="00B24DA9" w:rsidP="00765E5F">
      <w:pPr>
        <w:adjustRightInd w:val="0"/>
        <w:jc w:val="both"/>
        <w:rPr>
          <w:rFonts w:ascii="Arial" w:hAnsi="Arial"/>
          <w:sz w:val="20"/>
          <w:lang w:val="pl-PL"/>
        </w:rPr>
      </w:pPr>
    </w:p>
    <w:p w:rsidR="00D248F8" w:rsidRPr="00765C97" w:rsidRDefault="00B24DA9" w:rsidP="00765E5F">
      <w:pPr>
        <w:jc w:val="both"/>
        <w:rPr>
          <w:rFonts w:ascii="Arial" w:hAnsi="Arial" w:cs="Arial"/>
          <w:sz w:val="20"/>
          <w:szCs w:val="20"/>
          <w:lang w:val="pl-PL"/>
        </w:rPr>
      </w:pPr>
      <w:r w:rsidRPr="00765C97">
        <w:rPr>
          <w:rFonts w:ascii="Arial" w:hAnsi="Arial"/>
          <w:sz w:val="20"/>
          <w:lang w:val="pl-PL"/>
        </w:rPr>
        <w:t xml:space="preserve">III. </w:t>
      </w:r>
      <w:r w:rsidR="003F29D7" w:rsidRPr="00765C97">
        <w:rPr>
          <w:rFonts w:ascii="Arial" w:hAnsi="Arial" w:cs="Arial"/>
          <w:color w:val="000000"/>
          <w:sz w:val="20"/>
          <w:szCs w:val="20"/>
          <w:lang w:val="pl-PL"/>
        </w:rPr>
        <w:t xml:space="preserve">Wartości </w:t>
      </w:r>
      <w:r w:rsidR="003F29D7" w:rsidRPr="00765C97">
        <w:rPr>
          <w:rFonts w:ascii="Arial" w:hAnsi="Arial" w:cs="Arial"/>
          <w:sz w:val="20"/>
          <w:szCs w:val="20"/>
          <w:lang w:val="pl-PL"/>
        </w:rPr>
        <w:t>niematerialne nabyte w wyniku przejęcia Grupy Comarch Software und Beratung obejmują prawa majątkowe do oprogramowania: Semiramis, SharkNex, SoftM Suite ERP, SoftM Suite Financials, Schilling, DKS, Infostore. Na dzień przejęcia powyższe wartości niematerialne zostały ujęte w bilansie Grupy Comarch wg wartości godziwej. Oszacowania wartości godziwej dokonano na dzień przejęcia w oparciu o model wyceny wartości użytkowej metodą zdyskontowanych przepływów pieniężnych DCF.</w:t>
      </w:r>
      <w:r w:rsidR="00D248F8" w:rsidRPr="00765C97">
        <w:rPr>
          <w:rFonts w:ascii="Arial" w:hAnsi="Arial" w:cs="Arial"/>
          <w:sz w:val="20"/>
          <w:szCs w:val="20"/>
          <w:lang w:val="pl-PL"/>
        </w:rPr>
        <w:t xml:space="preserve"> </w:t>
      </w:r>
    </w:p>
    <w:p w:rsidR="009C71B5" w:rsidRPr="00765C97" w:rsidRDefault="009C71B5" w:rsidP="00765E5F">
      <w:pPr>
        <w:jc w:val="both"/>
        <w:rPr>
          <w:rFonts w:ascii="Arial" w:hAnsi="Arial" w:cs="Arial"/>
          <w:sz w:val="20"/>
          <w:szCs w:val="20"/>
          <w:lang w:val="pl-PL"/>
        </w:rPr>
      </w:pPr>
    </w:p>
    <w:p w:rsidR="00B24DA9" w:rsidRPr="00765C97" w:rsidRDefault="00D248F8" w:rsidP="00765E5F">
      <w:pPr>
        <w:jc w:val="both"/>
        <w:rPr>
          <w:rFonts w:ascii="Arial" w:hAnsi="Arial"/>
          <w:sz w:val="20"/>
          <w:lang w:val="pl-PL"/>
        </w:rPr>
      </w:pPr>
      <w:r w:rsidRPr="00765C97">
        <w:rPr>
          <w:rFonts w:ascii="Arial" w:hAnsi="Arial" w:cs="Arial"/>
          <w:sz w:val="20"/>
          <w:szCs w:val="20"/>
          <w:lang w:val="pl-PL"/>
        </w:rPr>
        <w:t xml:space="preserve">Oszacowana wartość </w:t>
      </w:r>
      <w:r w:rsidR="009C71B5" w:rsidRPr="00765C97">
        <w:rPr>
          <w:rFonts w:ascii="Arial" w:hAnsi="Arial" w:cs="Arial"/>
          <w:sz w:val="20"/>
          <w:szCs w:val="20"/>
          <w:lang w:val="pl-PL"/>
        </w:rPr>
        <w:t>przejętego oprogramowania</w:t>
      </w:r>
      <w:r w:rsidRPr="00765C97">
        <w:rPr>
          <w:rFonts w:ascii="Arial" w:hAnsi="Arial" w:cs="Arial"/>
          <w:sz w:val="20"/>
          <w:szCs w:val="20"/>
          <w:lang w:val="pl-PL"/>
        </w:rPr>
        <w:t xml:space="preserve"> wynosi:</w:t>
      </w:r>
    </w:p>
    <w:p w:rsidR="00B24DA9" w:rsidRPr="00765C97" w:rsidRDefault="00B24DA9">
      <w:pPr>
        <w:tabs>
          <w:tab w:val="left" w:pos="450"/>
        </w:tabs>
        <w:adjustRightInd w:val="0"/>
        <w:ind w:left="180"/>
        <w:jc w:val="both"/>
        <w:rPr>
          <w:rFonts w:ascii="Arial" w:hAnsi="Arial"/>
          <w:sz w:val="20"/>
          <w:lang w:val="pl-PL"/>
        </w:rPr>
      </w:pPr>
    </w:p>
    <w:tbl>
      <w:tblPr>
        <w:tblW w:w="8222" w:type="dxa"/>
        <w:tblInd w:w="212" w:type="dxa"/>
        <w:tblLayout w:type="fixed"/>
        <w:tblCellMar>
          <w:left w:w="70" w:type="dxa"/>
          <w:right w:w="70" w:type="dxa"/>
        </w:tblCellMar>
        <w:tblLook w:val="0000"/>
      </w:tblPr>
      <w:tblGrid>
        <w:gridCol w:w="1701"/>
        <w:gridCol w:w="2126"/>
        <w:gridCol w:w="2126"/>
        <w:gridCol w:w="2269"/>
      </w:tblGrid>
      <w:tr w:rsidR="0032384B" w:rsidRPr="00F346A4" w:rsidTr="0032384B">
        <w:trPr>
          <w:trHeight w:val="255"/>
        </w:trPr>
        <w:tc>
          <w:tcPr>
            <w:tcW w:w="1701" w:type="dxa"/>
            <w:vAlign w:val="bottom"/>
          </w:tcPr>
          <w:p w:rsidR="0032384B" w:rsidRPr="00765C97" w:rsidRDefault="0032384B">
            <w:pPr>
              <w:widowControl/>
              <w:autoSpaceDE/>
              <w:autoSpaceDN/>
              <w:rPr>
                <w:rFonts w:ascii="Arial" w:hAnsi="Arial"/>
                <w:color w:val="000000"/>
                <w:sz w:val="20"/>
                <w:lang w:val="pl-PL" w:eastAsia="pl-PL"/>
              </w:rPr>
            </w:pPr>
          </w:p>
        </w:tc>
        <w:tc>
          <w:tcPr>
            <w:tcW w:w="2126" w:type="dxa"/>
            <w:tcBorders>
              <w:bottom w:val="single" w:sz="4" w:space="0" w:color="auto"/>
              <w:right w:val="single" w:sz="4" w:space="0" w:color="auto"/>
            </w:tcBorders>
            <w:vAlign w:val="bottom"/>
          </w:tcPr>
          <w:p w:rsidR="0032384B" w:rsidRPr="00765C97" w:rsidRDefault="0032384B" w:rsidP="00F966E6">
            <w:pPr>
              <w:widowControl/>
              <w:autoSpaceDE/>
              <w:autoSpaceDN/>
              <w:jc w:val="right"/>
              <w:rPr>
                <w:rFonts w:ascii="Arial" w:hAnsi="Arial" w:cs="Arial"/>
                <w:b/>
                <w:color w:val="000000"/>
                <w:sz w:val="20"/>
                <w:lang w:val="pl-PL" w:eastAsia="pl-PL"/>
              </w:rPr>
            </w:pPr>
            <w:r w:rsidRPr="00765C97">
              <w:rPr>
                <w:rFonts w:ascii="Arial" w:hAnsi="Arial" w:cs="Arial"/>
                <w:b/>
                <w:color w:val="000000"/>
                <w:sz w:val="20"/>
                <w:lang w:val="pl-PL" w:eastAsia="pl-PL"/>
              </w:rPr>
              <w:t>Wartość godziwa na dzień przejęcia</w:t>
            </w:r>
          </w:p>
        </w:tc>
        <w:tc>
          <w:tcPr>
            <w:tcW w:w="2126" w:type="dxa"/>
            <w:tcBorders>
              <w:left w:val="single" w:sz="4" w:space="0" w:color="auto"/>
              <w:bottom w:val="single" w:sz="4" w:space="0" w:color="auto"/>
              <w:right w:val="single" w:sz="4" w:space="0" w:color="auto"/>
            </w:tcBorders>
            <w:vAlign w:val="bottom"/>
          </w:tcPr>
          <w:p w:rsidR="0032384B" w:rsidRPr="00765C97" w:rsidRDefault="0032384B" w:rsidP="00D248F8">
            <w:pPr>
              <w:widowControl/>
              <w:autoSpaceDE/>
              <w:autoSpaceDN/>
              <w:jc w:val="right"/>
              <w:rPr>
                <w:rFonts w:ascii="Arial" w:hAnsi="Arial" w:cs="Arial"/>
                <w:b/>
                <w:color w:val="000000"/>
                <w:sz w:val="20"/>
                <w:lang w:val="pl-PL" w:eastAsia="pl-PL"/>
              </w:rPr>
            </w:pPr>
            <w:r w:rsidRPr="00765C97">
              <w:rPr>
                <w:rFonts w:ascii="Arial" w:hAnsi="Arial" w:cs="Arial"/>
                <w:b/>
                <w:color w:val="000000"/>
                <w:sz w:val="20"/>
                <w:lang w:val="pl-PL" w:eastAsia="pl-PL"/>
              </w:rPr>
              <w:t>Wartość godziwa na 31 grudnia 201</w:t>
            </w:r>
            <w:r w:rsidR="00C36604" w:rsidRPr="00765C97">
              <w:rPr>
                <w:rFonts w:ascii="Arial" w:hAnsi="Arial" w:cs="Arial"/>
                <w:b/>
                <w:color w:val="000000"/>
                <w:sz w:val="20"/>
                <w:lang w:val="pl-PL" w:eastAsia="pl-PL"/>
              </w:rPr>
              <w:t>2</w:t>
            </w:r>
            <w:r w:rsidRPr="00765C97">
              <w:rPr>
                <w:rFonts w:ascii="Arial" w:hAnsi="Arial" w:cs="Arial"/>
                <w:b/>
                <w:color w:val="000000"/>
                <w:sz w:val="20"/>
                <w:lang w:val="pl-PL" w:eastAsia="pl-PL"/>
              </w:rPr>
              <w:t xml:space="preserve"> r.</w:t>
            </w:r>
          </w:p>
        </w:tc>
        <w:tc>
          <w:tcPr>
            <w:tcW w:w="2269" w:type="dxa"/>
            <w:tcBorders>
              <w:left w:val="single" w:sz="4" w:space="0" w:color="auto"/>
              <w:bottom w:val="single" w:sz="4" w:space="0" w:color="auto"/>
            </w:tcBorders>
            <w:vAlign w:val="bottom"/>
          </w:tcPr>
          <w:p w:rsidR="0032384B" w:rsidRPr="00765C97" w:rsidRDefault="0032384B" w:rsidP="00D248F8">
            <w:pPr>
              <w:widowControl/>
              <w:autoSpaceDE/>
              <w:autoSpaceDN/>
              <w:jc w:val="right"/>
              <w:rPr>
                <w:rFonts w:ascii="Arial" w:hAnsi="Arial" w:cs="Arial"/>
                <w:b/>
                <w:color w:val="000000"/>
                <w:sz w:val="20"/>
                <w:lang w:val="pl-PL" w:eastAsia="pl-PL"/>
              </w:rPr>
            </w:pPr>
            <w:r w:rsidRPr="00765C97">
              <w:rPr>
                <w:rFonts w:ascii="Arial" w:hAnsi="Arial" w:cs="Arial"/>
                <w:b/>
                <w:color w:val="000000"/>
                <w:sz w:val="20"/>
                <w:lang w:val="pl-PL" w:eastAsia="pl-PL"/>
              </w:rPr>
              <w:t>Wartość księgowa na 31 grudnia 201</w:t>
            </w:r>
            <w:r w:rsidR="00C36604" w:rsidRPr="00765C97">
              <w:rPr>
                <w:rFonts w:ascii="Arial" w:hAnsi="Arial" w:cs="Arial"/>
                <w:b/>
                <w:color w:val="000000"/>
                <w:sz w:val="20"/>
                <w:lang w:val="pl-PL" w:eastAsia="pl-PL"/>
              </w:rPr>
              <w:t>2</w:t>
            </w:r>
            <w:r w:rsidRPr="00765C97">
              <w:rPr>
                <w:rFonts w:ascii="Arial" w:hAnsi="Arial" w:cs="Arial"/>
                <w:b/>
                <w:color w:val="000000"/>
                <w:sz w:val="20"/>
                <w:lang w:val="pl-PL" w:eastAsia="pl-PL"/>
              </w:rPr>
              <w:t xml:space="preserve"> r.</w:t>
            </w:r>
          </w:p>
        </w:tc>
      </w:tr>
      <w:tr w:rsidR="003F29D7" w:rsidRPr="00765C97" w:rsidTr="008030BE">
        <w:trPr>
          <w:trHeight w:val="270"/>
        </w:trPr>
        <w:tc>
          <w:tcPr>
            <w:tcW w:w="1701" w:type="dxa"/>
            <w:vAlign w:val="bottom"/>
          </w:tcPr>
          <w:p w:rsidR="003F29D7" w:rsidRPr="00765C97" w:rsidRDefault="003F29D7" w:rsidP="009C71B5">
            <w:pPr>
              <w:widowControl/>
              <w:autoSpaceDE/>
              <w:autoSpaceDN/>
              <w:rPr>
                <w:rFonts w:ascii="Arial" w:hAnsi="Arial"/>
                <w:color w:val="000000"/>
                <w:sz w:val="20"/>
                <w:lang w:val="pl-PL" w:eastAsia="pl-PL"/>
              </w:rPr>
            </w:pPr>
            <w:r w:rsidRPr="00765C97">
              <w:rPr>
                <w:rFonts w:ascii="Arial" w:hAnsi="Arial" w:cs="Arial"/>
                <w:bCs/>
                <w:color w:val="000000"/>
                <w:sz w:val="20"/>
                <w:szCs w:val="20"/>
                <w:lang w:val="pl-PL" w:eastAsia="pl-PL"/>
              </w:rPr>
              <w:t>Wartości niematerialne i prawne nabyte w wyniku przejęcia Grupy CSuB</w:t>
            </w:r>
          </w:p>
        </w:tc>
        <w:tc>
          <w:tcPr>
            <w:tcW w:w="2126" w:type="dxa"/>
            <w:tcBorders>
              <w:top w:val="single" w:sz="4" w:space="0" w:color="auto"/>
              <w:right w:val="single" w:sz="4" w:space="0" w:color="auto"/>
            </w:tcBorders>
            <w:vAlign w:val="center"/>
          </w:tcPr>
          <w:p w:rsidR="003F29D7" w:rsidRPr="00765C97" w:rsidRDefault="003F29D7" w:rsidP="008030BE">
            <w:pPr>
              <w:jc w:val="right"/>
              <w:rPr>
                <w:rFonts w:ascii="Arial" w:eastAsia="Calibri" w:hAnsi="Arial" w:cs="Arial"/>
                <w:bCs/>
                <w:color w:val="000000"/>
                <w:sz w:val="20"/>
                <w:szCs w:val="20"/>
                <w:lang w:eastAsia="pl-PL"/>
              </w:rPr>
            </w:pPr>
            <w:r w:rsidRPr="00765C97">
              <w:rPr>
                <w:rFonts w:ascii="Arial" w:hAnsi="Arial" w:cs="Arial"/>
                <w:bCs/>
                <w:color w:val="000000"/>
                <w:sz w:val="20"/>
                <w:szCs w:val="20"/>
                <w:lang w:eastAsia="pl-PL"/>
              </w:rPr>
              <w:t>62 237</w:t>
            </w:r>
          </w:p>
        </w:tc>
        <w:tc>
          <w:tcPr>
            <w:tcW w:w="2126" w:type="dxa"/>
            <w:tcBorders>
              <w:top w:val="single" w:sz="4" w:space="0" w:color="auto"/>
              <w:left w:val="single" w:sz="4" w:space="0" w:color="auto"/>
              <w:right w:val="single" w:sz="4" w:space="0" w:color="auto"/>
            </w:tcBorders>
            <w:vAlign w:val="center"/>
          </w:tcPr>
          <w:p w:rsidR="003F29D7" w:rsidRPr="00765C97" w:rsidRDefault="003F29D7">
            <w:pPr>
              <w:jc w:val="right"/>
              <w:rPr>
                <w:rFonts w:ascii="Arial" w:eastAsiaTheme="minorHAnsi" w:hAnsi="Arial" w:cs="Arial"/>
                <w:color w:val="000000"/>
                <w:sz w:val="20"/>
                <w:szCs w:val="20"/>
              </w:rPr>
            </w:pPr>
            <w:r w:rsidRPr="00765C97">
              <w:rPr>
                <w:rFonts w:ascii="Arial" w:hAnsi="Arial" w:cs="Arial"/>
                <w:color w:val="000000"/>
                <w:sz w:val="20"/>
                <w:szCs w:val="20"/>
              </w:rPr>
              <w:t>28 237</w:t>
            </w:r>
          </w:p>
        </w:tc>
        <w:tc>
          <w:tcPr>
            <w:tcW w:w="2269" w:type="dxa"/>
            <w:tcBorders>
              <w:top w:val="single" w:sz="4" w:space="0" w:color="auto"/>
              <w:left w:val="single" w:sz="4" w:space="0" w:color="auto"/>
            </w:tcBorders>
            <w:vAlign w:val="center"/>
          </w:tcPr>
          <w:p w:rsidR="003F29D7" w:rsidRPr="00765C97" w:rsidRDefault="003F29D7">
            <w:pPr>
              <w:jc w:val="right"/>
              <w:rPr>
                <w:rFonts w:ascii="Arial" w:eastAsiaTheme="minorHAnsi" w:hAnsi="Arial" w:cs="Arial"/>
                <w:color w:val="000000"/>
                <w:sz w:val="20"/>
                <w:szCs w:val="20"/>
              </w:rPr>
            </w:pPr>
            <w:r w:rsidRPr="00765C97">
              <w:rPr>
                <w:rFonts w:ascii="Arial" w:hAnsi="Arial" w:cs="Arial"/>
                <w:color w:val="000000"/>
                <w:sz w:val="20"/>
                <w:szCs w:val="20"/>
              </w:rPr>
              <w:t>12 278</w:t>
            </w:r>
          </w:p>
        </w:tc>
      </w:tr>
    </w:tbl>
    <w:p w:rsidR="00B24DA9" w:rsidRPr="00765C97" w:rsidRDefault="00B24DA9">
      <w:pPr>
        <w:tabs>
          <w:tab w:val="left" w:pos="450"/>
        </w:tabs>
        <w:adjustRightInd w:val="0"/>
        <w:ind w:left="180"/>
        <w:jc w:val="both"/>
        <w:rPr>
          <w:rFonts w:ascii="Arial" w:hAnsi="Arial"/>
          <w:sz w:val="20"/>
          <w:lang w:val="pl-PL"/>
        </w:rPr>
      </w:pPr>
    </w:p>
    <w:p w:rsidR="00B24DA9" w:rsidRPr="00765C97" w:rsidRDefault="00D248F8" w:rsidP="00765E5F">
      <w:pPr>
        <w:tabs>
          <w:tab w:val="left" w:pos="450"/>
        </w:tabs>
        <w:adjustRightInd w:val="0"/>
        <w:jc w:val="both"/>
        <w:rPr>
          <w:rFonts w:ascii="Arial" w:hAnsi="Arial"/>
          <w:sz w:val="20"/>
          <w:lang w:val="pl-PL"/>
        </w:rPr>
      </w:pPr>
      <w:r w:rsidRPr="00765C97">
        <w:rPr>
          <w:rFonts w:ascii="Arial" w:hAnsi="Arial" w:cs="Arial"/>
          <w:sz w:val="20"/>
          <w:szCs w:val="20"/>
          <w:lang w:val="pl-PL"/>
        </w:rPr>
        <w:t xml:space="preserve">Grupa </w:t>
      </w:r>
      <w:r w:rsidR="003F29D7" w:rsidRPr="00765C97">
        <w:rPr>
          <w:rFonts w:ascii="Arial" w:hAnsi="Arial" w:cs="Arial"/>
          <w:sz w:val="20"/>
          <w:szCs w:val="20"/>
          <w:lang w:val="pl-PL"/>
        </w:rPr>
        <w:t>dokonuje odpisów amortyzacyjnych wartości niematerialnych nabytych w wyniku przejęcia Grupy Comarch Software metodą liniową, przyjęto okres amortyzacji równy przewidywanemu okresowi osiągania korzyści ekonomicznych ze sprzedaży oprogramowania, czyli 60 miesięcy. Przeprowadzone na dzień 31 grudnia 201</w:t>
      </w:r>
      <w:r w:rsidR="003F29D7" w:rsidRPr="00765C97">
        <w:rPr>
          <w:rFonts w:ascii="Arial" w:hAnsi="Arial" w:cs="Arial"/>
          <w:color w:val="1F497D"/>
          <w:sz w:val="20"/>
          <w:szCs w:val="20"/>
          <w:lang w:val="pl-PL"/>
        </w:rPr>
        <w:t>2</w:t>
      </w:r>
      <w:r w:rsidR="003F29D7" w:rsidRPr="00765C97">
        <w:rPr>
          <w:rFonts w:ascii="Arial" w:hAnsi="Arial" w:cs="Arial"/>
          <w:sz w:val="20"/>
          <w:szCs w:val="20"/>
          <w:lang w:val="pl-PL"/>
        </w:rPr>
        <w:t xml:space="preserve"> r. testy na utratę wartości wykazały, że wartość godziwa wartości niematerialnych i prawnych nabytych w wyniku przejęcia jest istotnie wyższa od ich wartości bilansowej i nie wystąpiła trwała utrata ich wartości.</w:t>
      </w:r>
    </w:p>
    <w:p w:rsidR="0032384B" w:rsidRPr="00765C97" w:rsidRDefault="0032384B" w:rsidP="00765E5F">
      <w:pPr>
        <w:widowControl/>
        <w:autoSpaceDE/>
        <w:autoSpaceDN/>
        <w:rPr>
          <w:rFonts w:ascii="Arial" w:hAnsi="Arial" w:cs="Arial"/>
          <w:b/>
          <w:bCs/>
          <w:sz w:val="20"/>
          <w:szCs w:val="26"/>
          <w:lang w:val="pl-PL"/>
        </w:rPr>
      </w:pPr>
      <w:r w:rsidRPr="00765C97">
        <w:rPr>
          <w:sz w:val="20"/>
          <w:lang w:val="pl-PL"/>
        </w:rPr>
        <w:br w:type="page"/>
      </w:r>
    </w:p>
    <w:p w:rsidR="00B24DA9" w:rsidRPr="00765C97" w:rsidRDefault="00B24DA9" w:rsidP="00135A9A">
      <w:pPr>
        <w:pStyle w:val="Nagwek3"/>
        <w:numPr>
          <w:ilvl w:val="1"/>
          <w:numId w:val="22"/>
        </w:numPr>
        <w:spacing w:after="240"/>
        <w:ind w:left="709" w:hanging="567"/>
        <w:rPr>
          <w:sz w:val="20"/>
          <w:lang w:val="pl-PL"/>
        </w:rPr>
      </w:pPr>
      <w:bookmarkStart w:id="48" w:name="_Toc353973214"/>
      <w:r w:rsidRPr="00765C97">
        <w:rPr>
          <w:sz w:val="20"/>
          <w:lang w:val="pl-PL"/>
        </w:rPr>
        <w:t>Długoterminowe rozliczenia międzyokresowe</w:t>
      </w:r>
      <w:bookmarkEnd w:id="48"/>
    </w:p>
    <w:tbl>
      <w:tblPr>
        <w:tblW w:w="8280" w:type="dxa"/>
        <w:tblInd w:w="180" w:type="dxa"/>
        <w:tblLayout w:type="fixed"/>
        <w:tblCellMar>
          <w:left w:w="0" w:type="dxa"/>
          <w:right w:w="0" w:type="dxa"/>
        </w:tblCellMar>
        <w:tblLook w:val="0000"/>
      </w:tblPr>
      <w:tblGrid>
        <w:gridCol w:w="5760"/>
        <w:gridCol w:w="1260"/>
        <w:gridCol w:w="1260"/>
      </w:tblGrid>
      <w:tr w:rsidR="002B0248" w:rsidRPr="00765C97">
        <w:trPr>
          <w:trHeight w:val="255"/>
        </w:trPr>
        <w:tc>
          <w:tcPr>
            <w:tcW w:w="5760" w:type="dxa"/>
            <w:tcBorders>
              <w:top w:val="nil"/>
              <w:left w:val="nil"/>
              <w:bottom w:val="nil"/>
              <w:right w:val="nil"/>
            </w:tcBorders>
            <w:vAlign w:val="center"/>
          </w:tcPr>
          <w:p w:rsidR="002B0248" w:rsidRPr="00765C97" w:rsidRDefault="002B0248">
            <w:pPr>
              <w:ind w:right="157"/>
              <w:jc w:val="right"/>
              <w:rPr>
                <w:rFonts w:ascii="Arial" w:hAnsi="Arial"/>
                <w:b/>
                <w:sz w:val="20"/>
                <w:lang w:val="pl-PL"/>
              </w:rPr>
            </w:pPr>
          </w:p>
        </w:tc>
        <w:tc>
          <w:tcPr>
            <w:tcW w:w="1260" w:type="dxa"/>
            <w:tcBorders>
              <w:top w:val="nil"/>
              <w:left w:val="nil"/>
              <w:bottom w:val="nil"/>
              <w:right w:val="nil"/>
            </w:tcBorders>
            <w:vAlign w:val="center"/>
          </w:tcPr>
          <w:p w:rsidR="002B0248" w:rsidRPr="00765C97" w:rsidRDefault="002B0248" w:rsidP="0032384B">
            <w:pPr>
              <w:ind w:right="112"/>
              <w:jc w:val="right"/>
              <w:rPr>
                <w:rFonts w:ascii="Arial" w:hAnsi="Arial"/>
                <w:b/>
                <w:sz w:val="20"/>
                <w:lang w:val="pl-PL"/>
              </w:rPr>
            </w:pPr>
            <w:r w:rsidRPr="00765C97">
              <w:rPr>
                <w:rFonts w:ascii="Arial" w:hAnsi="Arial"/>
                <w:b/>
                <w:sz w:val="20"/>
                <w:lang w:val="pl-PL"/>
              </w:rPr>
              <w:t>12 miesięcy 201</w:t>
            </w:r>
            <w:r w:rsidR="00C36604" w:rsidRPr="00765C97">
              <w:rPr>
                <w:rFonts w:ascii="Arial" w:hAnsi="Arial"/>
                <w:b/>
                <w:sz w:val="20"/>
                <w:lang w:val="pl-PL"/>
              </w:rPr>
              <w:t>2</w:t>
            </w:r>
          </w:p>
        </w:tc>
        <w:tc>
          <w:tcPr>
            <w:tcW w:w="1260" w:type="dxa"/>
            <w:tcBorders>
              <w:top w:val="nil"/>
              <w:left w:val="nil"/>
              <w:bottom w:val="nil"/>
              <w:right w:val="nil"/>
            </w:tcBorders>
            <w:vAlign w:val="center"/>
          </w:tcPr>
          <w:p w:rsidR="002B0248" w:rsidRPr="00765C97" w:rsidRDefault="002B0248" w:rsidP="0032384B">
            <w:pPr>
              <w:ind w:right="112"/>
              <w:jc w:val="right"/>
              <w:rPr>
                <w:rFonts w:ascii="Arial" w:hAnsi="Arial"/>
                <w:b/>
                <w:sz w:val="20"/>
                <w:lang w:val="pl-PL"/>
              </w:rPr>
            </w:pPr>
            <w:r w:rsidRPr="00765C97">
              <w:rPr>
                <w:rFonts w:ascii="Arial" w:hAnsi="Arial"/>
                <w:b/>
                <w:sz w:val="20"/>
                <w:lang w:val="pl-PL"/>
              </w:rPr>
              <w:t>12 miesięcy 20</w:t>
            </w:r>
            <w:r w:rsidR="0032384B" w:rsidRPr="00765C97">
              <w:rPr>
                <w:rFonts w:ascii="Arial" w:hAnsi="Arial"/>
                <w:b/>
                <w:sz w:val="20"/>
                <w:lang w:val="pl-PL"/>
              </w:rPr>
              <w:t>1</w:t>
            </w:r>
            <w:r w:rsidR="00C36604" w:rsidRPr="00765C97">
              <w:rPr>
                <w:rFonts w:ascii="Arial" w:hAnsi="Arial"/>
                <w:b/>
                <w:sz w:val="20"/>
                <w:lang w:val="pl-PL"/>
              </w:rPr>
              <w:t>1</w:t>
            </w:r>
          </w:p>
        </w:tc>
      </w:tr>
      <w:tr w:rsidR="00C36604" w:rsidRPr="00765C97">
        <w:trPr>
          <w:trHeight w:val="255"/>
        </w:trPr>
        <w:tc>
          <w:tcPr>
            <w:tcW w:w="5760" w:type="dxa"/>
            <w:tcBorders>
              <w:top w:val="nil"/>
              <w:left w:val="nil"/>
              <w:bottom w:val="nil"/>
              <w:right w:val="nil"/>
            </w:tcBorders>
            <w:vAlign w:val="center"/>
          </w:tcPr>
          <w:p w:rsidR="00C36604" w:rsidRPr="00765C97" w:rsidRDefault="00C36604">
            <w:pPr>
              <w:ind w:right="91"/>
              <w:rPr>
                <w:rFonts w:ascii="Arial" w:hAnsi="Arial"/>
                <w:sz w:val="20"/>
                <w:lang w:val="pl-PL"/>
              </w:rPr>
            </w:pPr>
            <w:r w:rsidRPr="00765C97">
              <w:rPr>
                <w:rFonts w:ascii="Arial" w:hAnsi="Arial"/>
                <w:sz w:val="20"/>
                <w:lang w:val="pl-PL"/>
              </w:rPr>
              <w:t>Stan na początek roku</w:t>
            </w:r>
          </w:p>
        </w:tc>
        <w:tc>
          <w:tcPr>
            <w:tcW w:w="1260" w:type="dxa"/>
            <w:tcBorders>
              <w:top w:val="nil"/>
              <w:left w:val="nil"/>
              <w:bottom w:val="nil"/>
              <w:right w:val="nil"/>
            </w:tcBorders>
            <w:vAlign w:val="center"/>
          </w:tcPr>
          <w:p w:rsidR="00C36604" w:rsidRPr="00765C97" w:rsidRDefault="006E6DC6">
            <w:pPr>
              <w:ind w:right="112"/>
              <w:jc w:val="right"/>
              <w:rPr>
                <w:rFonts w:ascii="Arial" w:hAnsi="Arial"/>
                <w:sz w:val="20"/>
                <w:lang w:val="pl-PL"/>
              </w:rPr>
            </w:pPr>
            <w:r w:rsidRPr="00765C97">
              <w:rPr>
                <w:rFonts w:ascii="Arial" w:hAnsi="Arial"/>
                <w:sz w:val="20"/>
                <w:lang w:val="pl-PL"/>
              </w:rPr>
              <w:t>61</w:t>
            </w:r>
          </w:p>
        </w:tc>
        <w:tc>
          <w:tcPr>
            <w:tcW w:w="1260" w:type="dxa"/>
            <w:tcBorders>
              <w:top w:val="nil"/>
              <w:left w:val="nil"/>
              <w:bottom w:val="nil"/>
              <w:right w:val="nil"/>
            </w:tcBorders>
            <w:vAlign w:val="center"/>
          </w:tcPr>
          <w:p w:rsidR="00C36604" w:rsidRPr="00765C97" w:rsidRDefault="00C36604" w:rsidP="00385F70">
            <w:pPr>
              <w:ind w:right="112"/>
              <w:jc w:val="right"/>
              <w:rPr>
                <w:rFonts w:ascii="Arial" w:hAnsi="Arial"/>
                <w:sz w:val="20"/>
                <w:lang w:val="pl-PL"/>
              </w:rPr>
            </w:pPr>
            <w:r w:rsidRPr="00765C97">
              <w:rPr>
                <w:rFonts w:ascii="Arial" w:hAnsi="Arial"/>
                <w:sz w:val="20"/>
                <w:lang w:val="pl-PL"/>
              </w:rPr>
              <w:t>187</w:t>
            </w:r>
          </w:p>
        </w:tc>
      </w:tr>
      <w:tr w:rsidR="00C36604" w:rsidRPr="00765C97">
        <w:trPr>
          <w:trHeight w:val="255"/>
        </w:trPr>
        <w:tc>
          <w:tcPr>
            <w:tcW w:w="5760" w:type="dxa"/>
            <w:tcBorders>
              <w:top w:val="nil"/>
              <w:left w:val="nil"/>
              <w:bottom w:val="nil"/>
              <w:right w:val="nil"/>
            </w:tcBorders>
            <w:vAlign w:val="center"/>
          </w:tcPr>
          <w:p w:rsidR="00C36604" w:rsidRPr="00765C97" w:rsidRDefault="00C36604">
            <w:pPr>
              <w:ind w:right="91"/>
              <w:rPr>
                <w:rFonts w:ascii="Arial" w:hAnsi="Arial"/>
                <w:sz w:val="20"/>
                <w:lang w:val="pl-PL"/>
              </w:rPr>
            </w:pPr>
            <w:r w:rsidRPr="00765C97">
              <w:rPr>
                <w:rFonts w:ascii="Arial" w:hAnsi="Arial"/>
                <w:sz w:val="20"/>
                <w:lang w:val="pl-PL"/>
              </w:rPr>
              <w:t>zmiany z tytułu:</w:t>
            </w:r>
          </w:p>
        </w:tc>
        <w:tc>
          <w:tcPr>
            <w:tcW w:w="1260" w:type="dxa"/>
            <w:tcBorders>
              <w:top w:val="nil"/>
              <w:left w:val="nil"/>
              <w:right w:val="nil"/>
            </w:tcBorders>
            <w:vAlign w:val="center"/>
          </w:tcPr>
          <w:p w:rsidR="00C36604" w:rsidRPr="00765C97" w:rsidRDefault="00C36604">
            <w:pPr>
              <w:ind w:right="112"/>
              <w:jc w:val="right"/>
              <w:rPr>
                <w:rFonts w:ascii="Arial" w:hAnsi="Arial"/>
                <w:sz w:val="20"/>
                <w:lang w:val="pl-PL"/>
              </w:rPr>
            </w:pPr>
          </w:p>
        </w:tc>
        <w:tc>
          <w:tcPr>
            <w:tcW w:w="1260" w:type="dxa"/>
            <w:tcBorders>
              <w:top w:val="nil"/>
              <w:left w:val="nil"/>
              <w:right w:val="nil"/>
            </w:tcBorders>
            <w:vAlign w:val="center"/>
          </w:tcPr>
          <w:p w:rsidR="00C36604" w:rsidRPr="00765C97" w:rsidRDefault="00C36604" w:rsidP="00385F70">
            <w:pPr>
              <w:ind w:right="112"/>
              <w:jc w:val="right"/>
              <w:rPr>
                <w:rFonts w:ascii="Arial" w:hAnsi="Arial"/>
                <w:sz w:val="20"/>
                <w:lang w:val="pl-PL"/>
              </w:rPr>
            </w:pPr>
          </w:p>
        </w:tc>
      </w:tr>
      <w:tr w:rsidR="00C36604" w:rsidRPr="00765C97">
        <w:trPr>
          <w:trHeight w:val="255"/>
        </w:trPr>
        <w:tc>
          <w:tcPr>
            <w:tcW w:w="5760" w:type="dxa"/>
            <w:tcBorders>
              <w:top w:val="nil"/>
              <w:left w:val="nil"/>
              <w:right w:val="nil"/>
            </w:tcBorders>
            <w:vAlign w:val="center"/>
          </w:tcPr>
          <w:p w:rsidR="00C36604" w:rsidRPr="00765C97" w:rsidRDefault="00C36604">
            <w:pPr>
              <w:ind w:right="91"/>
              <w:rPr>
                <w:rFonts w:ascii="Arial" w:hAnsi="Arial"/>
                <w:sz w:val="20"/>
                <w:lang w:val="pl-PL"/>
              </w:rPr>
            </w:pPr>
            <w:r w:rsidRPr="00765C97">
              <w:rPr>
                <w:rFonts w:ascii="Arial" w:hAnsi="Arial"/>
                <w:sz w:val="20"/>
                <w:lang w:val="pl-PL"/>
              </w:rPr>
              <w:t>- długoterminowe rozliczenia międzyokresowe kosztów</w:t>
            </w:r>
          </w:p>
        </w:tc>
        <w:tc>
          <w:tcPr>
            <w:tcW w:w="1260" w:type="dxa"/>
            <w:tcBorders>
              <w:top w:val="nil"/>
              <w:left w:val="nil"/>
              <w:bottom w:val="single" w:sz="2" w:space="0" w:color="auto"/>
              <w:right w:val="nil"/>
            </w:tcBorders>
            <w:vAlign w:val="center"/>
          </w:tcPr>
          <w:p w:rsidR="00C36604" w:rsidRPr="00765C97" w:rsidRDefault="006E6DC6">
            <w:pPr>
              <w:ind w:right="112"/>
              <w:jc w:val="right"/>
              <w:rPr>
                <w:rFonts w:ascii="Arial" w:hAnsi="Arial"/>
                <w:sz w:val="20"/>
                <w:lang w:val="pl-PL"/>
              </w:rPr>
            </w:pPr>
            <w:r w:rsidRPr="00765C97">
              <w:rPr>
                <w:rFonts w:ascii="Arial" w:hAnsi="Arial"/>
                <w:sz w:val="20"/>
                <w:lang w:val="pl-PL"/>
              </w:rPr>
              <w:t>843</w:t>
            </w:r>
          </w:p>
        </w:tc>
        <w:tc>
          <w:tcPr>
            <w:tcW w:w="1260" w:type="dxa"/>
            <w:tcBorders>
              <w:top w:val="nil"/>
              <w:left w:val="nil"/>
              <w:bottom w:val="single" w:sz="2" w:space="0" w:color="auto"/>
              <w:right w:val="nil"/>
            </w:tcBorders>
            <w:vAlign w:val="center"/>
          </w:tcPr>
          <w:p w:rsidR="00C36604" w:rsidRPr="00765C97" w:rsidRDefault="00C36604" w:rsidP="00385F70">
            <w:pPr>
              <w:ind w:right="112"/>
              <w:jc w:val="right"/>
              <w:rPr>
                <w:rFonts w:ascii="Arial" w:hAnsi="Arial"/>
                <w:sz w:val="20"/>
                <w:lang w:val="pl-PL"/>
              </w:rPr>
            </w:pPr>
            <w:r w:rsidRPr="00765C97">
              <w:rPr>
                <w:rFonts w:ascii="Arial" w:hAnsi="Arial"/>
                <w:sz w:val="20"/>
                <w:lang w:val="pl-PL"/>
              </w:rPr>
              <w:t>(126)</w:t>
            </w:r>
          </w:p>
        </w:tc>
      </w:tr>
      <w:tr w:rsidR="00C36604" w:rsidRPr="00765C97">
        <w:trPr>
          <w:trHeight w:val="255"/>
        </w:trPr>
        <w:tc>
          <w:tcPr>
            <w:tcW w:w="5760" w:type="dxa"/>
            <w:tcBorders>
              <w:left w:val="nil"/>
              <w:right w:val="nil"/>
            </w:tcBorders>
            <w:vAlign w:val="center"/>
          </w:tcPr>
          <w:p w:rsidR="00C36604" w:rsidRPr="00765C97" w:rsidRDefault="00C36604">
            <w:pPr>
              <w:ind w:right="91"/>
              <w:rPr>
                <w:rFonts w:ascii="Arial" w:hAnsi="Arial"/>
                <w:b/>
                <w:sz w:val="20"/>
                <w:lang w:val="pl-PL"/>
              </w:rPr>
            </w:pPr>
            <w:r w:rsidRPr="00765C97">
              <w:rPr>
                <w:rFonts w:ascii="Arial" w:hAnsi="Arial"/>
                <w:b/>
                <w:sz w:val="20"/>
                <w:lang w:val="pl-PL"/>
              </w:rPr>
              <w:t xml:space="preserve">Stan na koniec roku </w:t>
            </w:r>
          </w:p>
        </w:tc>
        <w:tc>
          <w:tcPr>
            <w:tcW w:w="1260" w:type="dxa"/>
            <w:tcBorders>
              <w:top w:val="single" w:sz="2" w:space="0" w:color="auto"/>
              <w:left w:val="nil"/>
              <w:bottom w:val="single" w:sz="4" w:space="0" w:color="auto"/>
              <w:right w:val="nil"/>
            </w:tcBorders>
            <w:vAlign w:val="center"/>
          </w:tcPr>
          <w:p w:rsidR="00C36604" w:rsidRPr="00765C97" w:rsidRDefault="006E6DC6">
            <w:pPr>
              <w:ind w:right="112"/>
              <w:jc w:val="right"/>
              <w:rPr>
                <w:rFonts w:ascii="Arial" w:hAnsi="Arial"/>
                <w:b/>
                <w:sz w:val="20"/>
                <w:lang w:val="pl-PL"/>
              </w:rPr>
            </w:pPr>
            <w:r w:rsidRPr="00765C97">
              <w:rPr>
                <w:rFonts w:ascii="Arial" w:hAnsi="Arial"/>
                <w:b/>
                <w:sz w:val="20"/>
                <w:lang w:val="pl-PL"/>
              </w:rPr>
              <w:t>904</w:t>
            </w:r>
          </w:p>
        </w:tc>
        <w:tc>
          <w:tcPr>
            <w:tcW w:w="1260" w:type="dxa"/>
            <w:tcBorders>
              <w:top w:val="single" w:sz="2" w:space="0" w:color="auto"/>
              <w:left w:val="nil"/>
              <w:bottom w:val="single" w:sz="4" w:space="0" w:color="auto"/>
              <w:right w:val="nil"/>
            </w:tcBorders>
            <w:vAlign w:val="center"/>
          </w:tcPr>
          <w:p w:rsidR="00C36604" w:rsidRPr="00765C97" w:rsidRDefault="00C36604" w:rsidP="00385F70">
            <w:pPr>
              <w:ind w:right="112"/>
              <w:jc w:val="right"/>
              <w:rPr>
                <w:rFonts w:ascii="Arial" w:hAnsi="Arial"/>
                <w:b/>
                <w:sz w:val="20"/>
                <w:lang w:val="pl-PL"/>
              </w:rPr>
            </w:pPr>
            <w:r w:rsidRPr="00765C97">
              <w:rPr>
                <w:rFonts w:ascii="Arial" w:hAnsi="Arial"/>
                <w:b/>
                <w:sz w:val="20"/>
                <w:lang w:val="pl-PL"/>
              </w:rPr>
              <w:t>61</w:t>
            </w:r>
          </w:p>
        </w:tc>
      </w:tr>
    </w:tbl>
    <w:p w:rsidR="00B24DA9" w:rsidRPr="00765C97" w:rsidRDefault="00B24DA9" w:rsidP="00135A9A">
      <w:pPr>
        <w:pStyle w:val="Nagwek3"/>
        <w:numPr>
          <w:ilvl w:val="1"/>
          <w:numId w:val="22"/>
        </w:numPr>
        <w:spacing w:after="240"/>
        <w:ind w:left="709" w:hanging="567"/>
        <w:rPr>
          <w:sz w:val="20"/>
          <w:lang w:val="pl-PL"/>
        </w:rPr>
      </w:pPr>
      <w:bookmarkStart w:id="49" w:name="_Toc353973215"/>
      <w:r w:rsidRPr="00765C97">
        <w:rPr>
          <w:sz w:val="20"/>
          <w:lang w:val="pl-PL"/>
        </w:rPr>
        <w:t>Inwestycje w jednostkach stowarzyszonych</w:t>
      </w:r>
      <w:bookmarkEnd w:id="49"/>
    </w:p>
    <w:p w:rsidR="00B24DA9" w:rsidRPr="00765C97" w:rsidRDefault="00B24DA9">
      <w:pPr>
        <w:ind w:left="180"/>
        <w:jc w:val="both"/>
        <w:rPr>
          <w:rFonts w:ascii="Arial" w:hAnsi="Arial"/>
          <w:sz w:val="20"/>
          <w:lang w:val="pl-PL"/>
        </w:rPr>
      </w:pPr>
      <w:r w:rsidRPr="00765C97">
        <w:rPr>
          <w:rFonts w:ascii="Arial" w:hAnsi="Arial"/>
          <w:sz w:val="20"/>
          <w:lang w:val="pl-PL"/>
        </w:rPr>
        <w:t>Według stanu na dzień 31 grudnia 20</w:t>
      </w:r>
      <w:r w:rsidR="00D452E2" w:rsidRPr="00765C97">
        <w:rPr>
          <w:rFonts w:ascii="Arial" w:hAnsi="Arial"/>
          <w:sz w:val="20"/>
          <w:lang w:val="pl-PL"/>
        </w:rPr>
        <w:t>1</w:t>
      </w:r>
      <w:r w:rsidR="00C36604" w:rsidRPr="00765C97">
        <w:rPr>
          <w:rFonts w:ascii="Arial" w:hAnsi="Arial"/>
          <w:sz w:val="20"/>
          <w:lang w:val="pl-PL"/>
        </w:rPr>
        <w:t>2</w:t>
      </w:r>
      <w:r w:rsidRPr="00765C97">
        <w:rPr>
          <w:rFonts w:ascii="Arial" w:hAnsi="Arial"/>
          <w:sz w:val="20"/>
          <w:lang w:val="pl-PL"/>
        </w:rPr>
        <w:t xml:space="preserve"> r. Grupa posiada inwestycje w jednostkach stowarzyszonych.</w:t>
      </w:r>
    </w:p>
    <w:p w:rsidR="00B24DA9" w:rsidRPr="00765C97" w:rsidRDefault="00B24DA9">
      <w:pPr>
        <w:ind w:left="180"/>
        <w:jc w:val="both"/>
        <w:rPr>
          <w:rFonts w:ascii="Arial" w:hAnsi="Arial"/>
          <w:sz w:val="20"/>
          <w:lang w:val="pl-PL"/>
        </w:rPr>
      </w:pPr>
    </w:p>
    <w:tbl>
      <w:tblPr>
        <w:tblW w:w="0" w:type="auto"/>
        <w:tblInd w:w="180" w:type="dxa"/>
        <w:tblLayout w:type="fixed"/>
        <w:tblCellMar>
          <w:left w:w="0" w:type="dxa"/>
          <w:right w:w="0" w:type="dxa"/>
        </w:tblCellMar>
        <w:tblLook w:val="0000"/>
      </w:tblPr>
      <w:tblGrid>
        <w:gridCol w:w="2520"/>
        <w:gridCol w:w="1145"/>
        <w:gridCol w:w="1113"/>
        <w:gridCol w:w="1177"/>
        <w:gridCol w:w="241"/>
        <w:gridCol w:w="2084"/>
      </w:tblGrid>
      <w:tr w:rsidR="0032384B" w:rsidRPr="00765C97">
        <w:trPr>
          <w:trHeight w:val="255"/>
        </w:trPr>
        <w:tc>
          <w:tcPr>
            <w:tcW w:w="5955" w:type="dxa"/>
            <w:gridSpan w:val="4"/>
            <w:vAlign w:val="center"/>
          </w:tcPr>
          <w:p w:rsidR="0032384B" w:rsidRPr="00765C97" w:rsidRDefault="00C36604" w:rsidP="0032384B">
            <w:pPr>
              <w:rPr>
                <w:rFonts w:ascii="Arial" w:hAnsi="Arial"/>
                <w:sz w:val="20"/>
                <w:lang w:val="pl-PL"/>
              </w:rPr>
            </w:pPr>
            <w:r w:rsidRPr="00765C97">
              <w:rPr>
                <w:rFonts w:ascii="Arial" w:hAnsi="Arial"/>
                <w:b/>
                <w:sz w:val="20"/>
                <w:lang w:val="pl-PL"/>
              </w:rPr>
              <w:t>Stan na 1 stycznia 2011</w:t>
            </w:r>
            <w:r w:rsidR="0032384B" w:rsidRPr="00765C97">
              <w:rPr>
                <w:rFonts w:ascii="Arial" w:hAnsi="Arial"/>
                <w:b/>
                <w:sz w:val="20"/>
                <w:lang w:val="pl-PL"/>
              </w:rPr>
              <w:t xml:space="preserve"> r.</w:t>
            </w:r>
          </w:p>
        </w:tc>
        <w:tc>
          <w:tcPr>
            <w:tcW w:w="2325" w:type="dxa"/>
            <w:gridSpan w:val="2"/>
            <w:vAlign w:val="center"/>
          </w:tcPr>
          <w:p w:rsidR="0032384B" w:rsidRPr="00765C97" w:rsidRDefault="00C36604" w:rsidP="0032384B">
            <w:pPr>
              <w:tabs>
                <w:tab w:val="left" w:pos="972"/>
              </w:tabs>
              <w:ind w:right="180"/>
              <w:jc w:val="right"/>
              <w:rPr>
                <w:rFonts w:ascii="Arial" w:hAnsi="Arial"/>
                <w:b/>
                <w:sz w:val="20"/>
                <w:lang w:val="pl-PL"/>
              </w:rPr>
            </w:pPr>
            <w:r w:rsidRPr="00765C97">
              <w:rPr>
                <w:rFonts w:ascii="Arial" w:hAnsi="Arial"/>
                <w:b/>
                <w:sz w:val="20"/>
                <w:lang w:val="pl-PL"/>
              </w:rPr>
              <w:t>172</w:t>
            </w:r>
          </w:p>
        </w:tc>
      </w:tr>
      <w:tr w:rsidR="0032384B" w:rsidRPr="00765C97">
        <w:trPr>
          <w:trHeight w:val="255"/>
        </w:trPr>
        <w:tc>
          <w:tcPr>
            <w:tcW w:w="5955" w:type="dxa"/>
            <w:gridSpan w:val="4"/>
            <w:vAlign w:val="center"/>
          </w:tcPr>
          <w:p w:rsidR="0032384B" w:rsidRPr="00765C97" w:rsidRDefault="006E6DC6" w:rsidP="0032384B">
            <w:pPr>
              <w:rPr>
                <w:rFonts w:ascii="Arial" w:hAnsi="Arial"/>
                <w:b/>
                <w:color w:val="000000"/>
                <w:sz w:val="20"/>
                <w:lang w:val="pl-PL"/>
              </w:rPr>
            </w:pPr>
            <w:r w:rsidRPr="00765C97">
              <w:rPr>
                <w:rFonts w:ascii="Arial" w:hAnsi="Arial"/>
                <w:color w:val="000000"/>
                <w:sz w:val="20"/>
                <w:lang w:val="pl-PL"/>
              </w:rPr>
              <w:t>Udział w wyniku za 2011</w:t>
            </w:r>
            <w:r w:rsidR="0032384B" w:rsidRPr="00765C97">
              <w:rPr>
                <w:rFonts w:ascii="Arial" w:hAnsi="Arial"/>
                <w:color w:val="000000"/>
                <w:sz w:val="20"/>
                <w:lang w:val="pl-PL"/>
              </w:rPr>
              <w:t xml:space="preserve"> rok</w:t>
            </w:r>
          </w:p>
        </w:tc>
        <w:tc>
          <w:tcPr>
            <w:tcW w:w="2325" w:type="dxa"/>
            <w:gridSpan w:val="2"/>
            <w:vAlign w:val="center"/>
          </w:tcPr>
          <w:p w:rsidR="0032384B" w:rsidRPr="00765C97" w:rsidRDefault="00C36604" w:rsidP="0032384B">
            <w:pPr>
              <w:tabs>
                <w:tab w:val="left" w:pos="972"/>
              </w:tabs>
              <w:ind w:right="180"/>
              <w:jc w:val="right"/>
              <w:rPr>
                <w:rFonts w:ascii="Arial" w:hAnsi="Arial"/>
                <w:sz w:val="20"/>
                <w:lang w:val="pl-PL"/>
              </w:rPr>
            </w:pPr>
            <w:r w:rsidRPr="00765C97">
              <w:rPr>
                <w:rFonts w:ascii="Arial" w:hAnsi="Arial"/>
                <w:sz w:val="20"/>
                <w:lang w:val="pl-PL"/>
              </w:rPr>
              <w:t>(144)</w:t>
            </w:r>
          </w:p>
        </w:tc>
      </w:tr>
      <w:tr w:rsidR="0032384B" w:rsidRPr="00765C97">
        <w:trPr>
          <w:trHeight w:val="255"/>
        </w:trPr>
        <w:tc>
          <w:tcPr>
            <w:tcW w:w="5955" w:type="dxa"/>
            <w:gridSpan w:val="4"/>
            <w:vAlign w:val="center"/>
          </w:tcPr>
          <w:p w:rsidR="0032384B" w:rsidRPr="00765C97" w:rsidRDefault="0032384B" w:rsidP="006E6DC6">
            <w:pPr>
              <w:rPr>
                <w:rFonts w:ascii="Arial" w:hAnsi="Arial"/>
                <w:b/>
                <w:sz w:val="20"/>
                <w:lang w:val="pl-PL"/>
              </w:rPr>
            </w:pPr>
            <w:r w:rsidRPr="00765C97">
              <w:rPr>
                <w:rFonts w:ascii="Arial" w:hAnsi="Arial"/>
                <w:b/>
                <w:sz w:val="20"/>
                <w:lang w:val="pl-PL"/>
              </w:rPr>
              <w:t>Stan na 31 grudnia 201</w:t>
            </w:r>
            <w:r w:rsidR="006E6DC6" w:rsidRPr="00765C97">
              <w:rPr>
                <w:rFonts w:ascii="Arial" w:hAnsi="Arial"/>
                <w:b/>
                <w:sz w:val="20"/>
                <w:lang w:val="pl-PL"/>
              </w:rPr>
              <w:t>1</w:t>
            </w:r>
            <w:r w:rsidRPr="00765C97">
              <w:rPr>
                <w:rFonts w:ascii="Arial" w:hAnsi="Arial"/>
                <w:b/>
                <w:sz w:val="20"/>
                <w:lang w:val="pl-PL"/>
              </w:rPr>
              <w:t xml:space="preserve"> r.</w:t>
            </w:r>
          </w:p>
        </w:tc>
        <w:tc>
          <w:tcPr>
            <w:tcW w:w="2325" w:type="dxa"/>
            <w:gridSpan w:val="2"/>
            <w:vAlign w:val="center"/>
          </w:tcPr>
          <w:p w:rsidR="0032384B" w:rsidRPr="00765C97" w:rsidRDefault="00C36604" w:rsidP="0032384B">
            <w:pPr>
              <w:tabs>
                <w:tab w:val="left" w:pos="972"/>
              </w:tabs>
              <w:ind w:right="180"/>
              <w:jc w:val="right"/>
              <w:rPr>
                <w:rFonts w:ascii="Arial" w:hAnsi="Arial"/>
                <w:b/>
                <w:sz w:val="20"/>
                <w:lang w:val="pl-PL"/>
              </w:rPr>
            </w:pPr>
            <w:r w:rsidRPr="00765C97">
              <w:rPr>
                <w:rFonts w:ascii="Arial" w:hAnsi="Arial"/>
                <w:b/>
                <w:sz w:val="20"/>
                <w:lang w:val="pl-PL"/>
              </w:rPr>
              <w:t>28</w:t>
            </w:r>
          </w:p>
        </w:tc>
      </w:tr>
      <w:tr w:rsidR="00CB7DA9" w:rsidRPr="00765C97">
        <w:trPr>
          <w:trHeight w:val="255"/>
        </w:trPr>
        <w:tc>
          <w:tcPr>
            <w:tcW w:w="5955" w:type="dxa"/>
            <w:gridSpan w:val="4"/>
            <w:vAlign w:val="center"/>
          </w:tcPr>
          <w:p w:rsidR="00CB7DA9" w:rsidRPr="00765C97" w:rsidRDefault="00C36604" w:rsidP="00CB7DA9">
            <w:pPr>
              <w:rPr>
                <w:rFonts w:ascii="Arial" w:hAnsi="Arial"/>
                <w:sz w:val="20"/>
                <w:lang w:val="pl-PL"/>
              </w:rPr>
            </w:pPr>
            <w:r w:rsidRPr="00765C97">
              <w:rPr>
                <w:rFonts w:ascii="Arial" w:hAnsi="Arial"/>
                <w:b/>
                <w:sz w:val="20"/>
                <w:lang w:val="pl-PL"/>
              </w:rPr>
              <w:t>Stan na 1 stycznia 2012</w:t>
            </w:r>
            <w:r w:rsidR="00CB7DA9" w:rsidRPr="00765C97">
              <w:rPr>
                <w:rFonts w:ascii="Arial" w:hAnsi="Arial"/>
                <w:b/>
                <w:sz w:val="20"/>
                <w:lang w:val="pl-PL"/>
              </w:rPr>
              <w:t xml:space="preserve"> r.</w:t>
            </w:r>
          </w:p>
        </w:tc>
        <w:tc>
          <w:tcPr>
            <w:tcW w:w="2325" w:type="dxa"/>
            <w:gridSpan w:val="2"/>
            <w:vAlign w:val="center"/>
          </w:tcPr>
          <w:p w:rsidR="00CB7DA9" w:rsidRPr="00765C97" w:rsidRDefault="006E6DC6" w:rsidP="00CB7DA9">
            <w:pPr>
              <w:tabs>
                <w:tab w:val="left" w:pos="972"/>
              </w:tabs>
              <w:ind w:right="180"/>
              <w:jc w:val="right"/>
              <w:rPr>
                <w:rFonts w:ascii="Arial" w:hAnsi="Arial"/>
                <w:b/>
                <w:sz w:val="20"/>
                <w:lang w:val="pl-PL"/>
              </w:rPr>
            </w:pPr>
            <w:r w:rsidRPr="00765C97">
              <w:rPr>
                <w:rFonts w:ascii="Arial" w:hAnsi="Arial"/>
                <w:b/>
                <w:sz w:val="20"/>
                <w:lang w:val="pl-PL"/>
              </w:rPr>
              <w:t>28</w:t>
            </w:r>
          </w:p>
        </w:tc>
      </w:tr>
      <w:tr w:rsidR="00CB7DA9" w:rsidRPr="00765C97">
        <w:trPr>
          <w:trHeight w:val="255"/>
        </w:trPr>
        <w:tc>
          <w:tcPr>
            <w:tcW w:w="5955" w:type="dxa"/>
            <w:gridSpan w:val="4"/>
            <w:vAlign w:val="center"/>
          </w:tcPr>
          <w:p w:rsidR="00CB7DA9" w:rsidRPr="00765C97" w:rsidRDefault="00C36604" w:rsidP="00CB7DA9">
            <w:pPr>
              <w:rPr>
                <w:rFonts w:ascii="Arial" w:hAnsi="Arial"/>
                <w:b/>
                <w:color w:val="000000"/>
                <w:sz w:val="20"/>
                <w:lang w:val="pl-PL"/>
              </w:rPr>
            </w:pPr>
            <w:r w:rsidRPr="00765C97">
              <w:rPr>
                <w:rFonts w:ascii="Arial" w:hAnsi="Arial"/>
                <w:color w:val="000000"/>
                <w:sz w:val="20"/>
                <w:lang w:val="pl-PL"/>
              </w:rPr>
              <w:t>Udział w wyniku za 2012</w:t>
            </w:r>
            <w:r w:rsidR="00CB7DA9" w:rsidRPr="00765C97">
              <w:rPr>
                <w:rFonts w:ascii="Arial" w:hAnsi="Arial"/>
                <w:color w:val="000000"/>
                <w:sz w:val="20"/>
                <w:lang w:val="pl-PL"/>
              </w:rPr>
              <w:t xml:space="preserve"> rok</w:t>
            </w:r>
          </w:p>
        </w:tc>
        <w:tc>
          <w:tcPr>
            <w:tcW w:w="2325" w:type="dxa"/>
            <w:gridSpan w:val="2"/>
            <w:vAlign w:val="center"/>
          </w:tcPr>
          <w:p w:rsidR="00CB7DA9" w:rsidRPr="00765C97" w:rsidRDefault="006E6DC6" w:rsidP="0029328A">
            <w:pPr>
              <w:tabs>
                <w:tab w:val="left" w:pos="972"/>
              </w:tabs>
              <w:ind w:right="180"/>
              <w:jc w:val="right"/>
              <w:rPr>
                <w:rFonts w:ascii="Arial" w:hAnsi="Arial"/>
                <w:sz w:val="20"/>
                <w:lang w:val="pl-PL"/>
              </w:rPr>
            </w:pPr>
            <w:r w:rsidRPr="00765C97">
              <w:rPr>
                <w:rFonts w:ascii="Arial" w:hAnsi="Arial"/>
                <w:sz w:val="20"/>
                <w:lang w:val="pl-PL"/>
              </w:rPr>
              <w:t>21</w:t>
            </w:r>
            <w:r w:rsidR="0029328A" w:rsidRPr="00765C97">
              <w:rPr>
                <w:rFonts w:ascii="Arial" w:hAnsi="Arial"/>
                <w:sz w:val="20"/>
                <w:lang w:val="pl-PL"/>
              </w:rPr>
              <w:t>6</w:t>
            </w:r>
          </w:p>
        </w:tc>
      </w:tr>
      <w:tr w:rsidR="00CB7DA9" w:rsidRPr="00765C97">
        <w:trPr>
          <w:trHeight w:val="255"/>
        </w:trPr>
        <w:tc>
          <w:tcPr>
            <w:tcW w:w="5955" w:type="dxa"/>
            <w:gridSpan w:val="4"/>
            <w:vAlign w:val="center"/>
          </w:tcPr>
          <w:p w:rsidR="00CB7DA9" w:rsidRPr="00765C97" w:rsidRDefault="00C36604" w:rsidP="00CB7DA9">
            <w:pPr>
              <w:rPr>
                <w:rFonts w:ascii="Arial" w:hAnsi="Arial"/>
                <w:b/>
                <w:sz w:val="20"/>
                <w:lang w:val="pl-PL"/>
              </w:rPr>
            </w:pPr>
            <w:r w:rsidRPr="00765C97">
              <w:rPr>
                <w:rFonts w:ascii="Arial" w:hAnsi="Arial"/>
                <w:b/>
                <w:sz w:val="20"/>
                <w:lang w:val="pl-PL"/>
              </w:rPr>
              <w:t>Stan na 31 grudnia 2012</w:t>
            </w:r>
            <w:r w:rsidR="00CB7DA9" w:rsidRPr="00765C97">
              <w:rPr>
                <w:rFonts w:ascii="Arial" w:hAnsi="Arial"/>
                <w:b/>
                <w:sz w:val="20"/>
                <w:lang w:val="pl-PL"/>
              </w:rPr>
              <w:t xml:space="preserve"> r.</w:t>
            </w:r>
          </w:p>
        </w:tc>
        <w:tc>
          <w:tcPr>
            <w:tcW w:w="2325" w:type="dxa"/>
            <w:gridSpan w:val="2"/>
            <w:vAlign w:val="center"/>
          </w:tcPr>
          <w:p w:rsidR="00CB7DA9" w:rsidRPr="00765C97" w:rsidRDefault="006E6DC6" w:rsidP="0029328A">
            <w:pPr>
              <w:tabs>
                <w:tab w:val="left" w:pos="972"/>
              </w:tabs>
              <w:ind w:right="180"/>
              <w:jc w:val="right"/>
              <w:rPr>
                <w:rFonts w:ascii="Arial" w:hAnsi="Arial"/>
                <w:b/>
                <w:sz w:val="20"/>
                <w:lang w:val="pl-PL"/>
              </w:rPr>
            </w:pPr>
            <w:r w:rsidRPr="00765C97">
              <w:rPr>
                <w:rFonts w:ascii="Arial" w:hAnsi="Arial"/>
                <w:b/>
                <w:sz w:val="20"/>
                <w:lang w:val="pl-PL"/>
              </w:rPr>
              <w:t>24</w:t>
            </w:r>
            <w:r w:rsidR="0029328A" w:rsidRPr="00765C97">
              <w:rPr>
                <w:rFonts w:ascii="Arial" w:hAnsi="Arial"/>
                <w:b/>
                <w:sz w:val="20"/>
                <w:lang w:val="pl-PL"/>
              </w:rPr>
              <w:t>4</w:t>
            </w:r>
          </w:p>
        </w:tc>
      </w:tr>
      <w:tr w:rsidR="00B24DA9" w:rsidRPr="00765C97">
        <w:trPr>
          <w:trHeight w:val="297"/>
        </w:trPr>
        <w:tc>
          <w:tcPr>
            <w:tcW w:w="8280" w:type="dxa"/>
            <w:gridSpan w:val="6"/>
            <w:vAlign w:val="center"/>
          </w:tcPr>
          <w:p w:rsidR="00B24DA9" w:rsidRPr="00765C97" w:rsidRDefault="00B24DA9">
            <w:pPr>
              <w:pStyle w:val="BalloonText1"/>
              <w:tabs>
                <w:tab w:val="left" w:pos="972"/>
              </w:tabs>
              <w:rPr>
                <w:rFonts w:ascii="Arial" w:hAnsi="Arial"/>
                <w:sz w:val="20"/>
                <w:vertAlign w:val="superscript"/>
                <w:lang w:val="pl-PL"/>
              </w:rPr>
            </w:pPr>
          </w:p>
        </w:tc>
      </w:tr>
      <w:tr w:rsidR="00B24DA9" w:rsidRPr="00765C97">
        <w:trPr>
          <w:trHeight w:val="255"/>
        </w:trPr>
        <w:tc>
          <w:tcPr>
            <w:tcW w:w="2520" w:type="dxa"/>
            <w:vAlign w:val="center"/>
          </w:tcPr>
          <w:p w:rsidR="00B24DA9" w:rsidRPr="00765C97" w:rsidRDefault="00B24DA9">
            <w:pPr>
              <w:ind w:left="141"/>
              <w:rPr>
                <w:rFonts w:ascii="Arial" w:hAnsi="Arial"/>
                <w:spacing w:val="-2"/>
                <w:sz w:val="20"/>
                <w:lang w:val="pl-PL"/>
              </w:rPr>
            </w:pPr>
          </w:p>
        </w:tc>
        <w:tc>
          <w:tcPr>
            <w:tcW w:w="1145" w:type="dxa"/>
            <w:vAlign w:val="center"/>
          </w:tcPr>
          <w:p w:rsidR="00B24DA9" w:rsidRPr="00765C97" w:rsidRDefault="00B24DA9">
            <w:pPr>
              <w:ind w:right="96"/>
              <w:jc w:val="center"/>
              <w:rPr>
                <w:rFonts w:ascii="Arial" w:hAnsi="Arial"/>
                <w:b/>
                <w:spacing w:val="-2"/>
                <w:sz w:val="20"/>
                <w:lang w:val="pl-PL"/>
              </w:rPr>
            </w:pPr>
            <w:r w:rsidRPr="00765C97">
              <w:rPr>
                <w:rFonts w:ascii="Arial" w:hAnsi="Arial"/>
                <w:b/>
                <w:spacing w:val="-9"/>
                <w:sz w:val="20"/>
                <w:lang w:val="pl-PL"/>
              </w:rPr>
              <w:t>Kraj rejestracji</w:t>
            </w:r>
          </w:p>
        </w:tc>
        <w:tc>
          <w:tcPr>
            <w:tcW w:w="1113" w:type="dxa"/>
            <w:vAlign w:val="center"/>
          </w:tcPr>
          <w:p w:rsidR="00B24DA9" w:rsidRPr="00765C97" w:rsidRDefault="00B24DA9">
            <w:pPr>
              <w:ind w:right="96"/>
              <w:jc w:val="right"/>
              <w:rPr>
                <w:rFonts w:ascii="Arial" w:hAnsi="Arial"/>
                <w:b/>
                <w:spacing w:val="-2"/>
                <w:sz w:val="20"/>
                <w:lang w:val="pl-PL"/>
              </w:rPr>
            </w:pPr>
            <w:r w:rsidRPr="00765C97">
              <w:rPr>
                <w:rFonts w:ascii="Arial" w:hAnsi="Arial"/>
                <w:b/>
                <w:sz w:val="20"/>
                <w:lang w:val="pl-PL"/>
              </w:rPr>
              <w:t>Aktywa</w:t>
            </w:r>
          </w:p>
        </w:tc>
        <w:tc>
          <w:tcPr>
            <w:tcW w:w="1418" w:type="dxa"/>
            <w:gridSpan w:val="2"/>
            <w:vAlign w:val="center"/>
          </w:tcPr>
          <w:p w:rsidR="00B24DA9" w:rsidRPr="00765C97" w:rsidRDefault="00B24DA9">
            <w:pPr>
              <w:ind w:right="96"/>
              <w:jc w:val="right"/>
              <w:rPr>
                <w:rFonts w:ascii="Arial" w:hAnsi="Arial"/>
                <w:b/>
                <w:spacing w:val="-2"/>
                <w:sz w:val="20"/>
                <w:lang w:val="pl-PL"/>
              </w:rPr>
            </w:pPr>
            <w:r w:rsidRPr="00765C97">
              <w:rPr>
                <w:rFonts w:ascii="Arial" w:hAnsi="Arial"/>
                <w:b/>
                <w:sz w:val="20"/>
                <w:lang w:val="pl-PL"/>
              </w:rPr>
              <w:t>Zobowiązania</w:t>
            </w:r>
          </w:p>
        </w:tc>
        <w:tc>
          <w:tcPr>
            <w:tcW w:w="2084" w:type="dxa"/>
            <w:vAlign w:val="center"/>
          </w:tcPr>
          <w:p w:rsidR="00B24DA9" w:rsidRPr="00765C97" w:rsidRDefault="00B24DA9">
            <w:pPr>
              <w:ind w:right="96"/>
              <w:jc w:val="right"/>
              <w:rPr>
                <w:rFonts w:ascii="Arial" w:hAnsi="Arial"/>
                <w:b/>
                <w:spacing w:val="-2"/>
                <w:sz w:val="20"/>
                <w:lang w:val="pl-PL"/>
              </w:rPr>
            </w:pPr>
            <w:r w:rsidRPr="00765C97">
              <w:rPr>
                <w:rFonts w:ascii="Arial" w:hAnsi="Arial"/>
                <w:b/>
                <w:spacing w:val="-2"/>
                <w:sz w:val="20"/>
                <w:lang w:val="pl-PL"/>
              </w:rPr>
              <w:t>Posiadane udziały w kapitale (%)</w:t>
            </w:r>
          </w:p>
        </w:tc>
      </w:tr>
      <w:tr w:rsidR="0032384B" w:rsidRPr="00765C97">
        <w:trPr>
          <w:trHeight w:val="255"/>
        </w:trPr>
        <w:tc>
          <w:tcPr>
            <w:tcW w:w="2520" w:type="dxa"/>
            <w:vAlign w:val="center"/>
          </w:tcPr>
          <w:p w:rsidR="0032384B" w:rsidRPr="00765C97" w:rsidRDefault="0032384B" w:rsidP="0032384B">
            <w:pPr>
              <w:ind w:left="105"/>
              <w:rPr>
                <w:rFonts w:ascii="Arial" w:hAnsi="Arial"/>
                <w:b/>
                <w:sz w:val="20"/>
                <w:lang w:val="pl-PL"/>
              </w:rPr>
            </w:pPr>
            <w:r w:rsidRPr="00765C97">
              <w:rPr>
                <w:rFonts w:ascii="Arial" w:hAnsi="Arial"/>
                <w:b/>
                <w:sz w:val="20"/>
                <w:lang w:val="pl-PL"/>
              </w:rPr>
              <w:t xml:space="preserve">Stan na </w:t>
            </w:r>
          </w:p>
          <w:p w:rsidR="0032384B" w:rsidRPr="00765C97" w:rsidRDefault="00C36604" w:rsidP="0032384B">
            <w:pPr>
              <w:ind w:left="105"/>
              <w:rPr>
                <w:rFonts w:ascii="Arial" w:hAnsi="Arial"/>
                <w:b/>
                <w:sz w:val="20"/>
                <w:lang w:val="pl-PL"/>
              </w:rPr>
            </w:pPr>
            <w:r w:rsidRPr="00765C97">
              <w:rPr>
                <w:rFonts w:ascii="Arial" w:hAnsi="Arial"/>
                <w:b/>
                <w:sz w:val="20"/>
                <w:lang w:val="pl-PL"/>
              </w:rPr>
              <w:t>31 grudnia 2011</w:t>
            </w:r>
            <w:r w:rsidR="0032384B" w:rsidRPr="00765C97">
              <w:rPr>
                <w:rFonts w:ascii="Arial" w:hAnsi="Arial"/>
                <w:b/>
                <w:sz w:val="20"/>
                <w:lang w:val="pl-PL"/>
              </w:rPr>
              <w:t xml:space="preserve"> r.</w:t>
            </w:r>
          </w:p>
        </w:tc>
        <w:tc>
          <w:tcPr>
            <w:tcW w:w="1145" w:type="dxa"/>
            <w:vAlign w:val="center"/>
          </w:tcPr>
          <w:p w:rsidR="0032384B" w:rsidRPr="00765C97" w:rsidRDefault="0032384B" w:rsidP="0032384B">
            <w:pPr>
              <w:ind w:right="96"/>
              <w:jc w:val="center"/>
              <w:rPr>
                <w:rFonts w:ascii="Arial" w:hAnsi="Arial"/>
                <w:b/>
                <w:spacing w:val="-9"/>
                <w:sz w:val="20"/>
                <w:lang w:val="pl-PL"/>
              </w:rPr>
            </w:pPr>
          </w:p>
        </w:tc>
        <w:tc>
          <w:tcPr>
            <w:tcW w:w="1113" w:type="dxa"/>
            <w:vAlign w:val="center"/>
          </w:tcPr>
          <w:p w:rsidR="0032384B" w:rsidRPr="00765C97" w:rsidRDefault="0032384B" w:rsidP="0032384B">
            <w:pPr>
              <w:ind w:right="96"/>
              <w:jc w:val="right"/>
              <w:rPr>
                <w:rFonts w:ascii="Arial" w:hAnsi="Arial"/>
                <w:b/>
                <w:sz w:val="20"/>
                <w:lang w:val="pl-PL"/>
              </w:rPr>
            </w:pPr>
          </w:p>
        </w:tc>
        <w:tc>
          <w:tcPr>
            <w:tcW w:w="1418" w:type="dxa"/>
            <w:gridSpan w:val="2"/>
            <w:vAlign w:val="center"/>
          </w:tcPr>
          <w:p w:rsidR="0032384B" w:rsidRPr="00765C97" w:rsidRDefault="0032384B" w:rsidP="0032384B">
            <w:pPr>
              <w:ind w:right="96"/>
              <w:jc w:val="right"/>
              <w:rPr>
                <w:rFonts w:ascii="Arial" w:hAnsi="Arial"/>
                <w:b/>
                <w:sz w:val="20"/>
                <w:lang w:val="pl-PL"/>
              </w:rPr>
            </w:pPr>
          </w:p>
        </w:tc>
        <w:tc>
          <w:tcPr>
            <w:tcW w:w="2084" w:type="dxa"/>
            <w:vAlign w:val="center"/>
          </w:tcPr>
          <w:p w:rsidR="0032384B" w:rsidRPr="00765C97" w:rsidRDefault="0032384B" w:rsidP="0032384B">
            <w:pPr>
              <w:ind w:right="96"/>
              <w:jc w:val="right"/>
              <w:rPr>
                <w:rFonts w:ascii="Arial" w:hAnsi="Arial"/>
                <w:b/>
                <w:spacing w:val="-2"/>
                <w:sz w:val="20"/>
                <w:lang w:val="pl-PL"/>
              </w:rPr>
            </w:pPr>
          </w:p>
        </w:tc>
      </w:tr>
      <w:tr w:rsidR="00C36604" w:rsidRPr="00765C97">
        <w:trPr>
          <w:trHeight w:val="255"/>
        </w:trPr>
        <w:tc>
          <w:tcPr>
            <w:tcW w:w="2520" w:type="dxa"/>
            <w:vAlign w:val="center"/>
          </w:tcPr>
          <w:p w:rsidR="00C36604" w:rsidRPr="00765C97" w:rsidRDefault="00C36604" w:rsidP="0032384B">
            <w:pPr>
              <w:ind w:left="105"/>
              <w:rPr>
                <w:rFonts w:ascii="Arial" w:hAnsi="Arial"/>
                <w:spacing w:val="-3"/>
                <w:sz w:val="20"/>
                <w:lang w:val="pl-PL"/>
              </w:rPr>
            </w:pPr>
            <w:r w:rsidRPr="00765C97">
              <w:rPr>
                <w:rFonts w:ascii="Arial" w:hAnsi="Arial"/>
                <w:spacing w:val="-3"/>
                <w:sz w:val="20"/>
                <w:lang w:val="pl-PL"/>
              </w:rPr>
              <w:t>SoInteractive S.A.</w:t>
            </w:r>
          </w:p>
        </w:tc>
        <w:tc>
          <w:tcPr>
            <w:tcW w:w="1145" w:type="dxa"/>
            <w:vAlign w:val="center"/>
          </w:tcPr>
          <w:p w:rsidR="00C36604" w:rsidRPr="00765C97" w:rsidRDefault="00C36604" w:rsidP="0032384B">
            <w:pPr>
              <w:tabs>
                <w:tab w:val="left" w:pos="1559"/>
              </w:tabs>
              <w:ind w:right="96"/>
              <w:jc w:val="center"/>
              <w:rPr>
                <w:rFonts w:ascii="Arial" w:hAnsi="Arial"/>
                <w:b/>
                <w:spacing w:val="-9"/>
                <w:sz w:val="20"/>
                <w:lang w:val="pl-PL"/>
              </w:rPr>
            </w:pPr>
            <w:r w:rsidRPr="00765C97">
              <w:rPr>
                <w:rFonts w:ascii="Arial" w:hAnsi="Arial"/>
                <w:sz w:val="20"/>
                <w:lang w:val="pl-PL"/>
              </w:rPr>
              <w:t>Polska</w:t>
            </w:r>
          </w:p>
        </w:tc>
        <w:tc>
          <w:tcPr>
            <w:tcW w:w="1113" w:type="dxa"/>
            <w:vAlign w:val="center"/>
          </w:tcPr>
          <w:p w:rsidR="00C36604" w:rsidRPr="00765C97" w:rsidRDefault="00C36604" w:rsidP="00385F70">
            <w:pPr>
              <w:ind w:right="96"/>
              <w:jc w:val="right"/>
              <w:rPr>
                <w:rFonts w:ascii="Arial" w:hAnsi="Arial"/>
                <w:sz w:val="20"/>
                <w:lang w:val="pl-PL"/>
              </w:rPr>
            </w:pPr>
            <w:r w:rsidRPr="00765C97">
              <w:rPr>
                <w:rFonts w:ascii="Arial" w:hAnsi="Arial"/>
                <w:sz w:val="20"/>
                <w:lang w:val="pl-PL"/>
              </w:rPr>
              <w:t>2 406</w:t>
            </w:r>
          </w:p>
        </w:tc>
        <w:tc>
          <w:tcPr>
            <w:tcW w:w="1418" w:type="dxa"/>
            <w:gridSpan w:val="2"/>
            <w:vAlign w:val="center"/>
          </w:tcPr>
          <w:p w:rsidR="00C36604" w:rsidRPr="00765C97" w:rsidRDefault="00C36604" w:rsidP="00385F70">
            <w:pPr>
              <w:ind w:right="96"/>
              <w:jc w:val="right"/>
              <w:rPr>
                <w:rFonts w:ascii="Arial" w:hAnsi="Arial"/>
                <w:sz w:val="20"/>
                <w:lang w:val="pl-PL"/>
              </w:rPr>
            </w:pPr>
            <w:r w:rsidRPr="00765C97">
              <w:rPr>
                <w:rFonts w:ascii="Arial" w:hAnsi="Arial"/>
                <w:sz w:val="20"/>
                <w:lang w:val="pl-PL"/>
              </w:rPr>
              <w:t>2 253</w:t>
            </w:r>
          </w:p>
        </w:tc>
        <w:tc>
          <w:tcPr>
            <w:tcW w:w="2084" w:type="dxa"/>
            <w:vAlign w:val="center"/>
          </w:tcPr>
          <w:p w:rsidR="00C36604" w:rsidRPr="00765C97" w:rsidRDefault="00C36604" w:rsidP="00385F70">
            <w:pPr>
              <w:ind w:right="96"/>
              <w:jc w:val="right"/>
              <w:rPr>
                <w:rFonts w:ascii="Arial" w:hAnsi="Arial"/>
                <w:sz w:val="20"/>
                <w:lang w:val="pl-PL"/>
              </w:rPr>
            </w:pPr>
            <w:r w:rsidRPr="00765C97">
              <w:rPr>
                <w:rFonts w:ascii="Arial" w:hAnsi="Arial"/>
                <w:sz w:val="20"/>
                <w:lang w:val="pl-PL"/>
              </w:rPr>
              <w:t>30,72</w:t>
            </w:r>
          </w:p>
        </w:tc>
      </w:tr>
      <w:tr w:rsidR="00D452E2" w:rsidRPr="00765C97">
        <w:trPr>
          <w:trHeight w:val="255"/>
        </w:trPr>
        <w:tc>
          <w:tcPr>
            <w:tcW w:w="2520" w:type="dxa"/>
            <w:vAlign w:val="center"/>
          </w:tcPr>
          <w:p w:rsidR="00D452E2" w:rsidRPr="00765C97" w:rsidRDefault="00D452E2">
            <w:pPr>
              <w:ind w:left="105"/>
              <w:rPr>
                <w:rFonts w:ascii="Arial" w:hAnsi="Arial"/>
                <w:b/>
                <w:sz w:val="20"/>
                <w:lang w:val="pl-PL"/>
              </w:rPr>
            </w:pPr>
          </w:p>
        </w:tc>
        <w:tc>
          <w:tcPr>
            <w:tcW w:w="1145" w:type="dxa"/>
            <w:vAlign w:val="center"/>
          </w:tcPr>
          <w:p w:rsidR="00D452E2" w:rsidRPr="00765C97" w:rsidRDefault="00D452E2">
            <w:pPr>
              <w:ind w:right="96"/>
              <w:jc w:val="center"/>
              <w:rPr>
                <w:rFonts w:ascii="Arial" w:hAnsi="Arial"/>
                <w:b/>
                <w:spacing w:val="-9"/>
                <w:sz w:val="20"/>
                <w:lang w:val="pl-PL"/>
              </w:rPr>
            </w:pPr>
          </w:p>
        </w:tc>
        <w:tc>
          <w:tcPr>
            <w:tcW w:w="1113" w:type="dxa"/>
            <w:vAlign w:val="center"/>
          </w:tcPr>
          <w:p w:rsidR="00D452E2" w:rsidRPr="00765C97" w:rsidRDefault="00D452E2">
            <w:pPr>
              <w:ind w:right="96"/>
              <w:jc w:val="right"/>
              <w:rPr>
                <w:rFonts w:ascii="Arial" w:hAnsi="Arial"/>
                <w:b/>
                <w:sz w:val="20"/>
                <w:lang w:val="pl-PL"/>
              </w:rPr>
            </w:pPr>
          </w:p>
        </w:tc>
        <w:tc>
          <w:tcPr>
            <w:tcW w:w="1418" w:type="dxa"/>
            <w:gridSpan w:val="2"/>
            <w:vAlign w:val="center"/>
          </w:tcPr>
          <w:p w:rsidR="00D452E2" w:rsidRPr="00765C97" w:rsidRDefault="00D452E2">
            <w:pPr>
              <w:ind w:right="96"/>
              <w:jc w:val="right"/>
              <w:rPr>
                <w:rFonts w:ascii="Arial" w:hAnsi="Arial"/>
                <w:b/>
                <w:sz w:val="20"/>
                <w:lang w:val="pl-PL"/>
              </w:rPr>
            </w:pPr>
          </w:p>
        </w:tc>
        <w:tc>
          <w:tcPr>
            <w:tcW w:w="2084" w:type="dxa"/>
            <w:vAlign w:val="center"/>
          </w:tcPr>
          <w:p w:rsidR="00D452E2" w:rsidRPr="00765C97" w:rsidRDefault="00D452E2">
            <w:pPr>
              <w:ind w:right="96"/>
              <w:jc w:val="right"/>
              <w:rPr>
                <w:rFonts w:ascii="Arial" w:hAnsi="Arial"/>
                <w:b/>
                <w:spacing w:val="-2"/>
                <w:sz w:val="20"/>
                <w:lang w:val="pl-PL"/>
              </w:rPr>
            </w:pPr>
          </w:p>
        </w:tc>
      </w:tr>
      <w:tr w:rsidR="00D452E2" w:rsidRPr="00765C97">
        <w:trPr>
          <w:trHeight w:val="255"/>
        </w:trPr>
        <w:tc>
          <w:tcPr>
            <w:tcW w:w="2520" w:type="dxa"/>
            <w:vAlign w:val="center"/>
          </w:tcPr>
          <w:p w:rsidR="00D452E2" w:rsidRPr="00765C97" w:rsidRDefault="00D452E2">
            <w:pPr>
              <w:ind w:left="105"/>
              <w:rPr>
                <w:rFonts w:ascii="Arial" w:hAnsi="Arial"/>
                <w:b/>
                <w:sz w:val="20"/>
                <w:lang w:val="pl-PL"/>
              </w:rPr>
            </w:pPr>
            <w:r w:rsidRPr="00765C97">
              <w:rPr>
                <w:rFonts w:ascii="Arial" w:hAnsi="Arial"/>
                <w:b/>
                <w:sz w:val="20"/>
                <w:lang w:val="pl-PL"/>
              </w:rPr>
              <w:t xml:space="preserve">Stan na </w:t>
            </w:r>
          </w:p>
          <w:p w:rsidR="00D452E2" w:rsidRPr="00765C97" w:rsidRDefault="00D452E2" w:rsidP="0032384B">
            <w:pPr>
              <w:ind w:left="105"/>
              <w:rPr>
                <w:rFonts w:ascii="Arial" w:hAnsi="Arial"/>
                <w:b/>
                <w:sz w:val="20"/>
                <w:lang w:val="pl-PL"/>
              </w:rPr>
            </w:pPr>
            <w:r w:rsidRPr="00765C97">
              <w:rPr>
                <w:rFonts w:ascii="Arial" w:hAnsi="Arial"/>
                <w:b/>
                <w:sz w:val="20"/>
                <w:lang w:val="pl-PL"/>
              </w:rPr>
              <w:t>31 grudnia 201</w:t>
            </w:r>
            <w:r w:rsidR="00C36604" w:rsidRPr="00765C97">
              <w:rPr>
                <w:rFonts w:ascii="Arial" w:hAnsi="Arial"/>
                <w:b/>
                <w:sz w:val="20"/>
                <w:lang w:val="pl-PL"/>
              </w:rPr>
              <w:t>2</w:t>
            </w:r>
            <w:r w:rsidRPr="00765C97">
              <w:rPr>
                <w:rFonts w:ascii="Arial" w:hAnsi="Arial"/>
                <w:b/>
                <w:sz w:val="20"/>
                <w:lang w:val="pl-PL"/>
              </w:rPr>
              <w:t xml:space="preserve"> r.</w:t>
            </w:r>
          </w:p>
        </w:tc>
        <w:tc>
          <w:tcPr>
            <w:tcW w:w="1145" w:type="dxa"/>
            <w:vAlign w:val="center"/>
          </w:tcPr>
          <w:p w:rsidR="00D452E2" w:rsidRPr="00765C97" w:rsidRDefault="00D452E2">
            <w:pPr>
              <w:ind w:right="96"/>
              <w:jc w:val="center"/>
              <w:rPr>
                <w:rFonts w:ascii="Arial" w:hAnsi="Arial"/>
                <w:b/>
                <w:spacing w:val="-9"/>
                <w:sz w:val="20"/>
                <w:lang w:val="pl-PL"/>
              </w:rPr>
            </w:pPr>
          </w:p>
        </w:tc>
        <w:tc>
          <w:tcPr>
            <w:tcW w:w="1113" w:type="dxa"/>
            <w:vAlign w:val="center"/>
          </w:tcPr>
          <w:p w:rsidR="00D452E2" w:rsidRPr="00765C97" w:rsidRDefault="00D452E2">
            <w:pPr>
              <w:ind w:right="96"/>
              <w:jc w:val="right"/>
              <w:rPr>
                <w:rFonts w:ascii="Arial" w:hAnsi="Arial"/>
                <w:b/>
                <w:sz w:val="20"/>
                <w:lang w:val="pl-PL"/>
              </w:rPr>
            </w:pPr>
          </w:p>
        </w:tc>
        <w:tc>
          <w:tcPr>
            <w:tcW w:w="1418" w:type="dxa"/>
            <w:gridSpan w:val="2"/>
            <w:vAlign w:val="center"/>
          </w:tcPr>
          <w:p w:rsidR="00D452E2" w:rsidRPr="00765C97" w:rsidRDefault="00D452E2">
            <w:pPr>
              <w:ind w:right="96"/>
              <w:jc w:val="right"/>
              <w:rPr>
                <w:rFonts w:ascii="Arial" w:hAnsi="Arial"/>
                <w:b/>
                <w:sz w:val="20"/>
                <w:lang w:val="pl-PL"/>
              </w:rPr>
            </w:pPr>
          </w:p>
        </w:tc>
        <w:tc>
          <w:tcPr>
            <w:tcW w:w="2084" w:type="dxa"/>
            <w:vAlign w:val="center"/>
          </w:tcPr>
          <w:p w:rsidR="00D452E2" w:rsidRPr="00765C97" w:rsidRDefault="00D452E2">
            <w:pPr>
              <w:ind w:right="96"/>
              <w:jc w:val="right"/>
              <w:rPr>
                <w:rFonts w:ascii="Arial" w:hAnsi="Arial"/>
                <w:b/>
                <w:spacing w:val="-2"/>
                <w:sz w:val="20"/>
                <w:lang w:val="pl-PL"/>
              </w:rPr>
            </w:pPr>
          </w:p>
        </w:tc>
      </w:tr>
      <w:tr w:rsidR="00D452E2" w:rsidRPr="00765C97">
        <w:trPr>
          <w:trHeight w:val="255"/>
        </w:trPr>
        <w:tc>
          <w:tcPr>
            <w:tcW w:w="2520" w:type="dxa"/>
            <w:vAlign w:val="center"/>
          </w:tcPr>
          <w:p w:rsidR="00D452E2" w:rsidRPr="00765C97" w:rsidRDefault="00D452E2" w:rsidP="0032384B">
            <w:pPr>
              <w:ind w:left="105"/>
              <w:rPr>
                <w:rFonts w:ascii="Arial" w:hAnsi="Arial"/>
                <w:spacing w:val="-3"/>
                <w:sz w:val="20"/>
                <w:lang w:val="pl-PL"/>
              </w:rPr>
            </w:pPr>
            <w:r w:rsidRPr="00765C97">
              <w:rPr>
                <w:rFonts w:ascii="Arial" w:hAnsi="Arial"/>
                <w:spacing w:val="-3"/>
                <w:sz w:val="20"/>
                <w:lang w:val="pl-PL"/>
              </w:rPr>
              <w:t xml:space="preserve">SoInteractive </w:t>
            </w:r>
            <w:r w:rsidR="0032384B" w:rsidRPr="00765C97">
              <w:rPr>
                <w:rFonts w:ascii="Arial" w:hAnsi="Arial"/>
                <w:spacing w:val="-3"/>
                <w:sz w:val="20"/>
                <w:lang w:val="pl-PL"/>
              </w:rPr>
              <w:t>S.A.</w:t>
            </w:r>
            <w:r w:rsidRPr="00765C97">
              <w:rPr>
                <w:rFonts w:ascii="Arial" w:hAnsi="Arial"/>
                <w:sz w:val="20"/>
                <w:lang w:val="pl-PL"/>
              </w:rPr>
              <w:t xml:space="preserve"> </w:t>
            </w:r>
          </w:p>
        </w:tc>
        <w:tc>
          <w:tcPr>
            <w:tcW w:w="1145" w:type="dxa"/>
            <w:vAlign w:val="center"/>
          </w:tcPr>
          <w:p w:rsidR="00D452E2" w:rsidRPr="00765C97" w:rsidRDefault="00D452E2">
            <w:pPr>
              <w:tabs>
                <w:tab w:val="left" w:pos="1559"/>
              </w:tabs>
              <w:ind w:right="96"/>
              <w:jc w:val="center"/>
              <w:rPr>
                <w:rFonts w:ascii="Arial" w:hAnsi="Arial"/>
                <w:b/>
                <w:spacing w:val="-9"/>
                <w:sz w:val="20"/>
                <w:lang w:val="pl-PL"/>
              </w:rPr>
            </w:pPr>
            <w:r w:rsidRPr="00765C97">
              <w:rPr>
                <w:rFonts w:ascii="Arial" w:hAnsi="Arial"/>
                <w:sz w:val="20"/>
                <w:lang w:val="pl-PL"/>
              </w:rPr>
              <w:t>Polska</w:t>
            </w:r>
          </w:p>
        </w:tc>
        <w:tc>
          <w:tcPr>
            <w:tcW w:w="1113" w:type="dxa"/>
            <w:vAlign w:val="center"/>
          </w:tcPr>
          <w:p w:rsidR="00D452E2" w:rsidRPr="00765C97" w:rsidRDefault="00BC54E1">
            <w:pPr>
              <w:ind w:right="96"/>
              <w:jc w:val="right"/>
              <w:rPr>
                <w:rFonts w:ascii="Arial" w:hAnsi="Arial"/>
                <w:sz w:val="20"/>
                <w:lang w:val="pl-PL"/>
              </w:rPr>
            </w:pPr>
            <w:r w:rsidRPr="00765C97">
              <w:rPr>
                <w:rFonts w:ascii="Arial" w:hAnsi="Arial"/>
                <w:sz w:val="20"/>
                <w:lang w:val="pl-PL"/>
              </w:rPr>
              <w:t>2 789</w:t>
            </w:r>
          </w:p>
        </w:tc>
        <w:tc>
          <w:tcPr>
            <w:tcW w:w="1418" w:type="dxa"/>
            <w:gridSpan w:val="2"/>
            <w:vAlign w:val="center"/>
          </w:tcPr>
          <w:p w:rsidR="00D452E2" w:rsidRPr="00765C97" w:rsidRDefault="00BC54E1">
            <w:pPr>
              <w:ind w:right="96"/>
              <w:jc w:val="right"/>
              <w:rPr>
                <w:rFonts w:ascii="Arial" w:hAnsi="Arial"/>
                <w:sz w:val="20"/>
                <w:lang w:val="pl-PL"/>
              </w:rPr>
            </w:pPr>
            <w:r w:rsidRPr="00765C97">
              <w:rPr>
                <w:rFonts w:ascii="Arial" w:hAnsi="Arial"/>
                <w:sz w:val="20"/>
                <w:lang w:val="pl-PL"/>
              </w:rPr>
              <w:t>2 760</w:t>
            </w:r>
          </w:p>
        </w:tc>
        <w:tc>
          <w:tcPr>
            <w:tcW w:w="2084" w:type="dxa"/>
            <w:vAlign w:val="center"/>
          </w:tcPr>
          <w:p w:rsidR="00D452E2" w:rsidRPr="00765C97" w:rsidRDefault="00BC54E1">
            <w:pPr>
              <w:ind w:right="96"/>
              <w:jc w:val="right"/>
              <w:rPr>
                <w:rFonts w:ascii="Arial" w:hAnsi="Arial"/>
                <w:sz w:val="20"/>
                <w:lang w:val="pl-PL"/>
              </w:rPr>
            </w:pPr>
            <w:r w:rsidRPr="00765C97">
              <w:rPr>
                <w:rFonts w:ascii="Arial" w:hAnsi="Arial"/>
                <w:sz w:val="20"/>
                <w:lang w:val="pl-PL"/>
              </w:rPr>
              <w:t>30,72</w:t>
            </w:r>
          </w:p>
        </w:tc>
      </w:tr>
    </w:tbl>
    <w:p w:rsidR="00B24DA9" w:rsidRPr="00765C97" w:rsidRDefault="00B24DA9">
      <w:pPr>
        <w:ind w:left="180"/>
        <w:jc w:val="both"/>
        <w:rPr>
          <w:rFonts w:ascii="Arial" w:hAnsi="Arial"/>
          <w:sz w:val="20"/>
          <w:lang w:val="pl-PL"/>
        </w:rPr>
      </w:pPr>
    </w:p>
    <w:tbl>
      <w:tblPr>
        <w:tblW w:w="0" w:type="auto"/>
        <w:tblInd w:w="180" w:type="dxa"/>
        <w:tblLayout w:type="fixed"/>
        <w:tblCellMar>
          <w:left w:w="0" w:type="dxa"/>
          <w:right w:w="0" w:type="dxa"/>
        </w:tblCellMar>
        <w:tblLook w:val="0000"/>
      </w:tblPr>
      <w:tblGrid>
        <w:gridCol w:w="2520"/>
        <w:gridCol w:w="1200"/>
        <w:gridCol w:w="1078"/>
        <w:gridCol w:w="1418"/>
        <w:gridCol w:w="2064"/>
      </w:tblGrid>
      <w:tr w:rsidR="00B24DA9" w:rsidRPr="00765C97">
        <w:trPr>
          <w:cantSplit/>
          <w:trHeight w:hRule="exact" w:val="437"/>
        </w:trPr>
        <w:tc>
          <w:tcPr>
            <w:tcW w:w="2520" w:type="dxa"/>
            <w:tcBorders>
              <w:top w:val="nil"/>
              <w:left w:val="nil"/>
              <w:right w:val="nil"/>
            </w:tcBorders>
            <w:vAlign w:val="center"/>
          </w:tcPr>
          <w:p w:rsidR="00B24DA9" w:rsidRPr="00765C97" w:rsidRDefault="00B24DA9">
            <w:pPr>
              <w:rPr>
                <w:rFonts w:ascii="Arial" w:hAnsi="Arial"/>
                <w:spacing w:val="-2"/>
                <w:sz w:val="20"/>
                <w:lang w:val="pl-PL"/>
              </w:rPr>
            </w:pPr>
          </w:p>
        </w:tc>
        <w:tc>
          <w:tcPr>
            <w:tcW w:w="1200" w:type="dxa"/>
            <w:tcBorders>
              <w:top w:val="nil"/>
              <w:left w:val="nil"/>
              <w:right w:val="nil"/>
            </w:tcBorders>
            <w:vAlign w:val="center"/>
          </w:tcPr>
          <w:p w:rsidR="00B24DA9" w:rsidRPr="00765C97" w:rsidRDefault="00B24DA9">
            <w:pPr>
              <w:tabs>
                <w:tab w:val="left" w:pos="1080"/>
              </w:tabs>
              <w:ind w:right="117"/>
              <w:jc w:val="center"/>
              <w:rPr>
                <w:rFonts w:ascii="Arial" w:hAnsi="Arial"/>
                <w:spacing w:val="-2"/>
                <w:sz w:val="20"/>
                <w:lang w:val="pl-PL"/>
              </w:rPr>
            </w:pPr>
            <w:r w:rsidRPr="00765C97">
              <w:rPr>
                <w:rFonts w:ascii="Arial" w:hAnsi="Arial"/>
                <w:b/>
                <w:spacing w:val="-9"/>
                <w:sz w:val="20"/>
                <w:lang w:val="pl-PL"/>
              </w:rPr>
              <w:t>Kraj rejestracji</w:t>
            </w:r>
          </w:p>
        </w:tc>
        <w:tc>
          <w:tcPr>
            <w:tcW w:w="1078" w:type="dxa"/>
            <w:tcBorders>
              <w:left w:val="nil"/>
              <w:right w:val="nil"/>
            </w:tcBorders>
            <w:vAlign w:val="center"/>
          </w:tcPr>
          <w:p w:rsidR="00B24DA9" w:rsidRPr="00765C97" w:rsidRDefault="00B24DA9">
            <w:pPr>
              <w:tabs>
                <w:tab w:val="left" w:pos="1080"/>
              </w:tabs>
              <w:ind w:right="24"/>
              <w:jc w:val="right"/>
              <w:rPr>
                <w:rFonts w:ascii="Arial" w:hAnsi="Arial"/>
                <w:spacing w:val="-2"/>
                <w:sz w:val="20"/>
                <w:lang w:val="pl-PL"/>
              </w:rPr>
            </w:pPr>
            <w:r w:rsidRPr="00765C97">
              <w:rPr>
                <w:rFonts w:ascii="Arial" w:hAnsi="Arial"/>
                <w:b/>
                <w:sz w:val="20"/>
                <w:lang w:val="pl-PL"/>
              </w:rPr>
              <w:t>Przychody</w:t>
            </w:r>
          </w:p>
        </w:tc>
        <w:tc>
          <w:tcPr>
            <w:tcW w:w="1418" w:type="dxa"/>
            <w:tcBorders>
              <w:left w:val="nil"/>
              <w:right w:val="nil"/>
            </w:tcBorders>
            <w:vAlign w:val="center"/>
          </w:tcPr>
          <w:p w:rsidR="00B24DA9" w:rsidRPr="00765C97" w:rsidRDefault="00B24DA9">
            <w:pPr>
              <w:tabs>
                <w:tab w:val="left" w:pos="955"/>
                <w:tab w:val="left" w:pos="1080"/>
              </w:tabs>
              <w:ind w:right="117"/>
              <w:jc w:val="right"/>
              <w:rPr>
                <w:rFonts w:ascii="Arial" w:hAnsi="Arial"/>
                <w:spacing w:val="-2"/>
                <w:sz w:val="20"/>
                <w:lang w:val="pl-PL"/>
              </w:rPr>
            </w:pPr>
            <w:r w:rsidRPr="00765C97">
              <w:rPr>
                <w:rFonts w:ascii="Arial" w:hAnsi="Arial"/>
                <w:b/>
                <w:sz w:val="20"/>
                <w:lang w:val="pl-PL"/>
              </w:rPr>
              <w:t>Zysk (strata)</w:t>
            </w:r>
          </w:p>
        </w:tc>
        <w:tc>
          <w:tcPr>
            <w:tcW w:w="2064" w:type="dxa"/>
            <w:tcBorders>
              <w:left w:val="nil"/>
              <w:right w:val="nil"/>
            </w:tcBorders>
            <w:vAlign w:val="center"/>
          </w:tcPr>
          <w:p w:rsidR="00B24DA9" w:rsidRPr="00765C97" w:rsidRDefault="00B24DA9">
            <w:pPr>
              <w:tabs>
                <w:tab w:val="left" w:pos="1080"/>
              </w:tabs>
              <w:ind w:right="119"/>
              <w:jc w:val="right"/>
              <w:rPr>
                <w:rFonts w:ascii="Arial" w:hAnsi="Arial"/>
                <w:b/>
                <w:spacing w:val="-2"/>
                <w:sz w:val="20"/>
                <w:lang w:val="pl-PL"/>
              </w:rPr>
            </w:pPr>
            <w:r w:rsidRPr="00765C97">
              <w:rPr>
                <w:rFonts w:ascii="Arial" w:hAnsi="Arial"/>
                <w:b/>
                <w:spacing w:val="-2"/>
                <w:sz w:val="20"/>
                <w:lang w:val="pl-PL"/>
              </w:rPr>
              <w:t>Posiadane udziały w kapitale (%)</w:t>
            </w:r>
          </w:p>
        </w:tc>
      </w:tr>
      <w:tr w:rsidR="00B24DA9" w:rsidRPr="00765C97">
        <w:trPr>
          <w:cantSplit/>
          <w:trHeight w:hRule="exact" w:val="255"/>
        </w:trPr>
        <w:tc>
          <w:tcPr>
            <w:tcW w:w="2520" w:type="dxa"/>
            <w:tcBorders>
              <w:top w:val="nil"/>
              <w:left w:val="nil"/>
              <w:bottom w:val="nil"/>
              <w:right w:val="nil"/>
            </w:tcBorders>
            <w:vAlign w:val="center"/>
          </w:tcPr>
          <w:p w:rsidR="00B24DA9" w:rsidRPr="00765C97" w:rsidRDefault="00B24DA9" w:rsidP="0032384B">
            <w:pPr>
              <w:ind w:left="105"/>
              <w:rPr>
                <w:rFonts w:ascii="Arial" w:hAnsi="Arial"/>
                <w:sz w:val="20"/>
                <w:lang w:val="pl-PL"/>
              </w:rPr>
            </w:pPr>
            <w:r w:rsidRPr="00765C97">
              <w:rPr>
                <w:rFonts w:ascii="Arial" w:hAnsi="Arial"/>
                <w:b/>
                <w:sz w:val="20"/>
                <w:lang w:val="pl-PL"/>
              </w:rPr>
              <w:t>12 miesięcy 20</w:t>
            </w:r>
            <w:r w:rsidR="0032384B" w:rsidRPr="00765C97">
              <w:rPr>
                <w:rFonts w:ascii="Arial" w:hAnsi="Arial"/>
                <w:b/>
                <w:sz w:val="20"/>
                <w:lang w:val="pl-PL"/>
              </w:rPr>
              <w:t>1</w:t>
            </w:r>
            <w:r w:rsidR="00C36604" w:rsidRPr="00765C97">
              <w:rPr>
                <w:rFonts w:ascii="Arial" w:hAnsi="Arial"/>
                <w:b/>
                <w:sz w:val="20"/>
                <w:lang w:val="pl-PL"/>
              </w:rPr>
              <w:t>1</w:t>
            </w:r>
          </w:p>
        </w:tc>
        <w:tc>
          <w:tcPr>
            <w:tcW w:w="1200" w:type="dxa"/>
            <w:tcBorders>
              <w:top w:val="nil"/>
              <w:left w:val="nil"/>
              <w:bottom w:val="nil"/>
              <w:right w:val="nil"/>
            </w:tcBorders>
            <w:vAlign w:val="center"/>
          </w:tcPr>
          <w:p w:rsidR="00B24DA9" w:rsidRPr="00765C97" w:rsidRDefault="00B24DA9">
            <w:pPr>
              <w:tabs>
                <w:tab w:val="left" w:pos="1559"/>
              </w:tabs>
              <w:ind w:right="142"/>
              <w:jc w:val="center"/>
              <w:rPr>
                <w:rFonts w:ascii="Arial" w:hAnsi="Arial"/>
                <w:sz w:val="20"/>
                <w:lang w:val="pl-PL"/>
              </w:rPr>
            </w:pPr>
          </w:p>
        </w:tc>
        <w:tc>
          <w:tcPr>
            <w:tcW w:w="1078" w:type="dxa"/>
            <w:tcBorders>
              <w:top w:val="nil"/>
              <w:left w:val="nil"/>
              <w:right w:val="nil"/>
            </w:tcBorders>
            <w:vAlign w:val="center"/>
          </w:tcPr>
          <w:p w:rsidR="00B24DA9" w:rsidRPr="00765C97" w:rsidRDefault="00B24DA9">
            <w:pPr>
              <w:ind w:right="117"/>
              <w:jc w:val="right"/>
              <w:rPr>
                <w:rFonts w:ascii="Arial" w:hAnsi="Arial"/>
                <w:sz w:val="20"/>
                <w:lang w:val="pl-PL"/>
              </w:rPr>
            </w:pPr>
          </w:p>
        </w:tc>
        <w:tc>
          <w:tcPr>
            <w:tcW w:w="1418" w:type="dxa"/>
            <w:tcBorders>
              <w:top w:val="nil"/>
              <w:left w:val="nil"/>
              <w:right w:val="nil"/>
            </w:tcBorders>
            <w:vAlign w:val="center"/>
          </w:tcPr>
          <w:p w:rsidR="00B24DA9" w:rsidRPr="00765C97" w:rsidRDefault="00B24DA9">
            <w:pPr>
              <w:ind w:right="117"/>
              <w:jc w:val="right"/>
              <w:rPr>
                <w:rFonts w:ascii="Arial" w:hAnsi="Arial"/>
                <w:sz w:val="20"/>
                <w:lang w:val="pl-PL"/>
              </w:rPr>
            </w:pPr>
          </w:p>
        </w:tc>
        <w:tc>
          <w:tcPr>
            <w:tcW w:w="2064" w:type="dxa"/>
            <w:tcBorders>
              <w:top w:val="nil"/>
              <w:left w:val="nil"/>
              <w:bottom w:val="nil"/>
              <w:right w:val="nil"/>
            </w:tcBorders>
            <w:vAlign w:val="center"/>
          </w:tcPr>
          <w:p w:rsidR="00B24DA9" w:rsidRPr="00765C97" w:rsidRDefault="00B24DA9">
            <w:pPr>
              <w:ind w:right="120"/>
              <w:jc w:val="right"/>
              <w:rPr>
                <w:rFonts w:ascii="Arial" w:hAnsi="Arial"/>
                <w:sz w:val="20"/>
                <w:lang w:val="pl-PL"/>
              </w:rPr>
            </w:pPr>
          </w:p>
        </w:tc>
      </w:tr>
      <w:tr w:rsidR="00C36604" w:rsidRPr="00765C97" w:rsidTr="0032384B">
        <w:trPr>
          <w:cantSplit/>
          <w:trHeight w:hRule="exact" w:val="499"/>
        </w:trPr>
        <w:tc>
          <w:tcPr>
            <w:tcW w:w="2520" w:type="dxa"/>
            <w:tcBorders>
              <w:top w:val="nil"/>
              <w:left w:val="nil"/>
              <w:bottom w:val="nil"/>
              <w:right w:val="nil"/>
            </w:tcBorders>
            <w:vAlign w:val="center"/>
          </w:tcPr>
          <w:p w:rsidR="00C36604" w:rsidRPr="00765C97" w:rsidRDefault="00C36604" w:rsidP="0032384B">
            <w:pPr>
              <w:ind w:left="105"/>
              <w:rPr>
                <w:rFonts w:ascii="Arial" w:hAnsi="Arial"/>
                <w:spacing w:val="-3"/>
                <w:sz w:val="20"/>
              </w:rPr>
            </w:pPr>
            <w:r w:rsidRPr="00765C97">
              <w:rPr>
                <w:rFonts w:ascii="Arial" w:hAnsi="Arial"/>
                <w:spacing w:val="-3"/>
                <w:sz w:val="20"/>
              </w:rPr>
              <w:t>SoInteractive S.A.</w:t>
            </w:r>
          </w:p>
        </w:tc>
        <w:tc>
          <w:tcPr>
            <w:tcW w:w="1200" w:type="dxa"/>
            <w:tcBorders>
              <w:top w:val="nil"/>
              <w:left w:val="nil"/>
              <w:bottom w:val="nil"/>
              <w:right w:val="nil"/>
            </w:tcBorders>
            <w:vAlign w:val="center"/>
          </w:tcPr>
          <w:p w:rsidR="00C36604" w:rsidRPr="00765C97" w:rsidRDefault="00C36604" w:rsidP="0032384B">
            <w:pPr>
              <w:tabs>
                <w:tab w:val="left" w:pos="1559"/>
              </w:tabs>
              <w:ind w:right="142"/>
              <w:jc w:val="center"/>
              <w:rPr>
                <w:rFonts w:ascii="Arial" w:hAnsi="Arial"/>
                <w:b/>
                <w:spacing w:val="-9"/>
                <w:sz w:val="20"/>
                <w:lang w:val="pl-PL"/>
              </w:rPr>
            </w:pPr>
            <w:r w:rsidRPr="00765C97">
              <w:rPr>
                <w:rFonts w:ascii="Arial" w:hAnsi="Arial"/>
                <w:sz w:val="20"/>
                <w:lang w:val="pl-PL"/>
              </w:rPr>
              <w:t>Polska</w:t>
            </w:r>
          </w:p>
        </w:tc>
        <w:tc>
          <w:tcPr>
            <w:tcW w:w="1078" w:type="dxa"/>
            <w:tcBorders>
              <w:top w:val="nil"/>
              <w:left w:val="nil"/>
              <w:right w:val="nil"/>
            </w:tcBorders>
            <w:vAlign w:val="center"/>
          </w:tcPr>
          <w:p w:rsidR="00C36604" w:rsidRPr="00765C97" w:rsidRDefault="00C36604" w:rsidP="00385F70">
            <w:pPr>
              <w:ind w:right="117"/>
              <w:jc w:val="right"/>
              <w:rPr>
                <w:rFonts w:ascii="Arial" w:hAnsi="Arial"/>
                <w:sz w:val="20"/>
                <w:lang w:val="pl-PL"/>
              </w:rPr>
            </w:pPr>
            <w:r w:rsidRPr="00765C97">
              <w:rPr>
                <w:rFonts w:ascii="Arial" w:hAnsi="Arial"/>
                <w:sz w:val="20"/>
                <w:lang w:val="pl-PL"/>
              </w:rPr>
              <w:t>4 613</w:t>
            </w:r>
          </w:p>
        </w:tc>
        <w:tc>
          <w:tcPr>
            <w:tcW w:w="1418" w:type="dxa"/>
            <w:tcBorders>
              <w:top w:val="nil"/>
              <w:left w:val="nil"/>
              <w:right w:val="nil"/>
            </w:tcBorders>
            <w:vAlign w:val="center"/>
          </w:tcPr>
          <w:p w:rsidR="00C36604" w:rsidRPr="00765C97" w:rsidRDefault="00C36604" w:rsidP="00385F70">
            <w:pPr>
              <w:ind w:right="117"/>
              <w:jc w:val="right"/>
              <w:rPr>
                <w:rFonts w:ascii="Arial" w:hAnsi="Arial"/>
                <w:sz w:val="20"/>
                <w:lang w:val="pl-PL"/>
              </w:rPr>
            </w:pPr>
            <w:r w:rsidRPr="00765C97">
              <w:rPr>
                <w:rFonts w:ascii="Arial" w:hAnsi="Arial"/>
                <w:sz w:val="20"/>
                <w:lang w:val="pl-PL"/>
              </w:rPr>
              <w:t>(413)</w:t>
            </w:r>
          </w:p>
        </w:tc>
        <w:tc>
          <w:tcPr>
            <w:tcW w:w="2064" w:type="dxa"/>
            <w:tcBorders>
              <w:top w:val="nil"/>
              <w:left w:val="nil"/>
              <w:right w:val="nil"/>
            </w:tcBorders>
            <w:vAlign w:val="center"/>
          </w:tcPr>
          <w:p w:rsidR="00C36604" w:rsidRPr="00765C97" w:rsidRDefault="00C36604" w:rsidP="00385F70">
            <w:pPr>
              <w:ind w:right="119"/>
              <w:jc w:val="right"/>
              <w:rPr>
                <w:rFonts w:ascii="Arial" w:hAnsi="Arial"/>
                <w:sz w:val="20"/>
                <w:lang w:val="pl-PL"/>
              </w:rPr>
            </w:pPr>
            <w:r w:rsidRPr="00765C97">
              <w:rPr>
                <w:rFonts w:ascii="Arial" w:hAnsi="Arial"/>
                <w:sz w:val="20"/>
                <w:lang w:val="pl-PL"/>
              </w:rPr>
              <w:t>30,72</w:t>
            </w:r>
          </w:p>
        </w:tc>
      </w:tr>
      <w:tr w:rsidR="00D452E2" w:rsidRPr="00765C97">
        <w:trPr>
          <w:cantSplit/>
          <w:trHeight w:hRule="exact" w:val="255"/>
        </w:trPr>
        <w:tc>
          <w:tcPr>
            <w:tcW w:w="2520" w:type="dxa"/>
            <w:tcBorders>
              <w:top w:val="nil"/>
              <w:left w:val="nil"/>
              <w:bottom w:val="nil"/>
              <w:right w:val="nil"/>
            </w:tcBorders>
            <w:vAlign w:val="center"/>
          </w:tcPr>
          <w:p w:rsidR="00D452E2" w:rsidRPr="00765C97" w:rsidRDefault="00D452E2">
            <w:pPr>
              <w:ind w:left="105"/>
              <w:rPr>
                <w:rFonts w:ascii="Arial" w:hAnsi="Arial"/>
                <w:sz w:val="20"/>
                <w:lang w:val="pl-PL"/>
              </w:rPr>
            </w:pPr>
          </w:p>
        </w:tc>
        <w:tc>
          <w:tcPr>
            <w:tcW w:w="1200" w:type="dxa"/>
            <w:tcBorders>
              <w:top w:val="nil"/>
              <w:left w:val="nil"/>
              <w:bottom w:val="nil"/>
              <w:right w:val="nil"/>
            </w:tcBorders>
            <w:vAlign w:val="center"/>
          </w:tcPr>
          <w:p w:rsidR="00D452E2" w:rsidRPr="00765C97" w:rsidRDefault="00D452E2">
            <w:pPr>
              <w:ind w:right="40"/>
              <w:jc w:val="center"/>
              <w:rPr>
                <w:rFonts w:ascii="Arial" w:hAnsi="Arial"/>
                <w:spacing w:val="-16"/>
                <w:sz w:val="20"/>
                <w:lang w:val="pl-PL"/>
              </w:rPr>
            </w:pPr>
          </w:p>
        </w:tc>
        <w:tc>
          <w:tcPr>
            <w:tcW w:w="1078" w:type="dxa"/>
            <w:tcBorders>
              <w:left w:val="nil"/>
              <w:right w:val="nil"/>
            </w:tcBorders>
            <w:vAlign w:val="center"/>
          </w:tcPr>
          <w:p w:rsidR="00D452E2" w:rsidRPr="00765C97" w:rsidRDefault="00D452E2">
            <w:pPr>
              <w:tabs>
                <w:tab w:val="left" w:pos="1086"/>
              </w:tabs>
              <w:ind w:right="117"/>
              <w:jc w:val="right"/>
              <w:rPr>
                <w:rFonts w:ascii="Arial" w:hAnsi="Arial"/>
                <w:b/>
                <w:sz w:val="20"/>
                <w:lang w:val="pl-PL"/>
              </w:rPr>
            </w:pPr>
          </w:p>
        </w:tc>
        <w:tc>
          <w:tcPr>
            <w:tcW w:w="1418" w:type="dxa"/>
            <w:tcBorders>
              <w:left w:val="nil"/>
              <w:right w:val="nil"/>
            </w:tcBorders>
            <w:vAlign w:val="center"/>
          </w:tcPr>
          <w:p w:rsidR="00D452E2" w:rsidRPr="00765C97" w:rsidRDefault="00D452E2">
            <w:pPr>
              <w:ind w:right="120"/>
              <w:jc w:val="right"/>
              <w:rPr>
                <w:rFonts w:ascii="Arial" w:hAnsi="Arial"/>
                <w:b/>
                <w:sz w:val="20"/>
                <w:lang w:val="pl-PL"/>
              </w:rPr>
            </w:pPr>
          </w:p>
        </w:tc>
        <w:tc>
          <w:tcPr>
            <w:tcW w:w="2064" w:type="dxa"/>
            <w:tcBorders>
              <w:left w:val="nil"/>
              <w:right w:val="nil"/>
            </w:tcBorders>
            <w:vAlign w:val="center"/>
          </w:tcPr>
          <w:p w:rsidR="00D452E2" w:rsidRPr="00765C97" w:rsidRDefault="00D452E2">
            <w:pPr>
              <w:ind w:right="119"/>
              <w:jc w:val="right"/>
              <w:rPr>
                <w:rFonts w:ascii="Arial" w:hAnsi="Arial"/>
                <w:spacing w:val="-2"/>
                <w:sz w:val="20"/>
                <w:lang w:val="pl-PL"/>
              </w:rPr>
            </w:pPr>
          </w:p>
        </w:tc>
      </w:tr>
      <w:tr w:rsidR="00D452E2" w:rsidRPr="00765C97">
        <w:trPr>
          <w:cantSplit/>
          <w:trHeight w:hRule="exact" w:val="255"/>
        </w:trPr>
        <w:tc>
          <w:tcPr>
            <w:tcW w:w="2520" w:type="dxa"/>
            <w:tcBorders>
              <w:top w:val="nil"/>
              <w:left w:val="nil"/>
              <w:bottom w:val="nil"/>
              <w:right w:val="nil"/>
            </w:tcBorders>
            <w:vAlign w:val="center"/>
          </w:tcPr>
          <w:p w:rsidR="00D452E2" w:rsidRPr="00765C97" w:rsidRDefault="00D452E2" w:rsidP="0032384B">
            <w:pPr>
              <w:ind w:left="105"/>
              <w:rPr>
                <w:rFonts w:ascii="Arial" w:hAnsi="Arial"/>
                <w:sz w:val="20"/>
                <w:lang w:val="pl-PL"/>
              </w:rPr>
            </w:pPr>
            <w:r w:rsidRPr="00765C97">
              <w:rPr>
                <w:rFonts w:ascii="Arial" w:hAnsi="Arial"/>
                <w:b/>
                <w:sz w:val="20"/>
                <w:lang w:val="pl-PL"/>
              </w:rPr>
              <w:t>12 miesięcy 201</w:t>
            </w:r>
            <w:r w:rsidR="00C36604" w:rsidRPr="00765C97">
              <w:rPr>
                <w:rFonts w:ascii="Arial" w:hAnsi="Arial"/>
                <w:b/>
                <w:sz w:val="20"/>
                <w:lang w:val="pl-PL"/>
              </w:rPr>
              <w:t>2</w:t>
            </w:r>
          </w:p>
        </w:tc>
        <w:tc>
          <w:tcPr>
            <w:tcW w:w="1200" w:type="dxa"/>
            <w:tcBorders>
              <w:top w:val="nil"/>
              <w:left w:val="nil"/>
              <w:bottom w:val="nil"/>
              <w:right w:val="nil"/>
            </w:tcBorders>
            <w:vAlign w:val="center"/>
          </w:tcPr>
          <w:p w:rsidR="00D452E2" w:rsidRPr="00765C97" w:rsidRDefault="00D452E2">
            <w:pPr>
              <w:tabs>
                <w:tab w:val="left" w:pos="1559"/>
              </w:tabs>
              <w:ind w:right="142"/>
              <w:jc w:val="center"/>
              <w:rPr>
                <w:rFonts w:ascii="Arial" w:hAnsi="Arial"/>
                <w:sz w:val="20"/>
                <w:lang w:val="pl-PL"/>
              </w:rPr>
            </w:pPr>
          </w:p>
        </w:tc>
        <w:tc>
          <w:tcPr>
            <w:tcW w:w="1078" w:type="dxa"/>
            <w:tcBorders>
              <w:left w:val="nil"/>
              <w:right w:val="nil"/>
            </w:tcBorders>
            <w:vAlign w:val="center"/>
          </w:tcPr>
          <w:p w:rsidR="00D452E2" w:rsidRPr="00765C97" w:rsidRDefault="00D452E2">
            <w:pPr>
              <w:ind w:right="117"/>
              <w:jc w:val="right"/>
              <w:rPr>
                <w:rFonts w:ascii="Arial" w:hAnsi="Arial"/>
                <w:sz w:val="20"/>
                <w:lang w:val="pl-PL"/>
              </w:rPr>
            </w:pPr>
          </w:p>
        </w:tc>
        <w:tc>
          <w:tcPr>
            <w:tcW w:w="1418" w:type="dxa"/>
            <w:tcBorders>
              <w:left w:val="nil"/>
              <w:right w:val="nil"/>
            </w:tcBorders>
            <w:vAlign w:val="center"/>
          </w:tcPr>
          <w:p w:rsidR="00D452E2" w:rsidRPr="00765C97" w:rsidRDefault="00D452E2">
            <w:pPr>
              <w:ind w:right="117"/>
              <w:jc w:val="right"/>
              <w:rPr>
                <w:rFonts w:ascii="Arial" w:hAnsi="Arial"/>
                <w:sz w:val="20"/>
                <w:lang w:val="pl-PL"/>
              </w:rPr>
            </w:pPr>
          </w:p>
        </w:tc>
        <w:tc>
          <w:tcPr>
            <w:tcW w:w="2064" w:type="dxa"/>
            <w:tcBorders>
              <w:left w:val="nil"/>
              <w:right w:val="nil"/>
            </w:tcBorders>
            <w:vAlign w:val="center"/>
          </w:tcPr>
          <w:p w:rsidR="00D452E2" w:rsidRPr="00765C97" w:rsidRDefault="00D452E2">
            <w:pPr>
              <w:ind w:right="119"/>
              <w:jc w:val="right"/>
              <w:rPr>
                <w:rFonts w:ascii="Arial" w:hAnsi="Arial"/>
                <w:sz w:val="20"/>
                <w:lang w:val="pl-PL"/>
              </w:rPr>
            </w:pPr>
          </w:p>
        </w:tc>
      </w:tr>
      <w:tr w:rsidR="00D452E2" w:rsidRPr="00765C97">
        <w:trPr>
          <w:cantSplit/>
          <w:trHeight w:hRule="exact" w:val="273"/>
        </w:trPr>
        <w:tc>
          <w:tcPr>
            <w:tcW w:w="2520" w:type="dxa"/>
            <w:tcBorders>
              <w:top w:val="nil"/>
              <w:left w:val="nil"/>
              <w:bottom w:val="nil"/>
              <w:right w:val="nil"/>
            </w:tcBorders>
            <w:vAlign w:val="center"/>
          </w:tcPr>
          <w:p w:rsidR="00D452E2" w:rsidRPr="00765C97" w:rsidRDefault="00D452E2" w:rsidP="0032384B">
            <w:pPr>
              <w:ind w:left="105"/>
              <w:rPr>
                <w:rFonts w:ascii="Arial" w:hAnsi="Arial"/>
                <w:spacing w:val="-3"/>
                <w:sz w:val="20"/>
              </w:rPr>
            </w:pPr>
            <w:r w:rsidRPr="00765C97">
              <w:rPr>
                <w:rFonts w:ascii="Arial" w:hAnsi="Arial"/>
                <w:spacing w:val="-3"/>
                <w:sz w:val="20"/>
              </w:rPr>
              <w:t xml:space="preserve">SoInteractive </w:t>
            </w:r>
            <w:r w:rsidR="0032384B" w:rsidRPr="00765C97">
              <w:rPr>
                <w:rFonts w:ascii="Arial" w:hAnsi="Arial"/>
                <w:spacing w:val="-3"/>
                <w:sz w:val="20"/>
              </w:rPr>
              <w:t>S.A.</w:t>
            </w:r>
          </w:p>
        </w:tc>
        <w:tc>
          <w:tcPr>
            <w:tcW w:w="1200" w:type="dxa"/>
            <w:tcBorders>
              <w:top w:val="nil"/>
              <w:left w:val="nil"/>
              <w:bottom w:val="nil"/>
              <w:right w:val="nil"/>
            </w:tcBorders>
            <w:vAlign w:val="center"/>
          </w:tcPr>
          <w:p w:rsidR="00D452E2" w:rsidRPr="00765C97" w:rsidRDefault="00D452E2">
            <w:pPr>
              <w:tabs>
                <w:tab w:val="left" w:pos="1559"/>
              </w:tabs>
              <w:ind w:right="142"/>
              <w:jc w:val="center"/>
              <w:rPr>
                <w:rFonts w:ascii="Arial" w:hAnsi="Arial"/>
                <w:b/>
                <w:spacing w:val="-9"/>
                <w:sz w:val="20"/>
                <w:lang w:val="pl-PL"/>
              </w:rPr>
            </w:pPr>
            <w:r w:rsidRPr="00765C97">
              <w:rPr>
                <w:rFonts w:ascii="Arial" w:hAnsi="Arial"/>
                <w:sz w:val="20"/>
                <w:lang w:val="pl-PL"/>
              </w:rPr>
              <w:t>Polska</w:t>
            </w:r>
          </w:p>
        </w:tc>
        <w:tc>
          <w:tcPr>
            <w:tcW w:w="1078" w:type="dxa"/>
            <w:tcBorders>
              <w:top w:val="nil"/>
              <w:left w:val="nil"/>
              <w:bottom w:val="nil"/>
              <w:right w:val="nil"/>
            </w:tcBorders>
            <w:vAlign w:val="center"/>
          </w:tcPr>
          <w:p w:rsidR="00D452E2" w:rsidRPr="00765C97" w:rsidRDefault="00BC54E1">
            <w:pPr>
              <w:ind w:right="117"/>
              <w:jc w:val="right"/>
              <w:rPr>
                <w:rFonts w:ascii="Arial" w:hAnsi="Arial"/>
                <w:sz w:val="20"/>
                <w:lang w:val="pl-PL"/>
              </w:rPr>
            </w:pPr>
            <w:r w:rsidRPr="00765C97">
              <w:rPr>
                <w:rFonts w:ascii="Arial" w:hAnsi="Arial"/>
                <w:sz w:val="20"/>
                <w:lang w:val="pl-PL"/>
              </w:rPr>
              <w:t>5 069</w:t>
            </w:r>
          </w:p>
        </w:tc>
        <w:tc>
          <w:tcPr>
            <w:tcW w:w="1418" w:type="dxa"/>
            <w:tcBorders>
              <w:top w:val="nil"/>
              <w:left w:val="nil"/>
              <w:bottom w:val="nil"/>
              <w:right w:val="nil"/>
            </w:tcBorders>
            <w:vAlign w:val="center"/>
          </w:tcPr>
          <w:p w:rsidR="00D452E2" w:rsidRPr="00765C97" w:rsidRDefault="00BC54E1">
            <w:pPr>
              <w:ind w:right="117"/>
              <w:jc w:val="right"/>
              <w:rPr>
                <w:rFonts w:ascii="Arial" w:hAnsi="Arial"/>
                <w:sz w:val="20"/>
                <w:lang w:val="pl-PL"/>
              </w:rPr>
            </w:pPr>
            <w:r w:rsidRPr="00765C97">
              <w:rPr>
                <w:rFonts w:ascii="Arial" w:hAnsi="Arial"/>
                <w:sz w:val="20"/>
                <w:lang w:val="pl-PL"/>
              </w:rPr>
              <w:t>(123)</w:t>
            </w:r>
          </w:p>
        </w:tc>
        <w:tc>
          <w:tcPr>
            <w:tcW w:w="2064" w:type="dxa"/>
            <w:tcBorders>
              <w:top w:val="nil"/>
              <w:left w:val="nil"/>
              <w:bottom w:val="nil"/>
              <w:right w:val="nil"/>
            </w:tcBorders>
            <w:vAlign w:val="center"/>
          </w:tcPr>
          <w:p w:rsidR="00D452E2" w:rsidRPr="00765C97" w:rsidRDefault="00BC54E1">
            <w:pPr>
              <w:ind w:right="119"/>
              <w:jc w:val="right"/>
              <w:rPr>
                <w:rFonts w:ascii="Arial" w:hAnsi="Arial"/>
                <w:sz w:val="20"/>
                <w:lang w:val="pl-PL"/>
              </w:rPr>
            </w:pPr>
            <w:r w:rsidRPr="00765C97">
              <w:rPr>
                <w:rFonts w:ascii="Arial" w:hAnsi="Arial"/>
                <w:sz w:val="20"/>
                <w:lang w:val="pl-PL"/>
              </w:rPr>
              <w:t>30,72</w:t>
            </w:r>
          </w:p>
        </w:tc>
      </w:tr>
    </w:tbl>
    <w:p w:rsidR="00B24DA9" w:rsidRPr="00765C97" w:rsidRDefault="00B24DA9">
      <w:pPr>
        <w:tabs>
          <w:tab w:val="left" w:pos="972"/>
        </w:tabs>
        <w:ind w:left="181"/>
        <w:jc w:val="both"/>
        <w:rPr>
          <w:rFonts w:ascii="Arial" w:hAnsi="Arial"/>
          <w:sz w:val="20"/>
          <w:lang w:val="pl-PL"/>
        </w:rPr>
      </w:pPr>
    </w:p>
    <w:p w:rsidR="00D452E2" w:rsidRPr="00765C97" w:rsidRDefault="00CC59E0" w:rsidP="00D452E2">
      <w:pPr>
        <w:tabs>
          <w:tab w:val="left" w:pos="972"/>
        </w:tabs>
        <w:ind w:left="180"/>
        <w:jc w:val="both"/>
        <w:rPr>
          <w:rFonts w:ascii="Arial" w:hAnsi="Arial"/>
          <w:spacing w:val="-3"/>
          <w:sz w:val="20"/>
          <w:lang w:val="pl-PL"/>
        </w:rPr>
      </w:pPr>
      <w:r w:rsidRPr="00765C97">
        <w:rPr>
          <w:rFonts w:ascii="Arial" w:hAnsi="Arial"/>
          <w:sz w:val="20"/>
          <w:lang w:val="pl-PL"/>
        </w:rPr>
        <w:t>W</w:t>
      </w:r>
      <w:r w:rsidR="00C36604" w:rsidRPr="00765C97">
        <w:rPr>
          <w:rFonts w:ascii="Arial" w:hAnsi="Arial"/>
          <w:sz w:val="20"/>
          <w:lang w:val="pl-PL"/>
        </w:rPr>
        <w:t>ykazane na dzień 31 grudnia 2012</w:t>
      </w:r>
      <w:r w:rsidRPr="00765C97">
        <w:rPr>
          <w:rFonts w:ascii="Arial" w:hAnsi="Arial"/>
          <w:sz w:val="20"/>
          <w:lang w:val="pl-PL"/>
        </w:rPr>
        <w:t xml:space="preserve"> roku inwestycje w jednostkach stowarzyszonych obejmują nabyte we wrześniu 2008 roku przez CCF FIZ 2 000 udziałów spółki </w:t>
      </w:r>
      <w:r w:rsidRPr="00765C97">
        <w:rPr>
          <w:rFonts w:ascii="Arial" w:hAnsi="Arial"/>
          <w:sz w:val="20"/>
          <w:lang w:val="pl-PL"/>
        </w:rPr>
        <w:br/>
        <w:t>SoInteractive Sp. o.o. (obecnie SoInteractive S.A.). CCF FIZ posiada 30,72% akcji w spółce SoInteractive S.A., której kapitał zakładowy wynosi 651 tys. PLN.</w:t>
      </w:r>
    </w:p>
    <w:p w:rsidR="00B24DA9" w:rsidRPr="00765C97" w:rsidRDefault="00B24DA9" w:rsidP="00135A9A">
      <w:pPr>
        <w:pStyle w:val="Nagwek3"/>
        <w:numPr>
          <w:ilvl w:val="1"/>
          <w:numId w:val="22"/>
        </w:numPr>
        <w:spacing w:after="240"/>
        <w:ind w:left="709" w:hanging="567"/>
        <w:rPr>
          <w:sz w:val="20"/>
          <w:lang w:val="pl-PL"/>
        </w:rPr>
      </w:pPr>
      <w:bookmarkStart w:id="50" w:name="_Toc353973216"/>
      <w:r w:rsidRPr="00765C97">
        <w:rPr>
          <w:sz w:val="20"/>
          <w:lang w:val="pl-PL"/>
        </w:rPr>
        <w:t>Zapasy</w:t>
      </w:r>
      <w:bookmarkEnd w:id="50"/>
    </w:p>
    <w:tbl>
      <w:tblPr>
        <w:tblW w:w="6660" w:type="dxa"/>
        <w:tblInd w:w="180" w:type="dxa"/>
        <w:tblLayout w:type="fixed"/>
        <w:tblCellMar>
          <w:left w:w="0" w:type="dxa"/>
          <w:right w:w="0" w:type="dxa"/>
        </w:tblCellMar>
        <w:tblLook w:val="0000"/>
      </w:tblPr>
      <w:tblGrid>
        <w:gridCol w:w="1980"/>
        <w:gridCol w:w="2340"/>
        <w:gridCol w:w="2340"/>
      </w:tblGrid>
      <w:tr w:rsidR="00B0017E" w:rsidRPr="00765C97">
        <w:trPr>
          <w:trHeight w:val="255"/>
        </w:trPr>
        <w:tc>
          <w:tcPr>
            <w:tcW w:w="1980" w:type="dxa"/>
            <w:tcBorders>
              <w:top w:val="nil"/>
              <w:left w:val="nil"/>
              <w:bottom w:val="nil"/>
              <w:right w:val="nil"/>
            </w:tcBorders>
          </w:tcPr>
          <w:p w:rsidR="00B0017E" w:rsidRPr="00765C97" w:rsidRDefault="00B0017E">
            <w:pPr>
              <w:rPr>
                <w:rFonts w:ascii="Arial" w:hAnsi="Arial"/>
                <w:b/>
                <w:spacing w:val="-8"/>
                <w:sz w:val="20"/>
                <w:lang w:val="pl-PL"/>
              </w:rPr>
            </w:pPr>
          </w:p>
        </w:tc>
        <w:tc>
          <w:tcPr>
            <w:tcW w:w="2340" w:type="dxa"/>
            <w:tcBorders>
              <w:top w:val="nil"/>
              <w:left w:val="nil"/>
              <w:bottom w:val="nil"/>
              <w:right w:val="nil"/>
            </w:tcBorders>
            <w:vAlign w:val="center"/>
          </w:tcPr>
          <w:p w:rsidR="00B0017E" w:rsidRPr="00765C97" w:rsidRDefault="00B0017E" w:rsidP="006C5B07">
            <w:pPr>
              <w:tabs>
                <w:tab w:val="left" w:pos="200"/>
              </w:tabs>
              <w:ind w:right="120"/>
              <w:jc w:val="right"/>
              <w:rPr>
                <w:rFonts w:ascii="Arial" w:hAnsi="Arial"/>
                <w:b/>
                <w:sz w:val="20"/>
                <w:lang w:val="pl-PL"/>
              </w:rPr>
            </w:pPr>
            <w:r w:rsidRPr="00765C97">
              <w:rPr>
                <w:rFonts w:ascii="Arial" w:hAnsi="Arial"/>
                <w:b/>
                <w:sz w:val="20"/>
                <w:lang w:val="pl-PL"/>
              </w:rPr>
              <w:t>31 grudnia 201</w:t>
            </w:r>
            <w:r w:rsidR="00C36604" w:rsidRPr="00765C97">
              <w:rPr>
                <w:rFonts w:ascii="Arial" w:hAnsi="Arial"/>
                <w:b/>
                <w:sz w:val="20"/>
                <w:lang w:val="pl-PL"/>
              </w:rPr>
              <w:t>2</w:t>
            </w:r>
            <w:r w:rsidRPr="00765C97">
              <w:rPr>
                <w:rFonts w:ascii="Arial" w:hAnsi="Arial"/>
                <w:b/>
                <w:sz w:val="20"/>
                <w:lang w:val="pl-PL"/>
              </w:rPr>
              <w:t xml:space="preserve"> r.</w:t>
            </w:r>
          </w:p>
        </w:tc>
        <w:tc>
          <w:tcPr>
            <w:tcW w:w="2340" w:type="dxa"/>
            <w:tcBorders>
              <w:top w:val="nil"/>
              <w:left w:val="nil"/>
              <w:bottom w:val="nil"/>
              <w:right w:val="nil"/>
            </w:tcBorders>
            <w:vAlign w:val="center"/>
          </w:tcPr>
          <w:p w:rsidR="00B0017E" w:rsidRPr="00765C97" w:rsidRDefault="00B0017E" w:rsidP="006C5B07">
            <w:pPr>
              <w:tabs>
                <w:tab w:val="left" w:pos="200"/>
              </w:tabs>
              <w:ind w:right="120"/>
              <w:jc w:val="right"/>
              <w:rPr>
                <w:rFonts w:ascii="Arial" w:hAnsi="Arial"/>
                <w:b/>
                <w:sz w:val="20"/>
                <w:lang w:val="pl-PL"/>
              </w:rPr>
            </w:pPr>
            <w:r w:rsidRPr="00765C97">
              <w:rPr>
                <w:rFonts w:ascii="Arial" w:hAnsi="Arial"/>
                <w:b/>
                <w:sz w:val="20"/>
                <w:lang w:val="pl-PL"/>
              </w:rPr>
              <w:t>31 grudnia 20</w:t>
            </w:r>
            <w:r w:rsidR="00C36604" w:rsidRPr="00765C97">
              <w:rPr>
                <w:rFonts w:ascii="Arial" w:hAnsi="Arial"/>
                <w:b/>
                <w:sz w:val="20"/>
                <w:lang w:val="pl-PL"/>
              </w:rPr>
              <w:t>11</w:t>
            </w:r>
            <w:r w:rsidRPr="00765C97">
              <w:rPr>
                <w:rFonts w:ascii="Arial" w:hAnsi="Arial"/>
                <w:b/>
                <w:sz w:val="20"/>
                <w:lang w:val="pl-PL"/>
              </w:rPr>
              <w:t xml:space="preserve"> r.</w:t>
            </w:r>
          </w:p>
        </w:tc>
      </w:tr>
      <w:tr w:rsidR="00C36604" w:rsidRPr="00765C97">
        <w:trPr>
          <w:trHeight w:val="255"/>
        </w:trPr>
        <w:tc>
          <w:tcPr>
            <w:tcW w:w="1980" w:type="dxa"/>
            <w:tcBorders>
              <w:top w:val="nil"/>
              <w:left w:val="nil"/>
              <w:bottom w:val="nil"/>
              <w:right w:val="nil"/>
            </w:tcBorders>
            <w:vAlign w:val="center"/>
          </w:tcPr>
          <w:p w:rsidR="00C36604" w:rsidRPr="00765C97" w:rsidRDefault="00C36604">
            <w:pPr>
              <w:rPr>
                <w:rFonts w:ascii="Arial" w:hAnsi="Arial"/>
                <w:sz w:val="20"/>
                <w:lang w:val="pl-PL"/>
              </w:rPr>
            </w:pPr>
            <w:r w:rsidRPr="00765C97">
              <w:rPr>
                <w:rFonts w:ascii="Arial" w:hAnsi="Arial"/>
                <w:sz w:val="20"/>
                <w:lang w:val="pl-PL"/>
              </w:rPr>
              <w:t>Materiały i surowce</w:t>
            </w:r>
          </w:p>
        </w:tc>
        <w:tc>
          <w:tcPr>
            <w:tcW w:w="2340" w:type="dxa"/>
            <w:tcBorders>
              <w:top w:val="nil"/>
              <w:left w:val="nil"/>
              <w:bottom w:val="nil"/>
              <w:right w:val="nil"/>
            </w:tcBorders>
            <w:vAlign w:val="center"/>
          </w:tcPr>
          <w:p w:rsidR="00C36604" w:rsidRPr="00765C97" w:rsidRDefault="00A61A3D" w:rsidP="00136AD1">
            <w:pPr>
              <w:ind w:right="120"/>
              <w:jc w:val="right"/>
              <w:rPr>
                <w:rFonts w:ascii="Arial" w:hAnsi="Arial"/>
                <w:sz w:val="20"/>
                <w:lang w:val="pl-PL"/>
              </w:rPr>
            </w:pPr>
            <w:r w:rsidRPr="00765C97">
              <w:rPr>
                <w:rFonts w:ascii="Arial" w:hAnsi="Arial"/>
                <w:sz w:val="20"/>
                <w:lang w:val="pl-PL"/>
              </w:rPr>
              <w:t>264</w:t>
            </w:r>
          </w:p>
        </w:tc>
        <w:tc>
          <w:tcPr>
            <w:tcW w:w="2340" w:type="dxa"/>
            <w:tcBorders>
              <w:top w:val="nil"/>
              <w:left w:val="nil"/>
              <w:bottom w:val="nil"/>
              <w:right w:val="nil"/>
            </w:tcBorders>
            <w:vAlign w:val="center"/>
          </w:tcPr>
          <w:p w:rsidR="00C36604" w:rsidRPr="00765C97" w:rsidRDefault="00C36604" w:rsidP="00385F70">
            <w:pPr>
              <w:ind w:right="120"/>
              <w:jc w:val="right"/>
              <w:rPr>
                <w:rFonts w:ascii="Arial" w:hAnsi="Arial"/>
                <w:sz w:val="20"/>
                <w:lang w:val="pl-PL"/>
              </w:rPr>
            </w:pPr>
            <w:r w:rsidRPr="00765C97">
              <w:rPr>
                <w:rFonts w:ascii="Arial" w:hAnsi="Arial"/>
                <w:sz w:val="20"/>
                <w:lang w:val="pl-PL"/>
              </w:rPr>
              <w:t>423</w:t>
            </w:r>
          </w:p>
        </w:tc>
      </w:tr>
      <w:tr w:rsidR="00C36604" w:rsidRPr="00765C97">
        <w:trPr>
          <w:trHeight w:val="255"/>
        </w:trPr>
        <w:tc>
          <w:tcPr>
            <w:tcW w:w="1980" w:type="dxa"/>
            <w:tcBorders>
              <w:top w:val="nil"/>
              <w:left w:val="nil"/>
              <w:right w:val="nil"/>
            </w:tcBorders>
            <w:vAlign w:val="center"/>
          </w:tcPr>
          <w:p w:rsidR="00C36604" w:rsidRPr="00765C97" w:rsidRDefault="00C36604">
            <w:pPr>
              <w:rPr>
                <w:rFonts w:ascii="Arial" w:hAnsi="Arial"/>
                <w:sz w:val="20"/>
                <w:lang w:val="pl-PL"/>
              </w:rPr>
            </w:pPr>
            <w:r w:rsidRPr="00765C97">
              <w:rPr>
                <w:rFonts w:ascii="Arial" w:hAnsi="Arial"/>
                <w:sz w:val="20"/>
                <w:lang w:val="pl-PL"/>
              </w:rPr>
              <w:t>Produkcja w toku</w:t>
            </w:r>
          </w:p>
        </w:tc>
        <w:tc>
          <w:tcPr>
            <w:tcW w:w="2340" w:type="dxa"/>
            <w:tcBorders>
              <w:top w:val="nil"/>
              <w:left w:val="nil"/>
              <w:right w:val="nil"/>
            </w:tcBorders>
            <w:vAlign w:val="center"/>
          </w:tcPr>
          <w:p w:rsidR="00C36604" w:rsidRPr="00765C97" w:rsidRDefault="002C008C" w:rsidP="00136AD1">
            <w:pPr>
              <w:ind w:right="120"/>
              <w:jc w:val="right"/>
              <w:rPr>
                <w:rFonts w:ascii="Arial" w:hAnsi="Arial"/>
                <w:sz w:val="20"/>
                <w:lang w:val="pl-PL"/>
              </w:rPr>
            </w:pPr>
            <w:r w:rsidRPr="00765C97">
              <w:rPr>
                <w:rFonts w:ascii="Arial" w:hAnsi="Arial"/>
                <w:sz w:val="20"/>
                <w:lang w:val="pl-PL"/>
              </w:rPr>
              <w:t>30 709</w:t>
            </w:r>
          </w:p>
        </w:tc>
        <w:tc>
          <w:tcPr>
            <w:tcW w:w="2340" w:type="dxa"/>
            <w:tcBorders>
              <w:top w:val="nil"/>
              <w:left w:val="nil"/>
              <w:right w:val="nil"/>
            </w:tcBorders>
            <w:vAlign w:val="center"/>
          </w:tcPr>
          <w:p w:rsidR="00C36604" w:rsidRPr="00765C97" w:rsidRDefault="00C36604" w:rsidP="00385F70">
            <w:pPr>
              <w:ind w:right="120"/>
              <w:jc w:val="right"/>
              <w:rPr>
                <w:rFonts w:ascii="Arial" w:hAnsi="Arial"/>
                <w:sz w:val="20"/>
                <w:lang w:val="pl-PL"/>
              </w:rPr>
            </w:pPr>
            <w:r w:rsidRPr="00765C97">
              <w:rPr>
                <w:rFonts w:ascii="Arial" w:hAnsi="Arial"/>
                <w:sz w:val="20"/>
                <w:lang w:val="pl-PL"/>
              </w:rPr>
              <w:t>33 811</w:t>
            </w:r>
          </w:p>
        </w:tc>
      </w:tr>
      <w:tr w:rsidR="00C36604" w:rsidRPr="00765C97">
        <w:trPr>
          <w:trHeight w:val="255"/>
        </w:trPr>
        <w:tc>
          <w:tcPr>
            <w:tcW w:w="1980" w:type="dxa"/>
            <w:tcBorders>
              <w:top w:val="nil"/>
              <w:left w:val="nil"/>
              <w:right w:val="nil"/>
            </w:tcBorders>
            <w:vAlign w:val="center"/>
          </w:tcPr>
          <w:p w:rsidR="00C36604" w:rsidRPr="00765C97" w:rsidRDefault="00C36604">
            <w:pPr>
              <w:rPr>
                <w:rFonts w:ascii="Arial" w:hAnsi="Arial"/>
                <w:sz w:val="20"/>
                <w:lang w:val="pl-PL"/>
              </w:rPr>
            </w:pPr>
            <w:r w:rsidRPr="00765C97">
              <w:rPr>
                <w:rFonts w:ascii="Arial" w:hAnsi="Arial"/>
                <w:sz w:val="20"/>
                <w:lang w:val="pl-PL"/>
              </w:rPr>
              <w:t>Towary</w:t>
            </w:r>
          </w:p>
        </w:tc>
        <w:tc>
          <w:tcPr>
            <w:tcW w:w="2340" w:type="dxa"/>
            <w:tcBorders>
              <w:top w:val="nil"/>
              <w:left w:val="nil"/>
              <w:right w:val="nil"/>
            </w:tcBorders>
            <w:vAlign w:val="center"/>
          </w:tcPr>
          <w:p w:rsidR="00C36604" w:rsidRPr="00765C97" w:rsidRDefault="002C008C" w:rsidP="00A61A3D">
            <w:pPr>
              <w:ind w:right="120"/>
              <w:jc w:val="right"/>
              <w:rPr>
                <w:rFonts w:ascii="Arial" w:hAnsi="Arial"/>
                <w:sz w:val="20"/>
                <w:lang w:val="pl-PL"/>
              </w:rPr>
            </w:pPr>
            <w:r w:rsidRPr="00765C97">
              <w:rPr>
                <w:rFonts w:ascii="Arial" w:hAnsi="Arial"/>
                <w:sz w:val="20"/>
                <w:lang w:val="pl-PL"/>
              </w:rPr>
              <w:t xml:space="preserve">31 </w:t>
            </w:r>
            <w:r w:rsidR="00A61A3D" w:rsidRPr="00765C97">
              <w:rPr>
                <w:rFonts w:ascii="Arial" w:hAnsi="Arial"/>
                <w:sz w:val="20"/>
                <w:lang w:val="pl-PL"/>
              </w:rPr>
              <w:t>286</w:t>
            </w:r>
          </w:p>
        </w:tc>
        <w:tc>
          <w:tcPr>
            <w:tcW w:w="2340" w:type="dxa"/>
            <w:tcBorders>
              <w:top w:val="nil"/>
              <w:left w:val="nil"/>
              <w:right w:val="nil"/>
            </w:tcBorders>
            <w:vAlign w:val="center"/>
          </w:tcPr>
          <w:p w:rsidR="00C36604" w:rsidRPr="00765C97" w:rsidRDefault="00C36604" w:rsidP="00385F70">
            <w:pPr>
              <w:ind w:right="120"/>
              <w:jc w:val="right"/>
              <w:rPr>
                <w:rFonts w:ascii="Arial" w:hAnsi="Arial"/>
                <w:sz w:val="20"/>
                <w:lang w:val="pl-PL"/>
              </w:rPr>
            </w:pPr>
            <w:r w:rsidRPr="00765C97">
              <w:rPr>
                <w:rFonts w:ascii="Arial" w:hAnsi="Arial"/>
                <w:sz w:val="20"/>
                <w:lang w:val="pl-PL"/>
              </w:rPr>
              <w:t>9 889</w:t>
            </w:r>
          </w:p>
        </w:tc>
      </w:tr>
      <w:tr w:rsidR="00C36604" w:rsidRPr="00765C97">
        <w:trPr>
          <w:trHeight w:val="255"/>
        </w:trPr>
        <w:tc>
          <w:tcPr>
            <w:tcW w:w="1980" w:type="dxa"/>
            <w:tcBorders>
              <w:left w:val="nil"/>
              <w:right w:val="nil"/>
            </w:tcBorders>
            <w:vAlign w:val="center"/>
          </w:tcPr>
          <w:p w:rsidR="00C36604" w:rsidRPr="00765C97" w:rsidRDefault="00C36604">
            <w:pPr>
              <w:pStyle w:val="BalloonText1"/>
              <w:rPr>
                <w:rFonts w:ascii="Arial" w:hAnsi="Arial"/>
                <w:sz w:val="20"/>
                <w:lang w:val="pl-PL"/>
              </w:rPr>
            </w:pPr>
            <w:r w:rsidRPr="00765C97">
              <w:rPr>
                <w:rFonts w:ascii="Arial" w:hAnsi="Arial"/>
                <w:sz w:val="20"/>
                <w:lang w:val="pl-PL"/>
              </w:rPr>
              <w:t>Zaliczki na towary</w:t>
            </w:r>
          </w:p>
        </w:tc>
        <w:tc>
          <w:tcPr>
            <w:tcW w:w="2340" w:type="dxa"/>
            <w:tcBorders>
              <w:left w:val="nil"/>
              <w:bottom w:val="single" w:sz="4" w:space="0" w:color="auto"/>
              <w:right w:val="nil"/>
            </w:tcBorders>
            <w:vAlign w:val="center"/>
          </w:tcPr>
          <w:p w:rsidR="00C36604" w:rsidRPr="00765C97" w:rsidRDefault="002C008C" w:rsidP="00F556E5">
            <w:pPr>
              <w:ind w:right="120"/>
              <w:jc w:val="right"/>
              <w:rPr>
                <w:rFonts w:ascii="Arial" w:hAnsi="Arial"/>
                <w:sz w:val="20"/>
                <w:lang w:val="pl-PL"/>
              </w:rPr>
            </w:pPr>
            <w:r w:rsidRPr="00765C97">
              <w:rPr>
                <w:rFonts w:ascii="Arial" w:hAnsi="Arial"/>
                <w:sz w:val="20"/>
                <w:lang w:val="pl-PL"/>
              </w:rPr>
              <w:t>48</w:t>
            </w:r>
          </w:p>
        </w:tc>
        <w:tc>
          <w:tcPr>
            <w:tcW w:w="2340" w:type="dxa"/>
            <w:tcBorders>
              <w:left w:val="nil"/>
              <w:bottom w:val="single" w:sz="4" w:space="0" w:color="auto"/>
              <w:right w:val="nil"/>
            </w:tcBorders>
            <w:vAlign w:val="center"/>
          </w:tcPr>
          <w:p w:rsidR="00C36604" w:rsidRPr="00765C97" w:rsidRDefault="00C36604" w:rsidP="00385F70">
            <w:pPr>
              <w:ind w:right="120"/>
              <w:jc w:val="right"/>
              <w:rPr>
                <w:rFonts w:ascii="Arial" w:hAnsi="Arial"/>
                <w:sz w:val="20"/>
                <w:lang w:val="pl-PL"/>
              </w:rPr>
            </w:pPr>
            <w:r w:rsidRPr="00765C97">
              <w:rPr>
                <w:rFonts w:ascii="Arial" w:hAnsi="Arial"/>
                <w:sz w:val="20"/>
                <w:lang w:val="pl-PL"/>
              </w:rPr>
              <w:t>69</w:t>
            </w:r>
          </w:p>
        </w:tc>
      </w:tr>
      <w:tr w:rsidR="00C36604" w:rsidRPr="00765C97">
        <w:trPr>
          <w:trHeight w:val="255"/>
        </w:trPr>
        <w:tc>
          <w:tcPr>
            <w:tcW w:w="1980" w:type="dxa"/>
            <w:tcBorders>
              <w:left w:val="nil"/>
              <w:right w:val="nil"/>
            </w:tcBorders>
            <w:vAlign w:val="center"/>
          </w:tcPr>
          <w:p w:rsidR="00C36604" w:rsidRPr="00765C97" w:rsidRDefault="00C36604">
            <w:pPr>
              <w:pStyle w:val="BalloonText1"/>
              <w:rPr>
                <w:rFonts w:ascii="Arial" w:hAnsi="Arial"/>
                <w:b/>
                <w:sz w:val="20"/>
                <w:lang w:val="pl-PL"/>
              </w:rPr>
            </w:pPr>
          </w:p>
        </w:tc>
        <w:tc>
          <w:tcPr>
            <w:tcW w:w="2340" w:type="dxa"/>
            <w:tcBorders>
              <w:top w:val="single" w:sz="4" w:space="0" w:color="auto"/>
              <w:left w:val="nil"/>
              <w:right w:val="nil"/>
            </w:tcBorders>
            <w:vAlign w:val="center"/>
          </w:tcPr>
          <w:p w:rsidR="00C36604" w:rsidRPr="00765C97" w:rsidRDefault="006E6DC6" w:rsidP="00F556E5">
            <w:pPr>
              <w:ind w:right="120"/>
              <w:jc w:val="right"/>
              <w:rPr>
                <w:rFonts w:ascii="Arial" w:hAnsi="Arial"/>
                <w:b/>
                <w:sz w:val="20"/>
                <w:lang w:val="pl-PL"/>
              </w:rPr>
            </w:pPr>
            <w:r w:rsidRPr="00765C97">
              <w:rPr>
                <w:rFonts w:ascii="Arial" w:hAnsi="Arial"/>
                <w:b/>
                <w:sz w:val="20"/>
                <w:lang w:val="pl-PL"/>
              </w:rPr>
              <w:t>62 307</w:t>
            </w:r>
          </w:p>
        </w:tc>
        <w:tc>
          <w:tcPr>
            <w:tcW w:w="2340" w:type="dxa"/>
            <w:tcBorders>
              <w:top w:val="single" w:sz="4" w:space="0" w:color="auto"/>
              <w:left w:val="nil"/>
              <w:right w:val="nil"/>
            </w:tcBorders>
            <w:vAlign w:val="center"/>
          </w:tcPr>
          <w:p w:rsidR="00C36604" w:rsidRPr="00765C97" w:rsidRDefault="00C36604" w:rsidP="00385F70">
            <w:pPr>
              <w:ind w:right="120"/>
              <w:jc w:val="right"/>
              <w:rPr>
                <w:rFonts w:ascii="Arial" w:hAnsi="Arial"/>
                <w:b/>
                <w:sz w:val="20"/>
                <w:lang w:val="pl-PL"/>
              </w:rPr>
            </w:pPr>
            <w:r w:rsidRPr="00765C97">
              <w:rPr>
                <w:rFonts w:ascii="Arial" w:hAnsi="Arial"/>
                <w:b/>
                <w:sz w:val="20"/>
                <w:lang w:val="pl-PL"/>
              </w:rPr>
              <w:t>44 192</w:t>
            </w:r>
          </w:p>
        </w:tc>
      </w:tr>
    </w:tbl>
    <w:p w:rsidR="00B24DA9" w:rsidRPr="00765C97" w:rsidRDefault="00B24DA9">
      <w:pPr>
        <w:ind w:left="180" w:right="432"/>
        <w:jc w:val="both"/>
        <w:rPr>
          <w:rFonts w:ascii="Arial" w:hAnsi="Arial"/>
          <w:spacing w:val="-3"/>
          <w:sz w:val="20"/>
          <w:lang w:val="pl-PL"/>
        </w:rPr>
      </w:pPr>
    </w:p>
    <w:p w:rsidR="00B24DA9" w:rsidRPr="00765C97" w:rsidRDefault="00B24DA9" w:rsidP="001C1D17">
      <w:pPr>
        <w:ind w:left="180" w:right="-39"/>
        <w:jc w:val="both"/>
        <w:rPr>
          <w:rFonts w:ascii="Arial" w:hAnsi="Arial"/>
          <w:spacing w:val="-3"/>
          <w:sz w:val="20"/>
          <w:lang w:val="pl-PL"/>
        </w:rPr>
      </w:pPr>
      <w:r w:rsidRPr="00765C97">
        <w:rPr>
          <w:rFonts w:ascii="Arial" w:hAnsi="Arial"/>
          <w:spacing w:val="-3"/>
          <w:sz w:val="20"/>
          <w:lang w:val="pl-PL"/>
        </w:rPr>
        <w:t xml:space="preserve">Koszt zapasów ujęty w pozycji „koszty sprzedanych produktów, towarów i materiałów” w rachunku zysków i strat wyniósł </w:t>
      </w:r>
      <w:r w:rsidR="001C1D17" w:rsidRPr="00765C97">
        <w:rPr>
          <w:rFonts w:ascii="Arial" w:hAnsi="Arial"/>
          <w:spacing w:val="-3"/>
          <w:sz w:val="20"/>
          <w:lang w:val="pl-PL"/>
        </w:rPr>
        <w:t xml:space="preserve">482 364 tys. zł (12 miesięcy 2012), </w:t>
      </w:r>
      <w:r w:rsidR="00F556E5" w:rsidRPr="00765C97">
        <w:rPr>
          <w:rFonts w:ascii="Arial" w:hAnsi="Arial"/>
          <w:spacing w:val="-3"/>
          <w:sz w:val="20"/>
          <w:lang w:val="pl-PL"/>
        </w:rPr>
        <w:t>388 781</w:t>
      </w:r>
      <w:r w:rsidRPr="00765C97">
        <w:rPr>
          <w:rFonts w:ascii="Arial" w:hAnsi="Arial"/>
          <w:spacing w:val="-3"/>
          <w:sz w:val="20"/>
          <w:lang w:val="pl-PL"/>
        </w:rPr>
        <w:t xml:space="preserve"> tys. zł (12 miesięcy 20</w:t>
      </w:r>
      <w:r w:rsidR="00B0017E" w:rsidRPr="00765C97">
        <w:rPr>
          <w:rFonts w:ascii="Arial" w:hAnsi="Arial"/>
          <w:spacing w:val="-3"/>
          <w:sz w:val="20"/>
          <w:lang w:val="pl-PL"/>
        </w:rPr>
        <w:t>1</w:t>
      </w:r>
      <w:r w:rsidR="006C5B07" w:rsidRPr="00765C97">
        <w:rPr>
          <w:rFonts w:ascii="Arial" w:hAnsi="Arial"/>
          <w:spacing w:val="-3"/>
          <w:sz w:val="20"/>
          <w:lang w:val="pl-PL"/>
        </w:rPr>
        <w:t>1</w:t>
      </w:r>
      <w:r w:rsidR="001C1D17" w:rsidRPr="00765C97">
        <w:rPr>
          <w:rFonts w:ascii="Arial" w:hAnsi="Arial"/>
          <w:spacing w:val="-3"/>
          <w:sz w:val="20"/>
          <w:lang w:val="pl-PL"/>
        </w:rPr>
        <w:t>).</w:t>
      </w:r>
    </w:p>
    <w:p w:rsidR="00B24DA9" w:rsidRPr="00765C97" w:rsidRDefault="00FB6387">
      <w:pPr>
        <w:pStyle w:val="Style1"/>
        <w:adjustRightInd/>
        <w:ind w:left="180"/>
        <w:jc w:val="both"/>
        <w:rPr>
          <w:rFonts w:ascii="Arial" w:hAnsi="Arial"/>
          <w:lang w:val="pl-PL" w:eastAsia="pl-PL"/>
        </w:rPr>
      </w:pPr>
      <w:r w:rsidRPr="00765C97">
        <w:rPr>
          <w:rFonts w:ascii="Arial" w:hAnsi="Arial"/>
          <w:lang w:val="pl-PL"/>
        </w:rPr>
        <w:t xml:space="preserve">Ze względu na utratę wartości dokonano odpisów aktualizujących wartość zapasów na kwotę </w:t>
      </w:r>
      <w:r w:rsidR="00F04620" w:rsidRPr="00765C97">
        <w:rPr>
          <w:rFonts w:ascii="Arial" w:hAnsi="Arial"/>
          <w:lang w:val="pl-PL"/>
        </w:rPr>
        <w:t>1 050</w:t>
      </w:r>
      <w:r w:rsidRPr="00765C97">
        <w:rPr>
          <w:rFonts w:ascii="Arial" w:hAnsi="Arial"/>
          <w:lang w:val="pl-PL"/>
        </w:rPr>
        <w:t xml:space="preserve"> tys. zł, równocześnie dokonano rozwiązania odpisów na kwotę </w:t>
      </w:r>
      <w:r w:rsidR="00F04620" w:rsidRPr="00765C97">
        <w:rPr>
          <w:rFonts w:ascii="Arial" w:hAnsi="Arial"/>
          <w:lang w:val="pl-PL"/>
        </w:rPr>
        <w:t>2 602</w:t>
      </w:r>
      <w:r w:rsidRPr="00765C97">
        <w:rPr>
          <w:rFonts w:ascii="Arial" w:hAnsi="Arial"/>
          <w:lang w:val="pl-PL"/>
        </w:rPr>
        <w:t xml:space="preserve"> tys. zł. Łączna kwota wynikająca z powyższych operacji ujętych w wyniku </w:t>
      </w:r>
      <w:r w:rsidR="00AC0234" w:rsidRPr="00765C97">
        <w:rPr>
          <w:rFonts w:ascii="Arial" w:hAnsi="Arial"/>
          <w:lang w:val="pl-PL"/>
        </w:rPr>
        <w:t>201</w:t>
      </w:r>
      <w:r w:rsidR="00F04620" w:rsidRPr="00765C97">
        <w:rPr>
          <w:rFonts w:ascii="Arial" w:hAnsi="Arial"/>
          <w:lang w:val="pl-PL"/>
        </w:rPr>
        <w:t>2</w:t>
      </w:r>
      <w:r w:rsidR="00AC0234" w:rsidRPr="00765C97">
        <w:rPr>
          <w:rFonts w:ascii="Arial" w:hAnsi="Arial"/>
          <w:lang w:val="pl-PL"/>
        </w:rPr>
        <w:t xml:space="preserve"> roku </w:t>
      </w:r>
      <w:r w:rsidRPr="00765C97">
        <w:rPr>
          <w:rFonts w:ascii="Arial" w:hAnsi="Arial"/>
          <w:lang w:val="pl-PL"/>
        </w:rPr>
        <w:t xml:space="preserve">wynosi </w:t>
      </w:r>
      <w:r w:rsidR="00F04620" w:rsidRPr="00765C97">
        <w:rPr>
          <w:rFonts w:ascii="Arial" w:hAnsi="Arial"/>
          <w:lang w:val="pl-PL"/>
        </w:rPr>
        <w:t>1 552</w:t>
      </w:r>
      <w:r w:rsidRPr="00765C97">
        <w:rPr>
          <w:rFonts w:ascii="Arial" w:hAnsi="Arial"/>
          <w:lang w:val="pl-PL"/>
        </w:rPr>
        <w:t xml:space="preserve"> tys. zł</w:t>
      </w:r>
      <w:r w:rsidR="00F355D6" w:rsidRPr="00765C97">
        <w:rPr>
          <w:rFonts w:ascii="Arial" w:hAnsi="Arial"/>
          <w:lang w:val="pl-PL"/>
        </w:rPr>
        <w:t xml:space="preserve"> (</w:t>
      </w:r>
      <w:r w:rsidR="00F04620" w:rsidRPr="00765C97">
        <w:rPr>
          <w:rFonts w:ascii="Arial" w:hAnsi="Arial"/>
          <w:lang w:val="pl-PL"/>
        </w:rPr>
        <w:t>polepszenie</w:t>
      </w:r>
      <w:r w:rsidR="00F355D6" w:rsidRPr="00765C97">
        <w:rPr>
          <w:rFonts w:ascii="Arial" w:hAnsi="Arial"/>
          <w:lang w:val="pl-PL"/>
        </w:rPr>
        <w:t xml:space="preserve"> wyniku)</w:t>
      </w:r>
      <w:r w:rsidRPr="00765C97">
        <w:rPr>
          <w:rFonts w:ascii="Arial" w:hAnsi="Arial"/>
          <w:lang w:val="pl-PL"/>
        </w:rPr>
        <w:t>.</w:t>
      </w:r>
      <w:r w:rsidR="00B24DA9" w:rsidRPr="00765C97">
        <w:rPr>
          <w:rFonts w:ascii="Arial" w:hAnsi="Arial"/>
          <w:lang w:val="pl-PL" w:eastAsia="pl-PL"/>
        </w:rPr>
        <w:t xml:space="preserve"> </w:t>
      </w:r>
    </w:p>
    <w:p w:rsidR="00B24DA9" w:rsidRPr="00765C97" w:rsidRDefault="00B24DA9">
      <w:pPr>
        <w:pStyle w:val="Style1"/>
        <w:adjustRightInd/>
        <w:ind w:left="180" w:right="-39"/>
        <w:jc w:val="both"/>
        <w:rPr>
          <w:rFonts w:ascii="Arial" w:hAnsi="Arial"/>
          <w:lang w:val="pl-PL"/>
        </w:rPr>
      </w:pPr>
    </w:p>
    <w:p w:rsidR="00B24DA9" w:rsidRPr="00765C97" w:rsidRDefault="00B24DA9">
      <w:pPr>
        <w:pStyle w:val="Style1"/>
        <w:adjustRightInd/>
        <w:ind w:left="180" w:right="-39"/>
        <w:jc w:val="both"/>
        <w:rPr>
          <w:rFonts w:ascii="Arial" w:hAnsi="Arial"/>
          <w:lang w:val="pl-PL"/>
        </w:rPr>
      </w:pPr>
      <w:r w:rsidRPr="00765C97">
        <w:rPr>
          <w:rFonts w:ascii="Arial" w:hAnsi="Arial"/>
          <w:lang w:val="pl-PL"/>
        </w:rPr>
        <w:t>Na posiadanych przez Grupę zapasach nie ustanowiono żadnych zabezpieczeń.</w:t>
      </w:r>
    </w:p>
    <w:p w:rsidR="00B24DA9" w:rsidRPr="00765C97" w:rsidRDefault="00B24DA9">
      <w:pPr>
        <w:ind w:left="180" w:right="-39"/>
        <w:jc w:val="both"/>
        <w:rPr>
          <w:rFonts w:ascii="Arial" w:hAnsi="Arial"/>
          <w:sz w:val="20"/>
          <w:lang w:val="pl-PL"/>
        </w:rPr>
      </w:pPr>
    </w:p>
    <w:p w:rsidR="00B24DA9" w:rsidRPr="00765C97" w:rsidRDefault="00B24DA9">
      <w:pPr>
        <w:ind w:left="180" w:right="-39"/>
        <w:jc w:val="both"/>
        <w:rPr>
          <w:rFonts w:ascii="Arial" w:hAnsi="Arial"/>
          <w:sz w:val="20"/>
          <w:lang w:val="pl-PL"/>
        </w:rPr>
      </w:pPr>
      <w:r w:rsidRPr="00765C97">
        <w:rPr>
          <w:rFonts w:ascii="Arial" w:hAnsi="Arial"/>
          <w:sz w:val="20"/>
          <w:lang w:val="pl-PL"/>
        </w:rPr>
        <w:t xml:space="preserve">Na bazie dotychczas utrzymującej się tendencji w zakresie rozliczania produkcji w toku Grupa szacuje, że do rozliczenia po upływie 12 miesięcy od dnia bilansowego pozostanie </w:t>
      </w:r>
      <w:r w:rsidRPr="00765C97">
        <w:rPr>
          <w:rFonts w:ascii="Arial" w:hAnsi="Arial"/>
          <w:color w:val="000000"/>
          <w:sz w:val="20"/>
          <w:lang w:val="pl-PL"/>
        </w:rPr>
        <w:t xml:space="preserve">kwota ok. </w:t>
      </w:r>
      <w:r w:rsidR="00CA2E10" w:rsidRPr="00765C97">
        <w:rPr>
          <w:rFonts w:ascii="Arial" w:hAnsi="Arial"/>
          <w:color w:val="000000"/>
          <w:sz w:val="20"/>
          <w:lang w:val="pl-PL"/>
        </w:rPr>
        <w:t>9,3</w:t>
      </w:r>
      <w:r w:rsidRPr="00765C97">
        <w:rPr>
          <w:rFonts w:ascii="Arial" w:hAnsi="Arial"/>
          <w:color w:val="000000"/>
          <w:sz w:val="20"/>
          <w:lang w:val="pl-PL"/>
        </w:rPr>
        <w:t xml:space="preserve"> mln zł. Pozostałe</w:t>
      </w:r>
      <w:r w:rsidRPr="00765C97">
        <w:rPr>
          <w:rFonts w:ascii="Arial" w:hAnsi="Arial"/>
          <w:sz w:val="20"/>
          <w:lang w:val="pl-PL"/>
        </w:rPr>
        <w:t xml:space="preserve"> zapasy zostaną rozliczone w całości w okresie do 12 miesięcy.</w:t>
      </w:r>
    </w:p>
    <w:p w:rsidR="00B24DA9" w:rsidRPr="00765C97" w:rsidRDefault="00B24DA9" w:rsidP="00135A9A">
      <w:pPr>
        <w:pStyle w:val="Nagwek3"/>
        <w:numPr>
          <w:ilvl w:val="1"/>
          <w:numId w:val="22"/>
        </w:numPr>
        <w:spacing w:after="240"/>
        <w:ind w:left="709" w:hanging="567"/>
        <w:rPr>
          <w:sz w:val="20"/>
          <w:lang w:val="pl-PL"/>
        </w:rPr>
      </w:pPr>
      <w:bookmarkStart w:id="51" w:name="_Toc178765879"/>
      <w:bookmarkStart w:id="52" w:name="_Toc353973217"/>
      <w:r w:rsidRPr="00765C97">
        <w:rPr>
          <w:sz w:val="20"/>
          <w:lang w:val="pl-PL"/>
        </w:rPr>
        <w:t>Kategorie i klasy instrumentów finansowych</w:t>
      </w:r>
      <w:bookmarkEnd w:id="51"/>
      <w:bookmarkEnd w:id="52"/>
    </w:p>
    <w:p w:rsidR="00B24DA9" w:rsidRPr="00765C97" w:rsidRDefault="00B24DA9">
      <w:pPr>
        <w:ind w:left="180"/>
        <w:rPr>
          <w:rFonts w:ascii="Arial" w:hAnsi="Arial"/>
          <w:sz w:val="20"/>
          <w:lang w:val="pl-PL"/>
        </w:rPr>
      </w:pPr>
      <w:r w:rsidRPr="00765C97">
        <w:rPr>
          <w:rFonts w:ascii="Arial" w:hAnsi="Arial"/>
          <w:sz w:val="20"/>
          <w:lang w:val="pl-PL"/>
        </w:rPr>
        <w:t>Aktywa i zobowiązania finansowe w podziale na kategorie (wg MSR 39) przedstawiają się następująco:</w:t>
      </w:r>
    </w:p>
    <w:p w:rsidR="00B24DA9" w:rsidRPr="00765C97" w:rsidRDefault="00B24DA9">
      <w:pPr>
        <w:pStyle w:val="Stopka"/>
        <w:tabs>
          <w:tab w:val="clear" w:pos="4320"/>
          <w:tab w:val="clear" w:pos="8640"/>
        </w:tabs>
        <w:rPr>
          <w:rFonts w:ascii="Arial" w:hAnsi="Arial"/>
          <w:sz w:val="20"/>
          <w:lang w:val="pl-PL"/>
        </w:rPr>
      </w:pPr>
    </w:p>
    <w:tbl>
      <w:tblPr>
        <w:tblW w:w="8184" w:type="dxa"/>
        <w:tblInd w:w="288" w:type="dxa"/>
        <w:tblLayout w:type="fixed"/>
        <w:tblLook w:val="0000"/>
      </w:tblPr>
      <w:tblGrid>
        <w:gridCol w:w="4498"/>
        <w:gridCol w:w="1843"/>
        <w:gridCol w:w="1843"/>
      </w:tblGrid>
      <w:tr w:rsidR="00B0017E" w:rsidRPr="00765C97">
        <w:trPr>
          <w:trHeight w:val="255"/>
        </w:trPr>
        <w:tc>
          <w:tcPr>
            <w:tcW w:w="4498" w:type="dxa"/>
            <w:vAlign w:val="center"/>
          </w:tcPr>
          <w:p w:rsidR="00B0017E" w:rsidRPr="00765C97" w:rsidRDefault="00B0017E">
            <w:pPr>
              <w:rPr>
                <w:rFonts w:ascii="Arial" w:hAnsi="Arial"/>
                <w:sz w:val="20"/>
                <w:lang w:val="pl-PL"/>
              </w:rPr>
            </w:pPr>
          </w:p>
        </w:tc>
        <w:tc>
          <w:tcPr>
            <w:tcW w:w="1843" w:type="dxa"/>
            <w:vAlign w:val="center"/>
          </w:tcPr>
          <w:p w:rsidR="00B0017E" w:rsidRPr="00765C97" w:rsidRDefault="00B0017E" w:rsidP="006C5B07">
            <w:pPr>
              <w:ind w:left="-148"/>
              <w:jc w:val="right"/>
              <w:rPr>
                <w:rFonts w:ascii="Arial" w:hAnsi="Arial"/>
                <w:sz w:val="20"/>
                <w:lang w:val="pl-PL"/>
              </w:rPr>
            </w:pPr>
            <w:r w:rsidRPr="00765C97">
              <w:rPr>
                <w:rFonts w:ascii="Arial" w:hAnsi="Arial"/>
                <w:b/>
                <w:sz w:val="20"/>
                <w:lang w:val="pl-PL"/>
              </w:rPr>
              <w:t>31 grudnia 20</w:t>
            </w:r>
            <w:r w:rsidR="00C36604" w:rsidRPr="00765C97">
              <w:rPr>
                <w:rFonts w:ascii="Arial" w:hAnsi="Arial"/>
                <w:b/>
                <w:sz w:val="20"/>
                <w:lang w:val="pl-PL"/>
              </w:rPr>
              <w:t>12</w:t>
            </w:r>
            <w:r w:rsidRPr="00765C97">
              <w:rPr>
                <w:rFonts w:ascii="Arial" w:hAnsi="Arial"/>
                <w:b/>
                <w:sz w:val="20"/>
                <w:lang w:val="pl-PL"/>
              </w:rPr>
              <w:t xml:space="preserve"> r.</w:t>
            </w:r>
          </w:p>
        </w:tc>
        <w:tc>
          <w:tcPr>
            <w:tcW w:w="1843" w:type="dxa"/>
            <w:vAlign w:val="center"/>
          </w:tcPr>
          <w:p w:rsidR="00B0017E" w:rsidRPr="00765C97" w:rsidRDefault="00B0017E" w:rsidP="006C5B07">
            <w:pPr>
              <w:ind w:left="-148"/>
              <w:jc w:val="right"/>
              <w:rPr>
                <w:rFonts w:ascii="Arial" w:hAnsi="Arial"/>
                <w:sz w:val="20"/>
                <w:lang w:val="pl-PL"/>
              </w:rPr>
            </w:pPr>
            <w:r w:rsidRPr="00765C97">
              <w:rPr>
                <w:rFonts w:ascii="Arial" w:hAnsi="Arial"/>
                <w:b/>
                <w:sz w:val="20"/>
                <w:lang w:val="pl-PL"/>
              </w:rPr>
              <w:t>31 grudnia 20</w:t>
            </w:r>
            <w:r w:rsidR="00C36604" w:rsidRPr="00765C97">
              <w:rPr>
                <w:rFonts w:ascii="Arial" w:hAnsi="Arial"/>
                <w:b/>
                <w:sz w:val="20"/>
                <w:lang w:val="pl-PL"/>
              </w:rPr>
              <w:t>11</w:t>
            </w:r>
            <w:r w:rsidRPr="00765C97">
              <w:rPr>
                <w:rFonts w:ascii="Arial" w:hAnsi="Arial"/>
                <w:b/>
                <w:sz w:val="20"/>
                <w:lang w:val="pl-PL"/>
              </w:rPr>
              <w:t xml:space="preserve"> r.</w:t>
            </w:r>
          </w:p>
        </w:tc>
      </w:tr>
      <w:tr w:rsidR="006C5B07" w:rsidRPr="00765C97">
        <w:trPr>
          <w:trHeight w:val="255"/>
        </w:trPr>
        <w:tc>
          <w:tcPr>
            <w:tcW w:w="4498" w:type="dxa"/>
            <w:vAlign w:val="center"/>
          </w:tcPr>
          <w:p w:rsidR="006C5B07" w:rsidRPr="00765C97" w:rsidRDefault="006C5B07">
            <w:pPr>
              <w:ind w:left="-108"/>
              <w:rPr>
                <w:rFonts w:ascii="Arial" w:hAnsi="Arial"/>
                <w:b/>
                <w:sz w:val="20"/>
                <w:lang w:val="pl-PL"/>
              </w:rPr>
            </w:pPr>
            <w:r w:rsidRPr="00765C97">
              <w:rPr>
                <w:rFonts w:ascii="Arial" w:hAnsi="Arial"/>
                <w:b/>
                <w:sz w:val="20"/>
                <w:lang w:val="pl-PL"/>
              </w:rPr>
              <w:t>Aktywa finansowe</w:t>
            </w:r>
          </w:p>
        </w:tc>
        <w:tc>
          <w:tcPr>
            <w:tcW w:w="1843" w:type="dxa"/>
            <w:vAlign w:val="center"/>
          </w:tcPr>
          <w:p w:rsidR="006C5B07" w:rsidRPr="00765C97" w:rsidRDefault="006C5B07">
            <w:pPr>
              <w:jc w:val="right"/>
              <w:rPr>
                <w:rFonts w:ascii="Arial" w:hAnsi="Arial"/>
                <w:sz w:val="20"/>
                <w:lang w:val="pl-PL"/>
              </w:rPr>
            </w:pPr>
          </w:p>
        </w:tc>
        <w:tc>
          <w:tcPr>
            <w:tcW w:w="1843" w:type="dxa"/>
            <w:vAlign w:val="center"/>
          </w:tcPr>
          <w:p w:rsidR="006C5B07" w:rsidRPr="00765C97" w:rsidRDefault="006C5B07" w:rsidP="006C5B07">
            <w:pPr>
              <w:jc w:val="right"/>
              <w:rPr>
                <w:rFonts w:ascii="Arial" w:hAnsi="Arial"/>
                <w:sz w:val="20"/>
                <w:lang w:val="pl-PL"/>
              </w:rPr>
            </w:pPr>
          </w:p>
        </w:tc>
      </w:tr>
      <w:tr w:rsidR="00C36604" w:rsidRPr="00765C97">
        <w:trPr>
          <w:trHeight w:val="255"/>
        </w:trPr>
        <w:tc>
          <w:tcPr>
            <w:tcW w:w="4498" w:type="dxa"/>
            <w:vAlign w:val="center"/>
          </w:tcPr>
          <w:p w:rsidR="00C36604" w:rsidRPr="00765C97" w:rsidRDefault="00C36604">
            <w:pPr>
              <w:ind w:left="-108"/>
              <w:rPr>
                <w:rFonts w:ascii="Arial" w:hAnsi="Arial"/>
                <w:sz w:val="20"/>
                <w:lang w:val="pl-PL"/>
              </w:rPr>
            </w:pPr>
            <w:r w:rsidRPr="00765C97">
              <w:rPr>
                <w:rFonts w:ascii="Arial" w:hAnsi="Arial"/>
                <w:sz w:val="20"/>
                <w:lang w:val="pl-PL"/>
              </w:rPr>
              <w:t>Wyceniane w wartości godziwej przez rachunek zysków i strat</w:t>
            </w:r>
          </w:p>
        </w:tc>
        <w:tc>
          <w:tcPr>
            <w:tcW w:w="1843" w:type="dxa"/>
            <w:vAlign w:val="center"/>
          </w:tcPr>
          <w:p w:rsidR="00C36604" w:rsidRPr="00765C97" w:rsidRDefault="008B52C0">
            <w:pPr>
              <w:jc w:val="right"/>
              <w:rPr>
                <w:rFonts w:ascii="Arial" w:hAnsi="Arial"/>
                <w:sz w:val="20"/>
                <w:lang w:val="pl-PL"/>
              </w:rPr>
            </w:pPr>
            <w:r w:rsidRPr="00765C97">
              <w:rPr>
                <w:rFonts w:ascii="Arial" w:hAnsi="Arial"/>
                <w:sz w:val="20"/>
                <w:lang w:val="pl-PL"/>
              </w:rPr>
              <w:t>1 059</w:t>
            </w:r>
          </w:p>
        </w:tc>
        <w:tc>
          <w:tcPr>
            <w:tcW w:w="1843" w:type="dxa"/>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w:t>
            </w:r>
          </w:p>
        </w:tc>
      </w:tr>
      <w:tr w:rsidR="00C36604" w:rsidRPr="00765C97">
        <w:trPr>
          <w:trHeight w:val="255"/>
        </w:trPr>
        <w:tc>
          <w:tcPr>
            <w:tcW w:w="4498" w:type="dxa"/>
            <w:vAlign w:val="center"/>
          </w:tcPr>
          <w:p w:rsidR="00C36604" w:rsidRPr="00765C97" w:rsidRDefault="00C36604">
            <w:pPr>
              <w:ind w:left="-108"/>
              <w:rPr>
                <w:rFonts w:ascii="Arial" w:hAnsi="Arial"/>
                <w:sz w:val="20"/>
                <w:lang w:val="pl-PL"/>
              </w:rPr>
            </w:pPr>
            <w:r w:rsidRPr="00765C97">
              <w:rPr>
                <w:rFonts w:ascii="Arial" w:hAnsi="Arial"/>
                <w:sz w:val="20"/>
                <w:lang w:val="pl-PL"/>
              </w:rPr>
              <w:t>Instrumenty pochodne pozostające w powiązaniach zabezpieczających</w:t>
            </w:r>
          </w:p>
        </w:tc>
        <w:tc>
          <w:tcPr>
            <w:tcW w:w="1843" w:type="dxa"/>
            <w:vAlign w:val="center"/>
          </w:tcPr>
          <w:p w:rsidR="00C36604" w:rsidRPr="00765C97" w:rsidRDefault="008B52C0">
            <w:pPr>
              <w:jc w:val="right"/>
              <w:rPr>
                <w:rFonts w:ascii="Arial" w:hAnsi="Arial"/>
                <w:sz w:val="20"/>
                <w:lang w:val="pl-PL"/>
              </w:rPr>
            </w:pPr>
            <w:r w:rsidRPr="00765C97">
              <w:rPr>
                <w:rFonts w:ascii="Arial" w:hAnsi="Arial"/>
                <w:sz w:val="20"/>
                <w:lang w:val="pl-PL"/>
              </w:rPr>
              <w:t>-</w:t>
            </w:r>
          </w:p>
        </w:tc>
        <w:tc>
          <w:tcPr>
            <w:tcW w:w="1843" w:type="dxa"/>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w:t>
            </w:r>
          </w:p>
        </w:tc>
      </w:tr>
      <w:tr w:rsidR="00C36604" w:rsidRPr="00765C97">
        <w:trPr>
          <w:trHeight w:val="255"/>
        </w:trPr>
        <w:tc>
          <w:tcPr>
            <w:tcW w:w="4498" w:type="dxa"/>
            <w:vAlign w:val="center"/>
          </w:tcPr>
          <w:p w:rsidR="00C36604" w:rsidRPr="00765C97" w:rsidRDefault="00C36604">
            <w:pPr>
              <w:ind w:left="-108"/>
              <w:rPr>
                <w:rFonts w:ascii="Arial" w:hAnsi="Arial"/>
                <w:sz w:val="20"/>
                <w:lang w:val="pl-PL"/>
              </w:rPr>
            </w:pPr>
            <w:r w:rsidRPr="00765C97">
              <w:rPr>
                <w:rFonts w:ascii="Arial" w:hAnsi="Arial"/>
                <w:sz w:val="20"/>
                <w:lang w:val="pl-PL"/>
              </w:rPr>
              <w:t xml:space="preserve">Inwestycje utrzymywane do zapadalności </w:t>
            </w:r>
          </w:p>
        </w:tc>
        <w:tc>
          <w:tcPr>
            <w:tcW w:w="1843" w:type="dxa"/>
            <w:vAlign w:val="center"/>
          </w:tcPr>
          <w:p w:rsidR="00C36604" w:rsidRPr="00765C97" w:rsidRDefault="008B52C0">
            <w:pPr>
              <w:jc w:val="right"/>
              <w:rPr>
                <w:rFonts w:ascii="Arial" w:hAnsi="Arial"/>
                <w:sz w:val="20"/>
                <w:lang w:val="pl-PL"/>
              </w:rPr>
            </w:pPr>
            <w:r w:rsidRPr="00765C97">
              <w:rPr>
                <w:rFonts w:ascii="Arial" w:hAnsi="Arial"/>
                <w:sz w:val="20"/>
                <w:lang w:val="pl-PL"/>
              </w:rPr>
              <w:t>-</w:t>
            </w:r>
          </w:p>
        </w:tc>
        <w:tc>
          <w:tcPr>
            <w:tcW w:w="1843" w:type="dxa"/>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w:t>
            </w:r>
          </w:p>
        </w:tc>
      </w:tr>
      <w:tr w:rsidR="00C36604" w:rsidRPr="00765C97">
        <w:trPr>
          <w:trHeight w:val="255"/>
        </w:trPr>
        <w:tc>
          <w:tcPr>
            <w:tcW w:w="4498" w:type="dxa"/>
            <w:vAlign w:val="center"/>
          </w:tcPr>
          <w:p w:rsidR="00C36604" w:rsidRPr="00765C97" w:rsidRDefault="00C36604" w:rsidP="00A17B6B">
            <w:pPr>
              <w:ind w:left="-108"/>
              <w:rPr>
                <w:rFonts w:ascii="Arial" w:hAnsi="Arial"/>
                <w:sz w:val="20"/>
                <w:lang w:val="pl-PL"/>
              </w:rPr>
            </w:pPr>
            <w:r w:rsidRPr="00765C97">
              <w:rPr>
                <w:rFonts w:ascii="Arial" w:hAnsi="Arial"/>
                <w:sz w:val="20"/>
                <w:lang w:val="pl-PL"/>
              </w:rPr>
              <w:t>Należności własne oraz środki pieniężne i ich ekwiwalenty</w:t>
            </w:r>
          </w:p>
        </w:tc>
        <w:tc>
          <w:tcPr>
            <w:tcW w:w="1843" w:type="dxa"/>
            <w:vAlign w:val="center"/>
          </w:tcPr>
          <w:p w:rsidR="00C36604" w:rsidRPr="00765C97" w:rsidRDefault="008B52C0" w:rsidP="00F556E5">
            <w:pPr>
              <w:jc w:val="right"/>
              <w:rPr>
                <w:rFonts w:ascii="Arial" w:hAnsi="Arial"/>
                <w:sz w:val="20"/>
                <w:lang w:val="pl-PL"/>
              </w:rPr>
            </w:pPr>
            <w:r w:rsidRPr="00765C97">
              <w:rPr>
                <w:rFonts w:ascii="Arial" w:hAnsi="Arial"/>
                <w:sz w:val="20"/>
                <w:lang w:val="pl-PL"/>
              </w:rPr>
              <w:t>544 000</w:t>
            </w:r>
          </w:p>
        </w:tc>
        <w:tc>
          <w:tcPr>
            <w:tcW w:w="1843" w:type="dxa"/>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489 805</w:t>
            </w:r>
          </w:p>
        </w:tc>
      </w:tr>
      <w:tr w:rsidR="00C36604" w:rsidRPr="00765C97" w:rsidTr="008030BE">
        <w:trPr>
          <w:trHeight w:val="255"/>
        </w:trPr>
        <w:tc>
          <w:tcPr>
            <w:tcW w:w="4498" w:type="dxa"/>
            <w:vAlign w:val="center"/>
          </w:tcPr>
          <w:p w:rsidR="00C36604" w:rsidRPr="00765C97" w:rsidRDefault="00C36604">
            <w:pPr>
              <w:ind w:left="-108"/>
              <w:rPr>
                <w:rFonts w:ascii="Arial" w:hAnsi="Arial"/>
                <w:sz w:val="20"/>
                <w:lang w:val="pl-PL"/>
              </w:rPr>
            </w:pPr>
            <w:r w:rsidRPr="00765C97">
              <w:rPr>
                <w:rFonts w:ascii="Arial" w:hAnsi="Arial"/>
                <w:sz w:val="20"/>
                <w:lang w:val="pl-PL"/>
              </w:rPr>
              <w:t>Aktywa finansowe dostępne do sprzedaży</w:t>
            </w:r>
          </w:p>
        </w:tc>
        <w:tc>
          <w:tcPr>
            <w:tcW w:w="1843" w:type="dxa"/>
            <w:tcBorders>
              <w:bottom w:val="single" w:sz="4" w:space="0" w:color="auto"/>
            </w:tcBorders>
            <w:vAlign w:val="center"/>
          </w:tcPr>
          <w:p w:rsidR="00C36604" w:rsidRPr="00765C97" w:rsidRDefault="008B52C0">
            <w:pPr>
              <w:jc w:val="right"/>
              <w:rPr>
                <w:rFonts w:ascii="Arial" w:hAnsi="Arial"/>
                <w:sz w:val="20"/>
                <w:lang w:val="pl-PL"/>
              </w:rPr>
            </w:pPr>
            <w:r w:rsidRPr="00765C97">
              <w:rPr>
                <w:rFonts w:ascii="Arial" w:hAnsi="Arial"/>
                <w:sz w:val="20"/>
                <w:lang w:val="pl-PL"/>
              </w:rPr>
              <w:t>1 616</w:t>
            </w:r>
          </w:p>
        </w:tc>
        <w:tc>
          <w:tcPr>
            <w:tcW w:w="1843" w:type="dxa"/>
            <w:tcBorders>
              <w:bottom w:val="single" w:sz="4" w:space="0" w:color="auto"/>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1 521</w:t>
            </w:r>
          </w:p>
        </w:tc>
      </w:tr>
      <w:tr w:rsidR="00C36604" w:rsidRPr="00765C97" w:rsidTr="008030BE">
        <w:trPr>
          <w:trHeight w:val="255"/>
        </w:trPr>
        <w:tc>
          <w:tcPr>
            <w:tcW w:w="4498" w:type="dxa"/>
            <w:vAlign w:val="center"/>
          </w:tcPr>
          <w:p w:rsidR="00C36604" w:rsidRPr="00765C97" w:rsidRDefault="00C36604">
            <w:pPr>
              <w:ind w:left="-108"/>
              <w:rPr>
                <w:rFonts w:ascii="Arial" w:hAnsi="Arial"/>
                <w:sz w:val="20"/>
                <w:lang w:val="pl-PL"/>
              </w:rPr>
            </w:pPr>
            <w:r w:rsidRPr="00765C97">
              <w:rPr>
                <w:rFonts w:ascii="Arial" w:hAnsi="Arial"/>
                <w:b/>
                <w:sz w:val="20"/>
                <w:lang w:val="pl-PL"/>
              </w:rPr>
              <w:t>Razem</w:t>
            </w:r>
          </w:p>
        </w:tc>
        <w:tc>
          <w:tcPr>
            <w:tcW w:w="1843" w:type="dxa"/>
            <w:tcBorders>
              <w:top w:val="single" w:sz="4" w:space="0" w:color="auto"/>
              <w:bottom w:val="single" w:sz="4" w:space="0" w:color="auto"/>
            </w:tcBorders>
            <w:vAlign w:val="center"/>
          </w:tcPr>
          <w:p w:rsidR="00C36604" w:rsidRPr="00765C97" w:rsidRDefault="008B52C0" w:rsidP="00DE25AD">
            <w:pPr>
              <w:jc w:val="right"/>
              <w:rPr>
                <w:rFonts w:ascii="Arial" w:hAnsi="Arial"/>
                <w:b/>
                <w:sz w:val="20"/>
                <w:lang w:val="pl-PL"/>
              </w:rPr>
            </w:pPr>
            <w:r w:rsidRPr="00765C97">
              <w:rPr>
                <w:rFonts w:ascii="Arial" w:hAnsi="Arial"/>
                <w:b/>
                <w:sz w:val="20"/>
                <w:lang w:val="pl-PL"/>
              </w:rPr>
              <w:t>54</w:t>
            </w:r>
            <w:r w:rsidR="00DE25AD" w:rsidRPr="00765C97">
              <w:rPr>
                <w:rFonts w:ascii="Arial" w:hAnsi="Arial"/>
                <w:b/>
                <w:sz w:val="20"/>
                <w:lang w:val="pl-PL"/>
              </w:rPr>
              <w:t>6</w:t>
            </w:r>
            <w:r w:rsidRPr="00765C97">
              <w:rPr>
                <w:rFonts w:ascii="Arial" w:hAnsi="Arial"/>
                <w:b/>
                <w:sz w:val="20"/>
                <w:lang w:val="pl-PL"/>
              </w:rPr>
              <w:t xml:space="preserve"> 675</w:t>
            </w:r>
          </w:p>
        </w:tc>
        <w:tc>
          <w:tcPr>
            <w:tcW w:w="1843" w:type="dxa"/>
            <w:tcBorders>
              <w:top w:val="single" w:sz="4" w:space="0" w:color="auto"/>
              <w:bottom w:val="single" w:sz="4" w:space="0" w:color="auto"/>
            </w:tcBorders>
            <w:vAlign w:val="center"/>
          </w:tcPr>
          <w:p w:rsidR="00C36604" w:rsidRPr="00765C97" w:rsidRDefault="00C36604" w:rsidP="00385F70">
            <w:pPr>
              <w:jc w:val="right"/>
              <w:rPr>
                <w:rFonts w:ascii="Arial" w:hAnsi="Arial"/>
                <w:b/>
                <w:sz w:val="20"/>
                <w:lang w:val="pl-PL"/>
              </w:rPr>
            </w:pPr>
            <w:r w:rsidRPr="00765C97">
              <w:rPr>
                <w:rFonts w:ascii="Arial" w:hAnsi="Arial"/>
                <w:b/>
                <w:sz w:val="20"/>
                <w:lang w:val="pl-PL"/>
              </w:rPr>
              <w:t>491 326</w:t>
            </w:r>
          </w:p>
        </w:tc>
      </w:tr>
      <w:tr w:rsidR="00C36604" w:rsidRPr="00765C97" w:rsidTr="008030BE">
        <w:trPr>
          <w:trHeight w:val="255"/>
        </w:trPr>
        <w:tc>
          <w:tcPr>
            <w:tcW w:w="4498" w:type="dxa"/>
            <w:vAlign w:val="center"/>
          </w:tcPr>
          <w:p w:rsidR="00C36604" w:rsidRPr="00765C97" w:rsidRDefault="00C36604">
            <w:pPr>
              <w:ind w:left="-108"/>
              <w:rPr>
                <w:rFonts w:ascii="Arial" w:hAnsi="Arial"/>
                <w:sz w:val="20"/>
                <w:lang w:val="pl-PL"/>
              </w:rPr>
            </w:pPr>
          </w:p>
        </w:tc>
        <w:tc>
          <w:tcPr>
            <w:tcW w:w="1843" w:type="dxa"/>
            <w:tcBorders>
              <w:top w:val="single" w:sz="4" w:space="0" w:color="auto"/>
            </w:tcBorders>
            <w:vAlign w:val="center"/>
          </w:tcPr>
          <w:p w:rsidR="00C36604" w:rsidRPr="00765C97" w:rsidRDefault="00C36604">
            <w:pPr>
              <w:jc w:val="right"/>
              <w:rPr>
                <w:rFonts w:ascii="Arial" w:hAnsi="Arial"/>
                <w:sz w:val="20"/>
                <w:lang w:val="pl-PL"/>
              </w:rPr>
            </w:pPr>
          </w:p>
        </w:tc>
        <w:tc>
          <w:tcPr>
            <w:tcW w:w="1843" w:type="dxa"/>
            <w:tcBorders>
              <w:top w:val="single" w:sz="4" w:space="0" w:color="auto"/>
            </w:tcBorders>
            <w:vAlign w:val="center"/>
          </w:tcPr>
          <w:p w:rsidR="00C36604" w:rsidRPr="00765C97" w:rsidRDefault="00C36604" w:rsidP="00385F70">
            <w:pPr>
              <w:jc w:val="right"/>
              <w:rPr>
                <w:rFonts w:ascii="Arial" w:hAnsi="Arial"/>
                <w:sz w:val="20"/>
                <w:lang w:val="pl-PL"/>
              </w:rPr>
            </w:pPr>
          </w:p>
        </w:tc>
      </w:tr>
      <w:tr w:rsidR="00C36604" w:rsidRPr="00765C97">
        <w:trPr>
          <w:trHeight w:val="255"/>
        </w:trPr>
        <w:tc>
          <w:tcPr>
            <w:tcW w:w="4498" w:type="dxa"/>
            <w:vAlign w:val="center"/>
          </w:tcPr>
          <w:p w:rsidR="00C36604" w:rsidRPr="00765C97" w:rsidRDefault="00C36604">
            <w:pPr>
              <w:ind w:left="-108"/>
              <w:rPr>
                <w:rFonts w:ascii="Arial" w:hAnsi="Arial"/>
                <w:b/>
                <w:sz w:val="20"/>
                <w:lang w:val="pl-PL"/>
              </w:rPr>
            </w:pPr>
            <w:r w:rsidRPr="00765C97">
              <w:rPr>
                <w:rFonts w:ascii="Arial" w:hAnsi="Arial"/>
                <w:b/>
                <w:sz w:val="20"/>
                <w:lang w:val="pl-PL"/>
              </w:rPr>
              <w:t>Zobowiązania finansowe</w:t>
            </w:r>
          </w:p>
        </w:tc>
        <w:tc>
          <w:tcPr>
            <w:tcW w:w="1843" w:type="dxa"/>
            <w:vAlign w:val="center"/>
          </w:tcPr>
          <w:p w:rsidR="00C36604" w:rsidRPr="00765C97" w:rsidRDefault="00C36604">
            <w:pPr>
              <w:jc w:val="right"/>
              <w:rPr>
                <w:rFonts w:ascii="Arial" w:hAnsi="Arial"/>
                <w:sz w:val="20"/>
                <w:lang w:val="pl-PL"/>
              </w:rPr>
            </w:pPr>
          </w:p>
        </w:tc>
        <w:tc>
          <w:tcPr>
            <w:tcW w:w="1843" w:type="dxa"/>
            <w:vAlign w:val="center"/>
          </w:tcPr>
          <w:p w:rsidR="00C36604" w:rsidRPr="00765C97" w:rsidRDefault="00C36604" w:rsidP="00385F70">
            <w:pPr>
              <w:jc w:val="right"/>
              <w:rPr>
                <w:rFonts w:ascii="Arial" w:hAnsi="Arial"/>
                <w:sz w:val="20"/>
                <w:lang w:val="pl-PL"/>
              </w:rPr>
            </w:pPr>
          </w:p>
        </w:tc>
      </w:tr>
      <w:tr w:rsidR="00C36604" w:rsidRPr="00765C97">
        <w:trPr>
          <w:trHeight w:val="255"/>
        </w:trPr>
        <w:tc>
          <w:tcPr>
            <w:tcW w:w="4498" w:type="dxa"/>
            <w:vAlign w:val="center"/>
          </w:tcPr>
          <w:p w:rsidR="00C36604" w:rsidRPr="00765C97" w:rsidRDefault="00C36604">
            <w:pPr>
              <w:ind w:left="-108"/>
              <w:rPr>
                <w:rFonts w:ascii="Arial" w:hAnsi="Arial"/>
                <w:sz w:val="20"/>
                <w:lang w:val="pl-PL"/>
              </w:rPr>
            </w:pPr>
            <w:r w:rsidRPr="00765C97">
              <w:rPr>
                <w:rFonts w:ascii="Arial" w:hAnsi="Arial"/>
                <w:sz w:val="20"/>
                <w:lang w:val="pl-PL"/>
              </w:rPr>
              <w:t>Wyceniane w wartości godziwej przez rachunek zysków i strat</w:t>
            </w:r>
          </w:p>
        </w:tc>
        <w:tc>
          <w:tcPr>
            <w:tcW w:w="1843" w:type="dxa"/>
            <w:vAlign w:val="center"/>
          </w:tcPr>
          <w:p w:rsidR="00C36604" w:rsidRPr="00765C97" w:rsidRDefault="00D457C3">
            <w:pPr>
              <w:jc w:val="right"/>
              <w:rPr>
                <w:rFonts w:ascii="Arial" w:hAnsi="Arial"/>
                <w:sz w:val="20"/>
                <w:lang w:val="pl-PL"/>
              </w:rPr>
            </w:pPr>
            <w:r w:rsidRPr="00765C97">
              <w:rPr>
                <w:rFonts w:ascii="Arial" w:hAnsi="Arial"/>
                <w:sz w:val="20"/>
                <w:lang w:val="pl-PL"/>
              </w:rPr>
              <w:t>-</w:t>
            </w:r>
          </w:p>
        </w:tc>
        <w:tc>
          <w:tcPr>
            <w:tcW w:w="1843" w:type="dxa"/>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686</w:t>
            </w:r>
          </w:p>
        </w:tc>
      </w:tr>
      <w:tr w:rsidR="00D457C3" w:rsidRPr="00765C97">
        <w:trPr>
          <w:trHeight w:val="255"/>
        </w:trPr>
        <w:tc>
          <w:tcPr>
            <w:tcW w:w="4498" w:type="dxa"/>
            <w:vAlign w:val="center"/>
          </w:tcPr>
          <w:p w:rsidR="00D457C3" w:rsidRPr="00765C97" w:rsidRDefault="00D457C3">
            <w:pPr>
              <w:ind w:left="-108"/>
              <w:rPr>
                <w:rFonts w:ascii="Arial" w:hAnsi="Arial"/>
                <w:sz w:val="20"/>
                <w:lang w:val="pl-PL"/>
              </w:rPr>
            </w:pPr>
            <w:r w:rsidRPr="00765C97">
              <w:rPr>
                <w:rFonts w:ascii="Arial" w:hAnsi="Arial"/>
                <w:sz w:val="20"/>
                <w:lang w:val="pl-PL"/>
              </w:rPr>
              <w:t>Zobowiązania z tytułu e-financingu</w:t>
            </w:r>
          </w:p>
        </w:tc>
        <w:tc>
          <w:tcPr>
            <w:tcW w:w="1843" w:type="dxa"/>
            <w:vAlign w:val="center"/>
          </w:tcPr>
          <w:p w:rsidR="00D457C3" w:rsidRPr="00765C97" w:rsidRDefault="00D457C3">
            <w:pPr>
              <w:jc w:val="right"/>
              <w:rPr>
                <w:rFonts w:ascii="Arial" w:hAnsi="Arial"/>
                <w:sz w:val="20"/>
                <w:lang w:val="pl-PL"/>
              </w:rPr>
            </w:pPr>
            <w:r w:rsidRPr="00765C97">
              <w:rPr>
                <w:rFonts w:ascii="Arial" w:hAnsi="Arial"/>
                <w:sz w:val="20"/>
                <w:lang w:val="pl-PL"/>
              </w:rPr>
              <w:t>180</w:t>
            </w:r>
          </w:p>
        </w:tc>
        <w:tc>
          <w:tcPr>
            <w:tcW w:w="1843" w:type="dxa"/>
            <w:vAlign w:val="center"/>
          </w:tcPr>
          <w:p w:rsidR="00D457C3" w:rsidRPr="00765C97" w:rsidRDefault="00D457C3" w:rsidP="00385F70">
            <w:pPr>
              <w:jc w:val="right"/>
              <w:rPr>
                <w:rFonts w:ascii="Arial" w:hAnsi="Arial"/>
                <w:sz w:val="20"/>
                <w:lang w:val="pl-PL"/>
              </w:rPr>
            </w:pPr>
            <w:r w:rsidRPr="00765C97">
              <w:rPr>
                <w:rFonts w:ascii="Arial" w:hAnsi="Arial"/>
                <w:sz w:val="20"/>
                <w:lang w:val="pl-PL"/>
              </w:rPr>
              <w:t>-</w:t>
            </w:r>
          </w:p>
        </w:tc>
      </w:tr>
      <w:tr w:rsidR="00C36604" w:rsidRPr="00765C97">
        <w:trPr>
          <w:trHeight w:val="255"/>
        </w:trPr>
        <w:tc>
          <w:tcPr>
            <w:tcW w:w="4498" w:type="dxa"/>
            <w:vAlign w:val="center"/>
          </w:tcPr>
          <w:p w:rsidR="00C36604" w:rsidRPr="00765C97" w:rsidRDefault="00C36604">
            <w:pPr>
              <w:ind w:left="-108"/>
              <w:rPr>
                <w:rFonts w:ascii="Arial" w:hAnsi="Arial"/>
                <w:sz w:val="20"/>
                <w:lang w:val="pl-PL"/>
              </w:rPr>
            </w:pPr>
            <w:r w:rsidRPr="00765C97">
              <w:rPr>
                <w:rFonts w:ascii="Arial" w:hAnsi="Arial"/>
                <w:sz w:val="20"/>
                <w:lang w:val="pl-PL"/>
              </w:rPr>
              <w:t>Instrumenty pochodne pozostające w powiązaniach zabezpieczających</w:t>
            </w:r>
          </w:p>
        </w:tc>
        <w:tc>
          <w:tcPr>
            <w:tcW w:w="1843" w:type="dxa"/>
            <w:vAlign w:val="center"/>
          </w:tcPr>
          <w:p w:rsidR="00C36604" w:rsidRPr="00765C97" w:rsidRDefault="0079039A">
            <w:pPr>
              <w:jc w:val="right"/>
              <w:rPr>
                <w:rFonts w:ascii="Arial" w:hAnsi="Arial"/>
                <w:sz w:val="20"/>
                <w:lang w:val="pl-PL"/>
              </w:rPr>
            </w:pPr>
            <w:r w:rsidRPr="00765C97">
              <w:rPr>
                <w:rFonts w:ascii="Arial" w:hAnsi="Arial"/>
                <w:sz w:val="20"/>
                <w:lang w:val="pl-PL"/>
              </w:rPr>
              <w:t>-</w:t>
            </w:r>
          </w:p>
        </w:tc>
        <w:tc>
          <w:tcPr>
            <w:tcW w:w="1843" w:type="dxa"/>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w:t>
            </w:r>
          </w:p>
        </w:tc>
      </w:tr>
      <w:tr w:rsidR="00C36604" w:rsidRPr="00765C97">
        <w:trPr>
          <w:trHeight w:val="255"/>
        </w:trPr>
        <w:tc>
          <w:tcPr>
            <w:tcW w:w="4498" w:type="dxa"/>
            <w:vAlign w:val="center"/>
          </w:tcPr>
          <w:p w:rsidR="00C36604" w:rsidRPr="00765C97" w:rsidRDefault="00C36604">
            <w:pPr>
              <w:ind w:left="-108"/>
              <w:rPr>
                <w:rFonts w:ascii="Arial" w:hAnsi="Arial"/>
                <w:i/>
                <w:sz w:val="20"/>
                <w:lang w:val="pl-PL"/>
              </w:rPr>
            </w:pPr>
            <w:r w:rsidRPr="00765C97">
              <w:rPr>
                <w:rFonts w:ascii="Arial" w:hAnsi="Arial"/>
                <w:sz w:val="20"/>
                <w:lang w:val="pl-PL"/>
              </w:rPr>
              <w:t>Zobowiązania finansowe</w:t>
            </w:r>
          </w:p>
        </w:tc>
        <w:tc>
          <w:tcPr>
            <w:tcW w:w="1843" w:type="dxa"/>
            <w:vAlign w:val="center"/>
          </w:tcPr>
          <w:p w:rsidR="00C36604" w:rsidRPr="00765C97" w:rsidRDefault="00881FB5" w:rsidP="00F556E5">
            <w:pPr>
              <w:jc w:val="right"/>
              <w:rPr>
                <w:rFonts w:ascii="Arial" w:hAnsi="Arial"/>
                <w:sz w:val="20"/>
                <w:lang w:val="pl-PL"/>
              </w:rPr>
            </w:pPr>
            <w:r w:rsidRPr="00765C97">
              <w:rPr>
                <w:rFonts w:ascii="Arial" w:hAnsi="Arial"/>
                <w:sz w:val="20"/>
                <w:lang w:val="pl-PL"/>
              </w:rPr>
              <w:t>363 533</w:t>
            </w:r>
          </w:p>
        </w:tc>
        <w:tc>
          <w:tcPr>
            <w:tcW w:w="1843" w:type="dxa"/>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262 662</w:t>
            </w:r>
          </w:p>
        </w:tc>
      </w:tr>
      <w:tr w:rsidR="00C36604" w:rsidRPr="00765C97" w:rsidTr="008030BE">
        <w:trPr>
          <w:trHeight w:val="255"/>
        </w:trPr>
        <w:tc>
          <w:tcPr>
            <w:tcW w:w="4498" w:type="dxa"/>
            <w:vAlign w:val="center"/>
          </w:tcPr>
          <w:p w:rsidR="00C36604" w:rsidRPr="00765C97" w:rsidRDefault="00C36604">
            <w:pPr>
              <w:ind w:left="-108"/>
              <w:rPr>
                <w:rFonts w:ascii="Arial" w:hAnsi="Arial"/>
                <w:i/>
                <w:sz w:val="20"/>
                <w:lang w:val="pl-PL"/>
              </w:rPr>
            </w:pPr>
            <w:r w:rsidRPr="00765C97">
              <w:rPr>
                <w:rFonts w:ascii="Arial" w:hAnsi="Arial"/>
                <w:sz w:val="20"/>
                <w:lang w:val="pl-PL"/>
              </w:rPr>
              <w:t>Umowy gwarancji finansowych</w:t>
            </w:r>
          </w:p>
        </w:tc>
        <w:tc>
          <w:tcPr>
            <w:tcW w:w="1843" w:type="dxa"/>
            <w:tcBorders>
              <w:bottom w:val="single" w:sz="4" w:space="0" w:color="auto"/>
            </w:tcBorders>
            <w:vAlign w:val="center"/>
          </w:tcPr>
          <w:p w:rsidR="00C36604" w:rsidRPr="00765C97" w:rsidRDefault="0079039A" w:rsidP="0079039A">
            <w:pPr>
              <w:jc w:val="right"/>
              <w:rPr>
                <w:rFonts w:ascii="Arial" w:hAnsi="Arial"/>
                <w:sz w:val="20"/>
                <w:lang w:val="pl-PL"/>
              </w:rPr>
            </w:pPr>
            <w:r w:rsidRPr="00765C97">
              <w:rPr>
                <w:rFonts w:ascii="Arial" w:hAnsi="Arial"/>
                <w:sz w:val="20"/>
                <w:lang w:val="pl-PL"/>
              </w:rPr>
              <w:t>-</w:t>
            </w:r>
          </w:p>
        </w:tc>
        <w:tc>
          <w:tcPr>
            <w:tcW w:w="1843" w:type="dxa"/>
            <w:tcBorders>
              <w:bottom w:val="single" w:sz="4" w:space="0" w:color="auto"/>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w:t>
            </w:r>
          </w:p>
        </w:tc>
      </w:tr>
      <w:tr w:rsidR="00C36604" w:rsidRPr="00765C97" w:rsidTr="008030BE">
        <w:trPr>
          <w:trHeight w:val="255"/>
        </w:trPr>
        <w:tc>
          <w:tcPr>
            <w:tcW w:w="4498" w:type="dxa"/>
            <w:vAlign w:val="center"/>
          </w:tcPr>
          <w:p w:rsidR="00C36604" w:rsidRPr="00765C97" w:rsidRDefault="00C36604">
            <w:pPr>
              <w:ind w:left="-108"/>
              <w:rPr>
                <w:rFonts w:ascii="Arial" w:hAnsi="Arial"/>
                <w:b/>
                <w:sz w:val="20"/>
                <w:lang w:val="pl-PL"/>
              </w:rPr>
            </w:pPr>
            <w:r w:rsidRPr="00765C97">
              <w:rPr>
                <w:rFonts w:ascii="Arial" w:hAnsi="Arial"/>
                <w:b/>
                <w:sz w:val="20"/>
                <w:lang w:val="pl-PL"/>
              </w:rPr>
              <w:t>Razem</w:t>
            </w:r>
          </w:p>
        </w:tc>
        <w:tc>
          <w:tcPr>
            <w:tcW w:w="1843" w:type="dxa"/>
            <w:tcBorders>
              <w:top w:val="single" w:sz="4" w:space="0" w:color="auto"/>
              <w:bottom w:val="single" w:sz="4" w:space="0" w:color="auto"/>
            </w:tcBorders>
            <w:vAlign w:val="center"/>
          </w:tcPr>
          <w:p w:rsidR="00C36604" w:rsidRPr="00765C97" w:rsidRDefault="00881FB5" w:rsidP="003D5E60">
            <w:pPr>
              <w:jc w:val="right"/>
              <w:rPr>
                <w:rFonts w:ascii="Arial" w:hAnsi="Arial"/>
                <w:b/>
                <w:sz w:val="20"/>
                <w:lang w:val="pl-PL"/>
              </w:rPr>
            </w:pPr>
            <w:r w:rsidRPr="00765C97">
              <w:rPr>
                <w:rFonts w:ascii="Arial" w:hAnsi="Arial"/>
                <w:b/>
                <w:sz w:val="20"/>
                <w:lang w:val="pl-PL"/>
              </w:rPr>
              <w:t>363 713</w:t>
            </w:r>
          </w:p>
        </w:tc>
        <w:tc>
          <w:tcPr>
            <w:tcW w:w="1843" w:type="dxa"/>
            <w:tcBorders>
              <w:top w:val="single" w:sz="4" w:space="0" w:color="auto"/>
              <w:bottom w:val="single" w:sz="4" w:space="0" w:color="auto"/>
            </w:tcBorders>
            <w:vAlign w:val="center"/>
          </w:tcPr>
          <w:p w:rsidR="00C36604" w:rsidRPr="00765C97" w:rsidRDefault="00C36604" w:rsidP="00385F70">
            <w:pPr>
              <w:jc w:val="right"/>
              <w:rPr>
                <w:rFonts w:ascii="Arial" w:hAnsi="Arial"/>
                <w:b/>
                <w:sz w:val="20"/>
                <w:lang w:val="pl-PL"/>
              </w:rPr>
            </w:pPr>
            <w:r w:rsidRPr="00765C97">
              <w:rPr>
                <w:rFonts w:ascii="Arial" w:hAnsi="Arial"/>
                <w:b/>
                <w:sz w:val="20"/>
                <w:lang w:val="pl-PL"/>
              </w:rPr>
              <w:t>263 348</w:t>
            </w:r>
          </w:p>
        </w:tc>
      </w:tr>
    </w:tbl>
    <w:p w:rsidR="00C404B6" w:rsidRPr="00765C97" w:rsidRDefault="00C404B6">
      <w:pPr>
        <w:tabs>
          <w:tab w:val="left" w:pos="8364"/>
        </w:tabs>
        <w:ind w:left="180"/>
        <w:jc w:val="both"/>
        <w:rPr>
          <w:rFonts w:ascii="Arial" w:hAnsi="Arial"/>
          <w:sz w:val="20"/>
          <w:lang w:val="pl-PL"/>
        </w:rPr>
      </w:pPr>
    </w:p>
    <w:p w:rsidR="00734AB3" w:rsidRPr="00765C97" w:rsidRDefault="00734AB3">
      <w:pPr>
        <w:tabs>
          <w:tab w:val="left" w:pos="8364"/>
        </w:tabs>
        <w:ind w:left="180"/>
        <w:jc w:val="both"/>
        <w:rPr>
          <w:rFonts w:ascii="Arial" w:hAnsi="Arial"/>
          <w:sz w:val="20"/>
          <w:lang w:val="pl-PL"/>
        </w:rPr>
      </w:pPr>
    </w:p>
    <w:p w:rsidR="00B24DA9" w:rsidRPr="00765C97" w:rsidRDefault="00B24DA9">
      <w:pPr>
        <w:tabs>
          <w:tab w:val="left" w:pos="8364"/>
        </w:tabs>
        <w:ind w:left="180"/>
        <w:jc w:val="both"/>
        <w:rPr>
          <w:rFonts w:ascii="Arial" w:hAnsi="Arial"/>
          <w:sz w:val="20"/>
          <w:lang w:val="pl-PL"/>
        </w:rPr>
      </w:pPr>
      <w:r w:rsidRPr="00765C97">
        <w:rPr>
          <w:rFonts w:ascii="Arial" w:hAnsi="Arial"/>
          <w:sz w:val="20"/>
          <w:lang w:val="pl-PL"/>
        </w:rPr>
        <w:t>W ramach poszczególnych kategorii instrumentów finansowych wyróżnia się następujące klasy instrumentów:</w:t>
      </w:r>
    </w:p>
    <w:p w:rsidR="00B24DA9" w:rsidRPr="00765C97" w:rsidRDefault="00B24DA9">
      <w:pPr>
        <w:pStyle w:val="Tekstpodstawowy"/>
        <w:ind w:firstLine="709"/>
        <w:rPr>
          <w:b w:val="0"/>
          <w:sz w:val="20"/>
        </w:rPr>
      </w:pPr>
    </w:p>
    <w:tbl>
      <w:tblPr>
        <w:tblW w:w="8184" w:type="dxa"/>
        <w:tblInd w:w="288" w:type="dxa"/>
        <w:tblLayout w:type="fixed"/>
        <w:tblLook w:val="0000"/>
      </w:tblPr>
      <w:tblGrid>
        <w:gridCol w:w="4356"/>
        <w:gridCol w:w="1942"/>
        <w:gridCol w:w="1886"/>
      </w:tblGrid>
      <w:tr w:rsidR="00B0017E" w:rsidRPr="00765C97">
        <w:trPr>
          <w:trHeight w:val="255"/>
        </w:trPr>
        <w:tc>
          <w:tcPr>
            <w:tcW w:w="4356" w:type="dxa"/>
            <w:tcBorders>
              <w:top w:val="nil"/>
              <w:left w:val="nil"/>
              <w:bottom w:val="nil"/>
              <w:right w:val="nil"/>
            </w:tcBorders>
            <w:vAlign w:val="center"/>
          </w:tcPr>
          <w:p w:rsidR="00B0017E" w:rsidRPr="00765C97" w:rsidRDefault="00B0017E">
            <w:pPr>
              <w:ind w:left="-108"/>
              <w:rPr>
                <w:rFonts w:ascii="Arial" w:hAnsi="Arial"/>
                <w:b/>
                <w:sz w:val="20"/>
                <w:lang w:val="pl-PL"/>
              </w:rPr>
            </w:pPr>
            <w:r w:rsidRPr="00765C97">
              <w:rPr>
                <w:rFonts w:ascii="Arial" w:hAnsi="Arial"/>
                <w:b/>
                <w:sz w:val="20"/>
                <w:lang w:val="pl-PL"/>
              </w:rPr>
              <w:t>Należności własne</w:t>
            </w:r>
            <w:r w:rsidR="008C40D9" w:rsidRPr="00765C97">
              <w:rPr>
                <w:rFonts w:ascii="Arial" w:hAnsi="Arial"/>
                <w:b/>
                <w:sz w:val="20"/>
                <w:lang w:val="pl-PL"/>
              </w:rPr>
              <w:t xml:space="preserve"> oraz </w:t>
            </w:r>
            <w:r w:rsidR="00AC0234" w:rsidRPr="00765C97">
              <w:rPr>
                <w:rFonts w:ascii="Arial" w:hAnsi="Arial"/>
                <w:b/>
                <w:sz w:val="20"/>
                <w:lang w:val="pl-PL"/>
              </w:rPr>
              <w:t xml:space="preserve"> środki pieniężne</w:t>
            </w:r>
            <w:r w:rsidR="008C40D9" w:rsidRPr="00765C97">
              <w:rPr>
                <w:rFonts w:ascii="Arial" w:hAnsi="Arial"/>
                <w:b/>
                <w:sz w:val="20"/>
                <w:lang w:val="pl-PL"/>
              </w:rPr>
              <w:t xml:space="preserve"> i ich ekwiwalenty</w:t>
            </w:r>
          </w:p>
        </w:tc>
        <w:tc>
          <w:tcPr>
            <w:tcW w:w="1942" w:type="dxa"/>
            <w:tcBorders>
              <w:top w:val="nil"/>
              <w:left w:val="nil"/>
              <w:bottom w:val="nil"/>
              <w:right w:val="nil"/>
            </w:tcBorders>
            <w:vAlign w:val="center"/>
          </w:tcPr>
          <w:p w:rsidR="00B0017E" w:rsidRPr="00765C97" w:rsidRDefault="00B0017E" w:rsidP="006C5B07">
            <w:pPr>
              <w:ind w:left="-148"/>
              <w:jc w:val="right"/>
              <w:rPr>
                <w:rFonts w:ascii="Arial" w:hAnsi="Arial"/>
                <w:b/>
                <w:sz w:val="20"/>
                <w:lang w:val="pl-PL"/>
              </w:rPr>
            </w:pPr>
            <w:r w:rsidRPr="00765C97">
              <w:rPr>
                <w:rFonts w:ascii="Arial" w:hAnsi="Arial"/>
                <w:b/>
                <w:sz w:val="20"/>
                <w:lang w:val="pl-PL"/>
              </w:rPr>
              <w:t>31 grudnia 201</w:t>
            </w:r>
            <w:r w:rsidR="00C36604" w:rsidRPr="00765C97">
              <w:rPr>
                <w:rFonts w:ascii="Arial" w:hAnsi="Arial"/>
                <w:b/>
                <w:sz w:val="20"/>
                <w:lang w:val="pl-PL"/>
              </w:rPr>
              <w:t>2</w:t>
            </w:r>
            <w:r w:rsidRPr="00765C97">
              <w:rPr>
                <w:rFonts w:ascii="Arial" w:hAnsi="Arial"/>
                <w:b/>
                <w:sz w:val="20"/>
                <w:lang w:val="pl-PL"/>
              </w:rPr>
              <w:t xml:space="preserve"> r.</w:t>
            </w:r>
          </w:p>
        </w:tc>
        <w:tc>
          <w:tcPr>
            <w:tcW w:w="1886" w:type="dxa"/>
            <w:tcBorders>
              <w:top w:val="nil"/>
              <w:left w:val="nil"/>
              <w:bottom w:val="nil"/>
              <w:right w:val="nil"/>
            </w:tcBorders>
            <w:vAlign w:val="center"/>
          </w:tcPr>
          <w:p w:rsidR="00B0017E" w:rsidRPr="00765C97" w:rsidRDefault="00B0017E" w:rsidP="006C5B07">
            <w:pPr>
              <w:ind w:left="-148"/>
              <w:jc w:val="right"/>
              <w:rPr>
                <w:rFonts w:ascii="Arial" w:hAnsi="Arial"/>
                <w:b/>
                <w:sz w:val="20"/>
                <w:lang w:val="pl-PL"/>
              </w:rPr>
            </w:pPr>
            <w:r w:rsidRPr="00765C97">
              <w:rPr>
                <w:rFonts w:ascii="Arial" w:hAnsi="Arial"/>
                <w:b/>
                <w:sz w:val="20"/>
                <w:lang w:val="pl-PL"/>
              </w:rPr>
              <w:t>31 grudnia 20</w:t>
            </w:r>
            <w:r w:rsidR="00C36604" w:rsidRPr="00765C97">
              <w:rPr>
                <w:rFonts w:ascii="Arial" w:hAnsi="Arial"/>
                <w:b/>
                <w:sz w:val="20"/>
                <w:lang w:val="pl-PL"/>
              </w:rPr>
              <w:t>11</w:t>
            </w:r>
            <w:r w:rsidRPr="00765C97">
              <w:rPr>
                <w:rFonts w:ascii="Arial" w:hAnsi="Arial"/>
                <w:b/>
                <w:sz w:val="20"/>
                <w:lang w:val="pl-PL"/>
              </w:rPr>
              <w:t xml:space="preserve"> r.</w:t>
            </w:r>
          </w:p>
        </w:tc>
      </w:tr>
      <w:tr w:rsidR="00C36604" w:rsidRPr="00765C97">
        <w:trPr>
          <w:trHeight w:val="255"/>
        </w:trPr>
        <w:tc>
          <w:tcPr>
            <w:tcW w:w="4356" w:type="dxa"/>
            <w:tcBorders>
              <w:top w:val="nil"/>
              <w:left w:val="nil"/>
              <w:bottom w:val="nil"/>
              <w:right w:val="nil"/>
            </w:tcBorders>
            <w:vAlign w:val="center"/>
          </w:tcPr>
          <w:p w:rsidR="00C36604" w:rsidRPr="00765C97" w:rsidRDefault="00C36604">
            <w:pPr>
              <w:ind w:left="-108"/>
              <w:rPr>
                <w:rFonts w:ascii="Arial" w:hAnsi="Arial"/>
                <w:sz w:val="20"/>
                <w:lang w:val="pl-PL"/>
              </w:rPr>
            </w:pPr>
            <w:r w:rsidRPr="00765C97">
              <w:rPr>
                <w:rFonts w:ascii="Arial" w:hAnsi="Arial"/>
                <w:sz w:val="20"/>
                <w:lang w:val="pl-PL"/>
              </w:rPr>
              <w:t xml:space="preserve">Należności od jednostek powiązanych </w:t>
            </w:r>
          </w:p>
          <w:p w:rsidR="00C36604" w:rsidRPr="00765C97" w:rsidRDefault="00C36604">
            <w:pPr>
              <w:ind w:left="-108"/>
              <w:rPr>
                <w:rFonts w:ascii="Arial" w:hAnsi="Arial"/>
                <w:sz w:val="20"/>
                <w:lang w:val="pl-PL"/>
              </w:rPr>
            </w:pPr>
            <w:r w:rsidRPr="00765C97">
              <w:rPr>
                <w:rFonts w:ascii="Arial" w:hAnsi="Arial"/>
                <w:sz w:val="20"/>
                <w:lang w:val="pl-PL"/>
              </w:rPr>
              <w:t>(nota 3.12)</w:t>
            </w:r>
          </w:p>
        </w:tc>
        <w:tc>
          <w:tcPr>
            <w:tcW w:w="1942" w:type="dxa"/>
            <w:tcBorders>
              <w:top w:val="nil"/>
              <w:left w:val="nil"/>
              <w:bottom w:val="nil"/>
              <w:right w:val="nil"/>
            </w:tcBorders>
            <w:vAlign w:val="center"/>
          </w:tcPr>
          <w:p w:rsidR="00C36604" w:rsidRPr="00765C97" w:rsidRDefault="00881FB5">
            <w:pPr>
              <w:jc w:val="right"/>
              <w:rPr>
                <w:rFonts w:ascii="Arial" w:hAnsi="Arial"/>
                <w:sz w:val="20"/>
                <w:lang w:val="pl-PL"/>
              </w:rPr>
            </w:pPr>
            <w:r w:rsidRPr="00765C97">
              <w:rPr>
                <w:rFonts w:ascii="Arial" w:hAnsi="Arial"/>
                <w:sz w:val="20"/>
                <w:lang w:val="pl-PL"/>
              </w:rPr>
              <w:t>94</w:t>
            </w:r>
          </w:p>
        </w:tc>
        <w:tc>
          <w:tcPr>
            <w:tcW w:w="1886"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66</w:t>
            </w:r>
          </w:p>
        </w:tc>
      </w:tr>
      <w:tr w:rsidR="00C36604" w:rsidRPr="00765C97">
        <w:trPr>
          <w:trHeight w:val="255"/>
        </w:trPr>
        <w:tc>
          <w:tcPr>
            <w:tcW w:w="4356" w:type="dxa"/>
            <w:tcBorders>
              <w:top w:val="nil"/>
              <w:left w:val="nil"/>
              <w:bottom w:val="nil"/>
              <w:right w:val="nil"/>
            </w:tcBorders>
            <w:vAlign w:val="center"/>
          </w:tcPr>
          <w:p w:rsidR="00C36604" w:rsidRPr="00765C97" w:rsidRDefault="00C36604">
            <w:pPr>
              <w:ind w:left="-108"/>
              <w:rPr>
                <w:rFonts w:ascii="Arial" w:hAnsi="Arial"/>
                <w:sz w:val="20"/>
                <w:lang w:val="pl-PL"/>
              </w:rPr>
            </w:pPr>
            <w:r w:rsidRPr="00765C97">
              <w:rPr>
                <w:rFonts w:ascii="Arial" w:hAnsi="Arial"/>
                <w:sz w:val="20"/>
                <w:lang w:val="pl-PL"/>
              </w:rPr>
              <w:t>Należności od jednostek powiązanych - długoterminowe</w:t>
            </w:r>
          </w:p>
        </w:tc>
        <w:tc>
          <w:tcPr>
            <w:tcW w:w="1942" w:type="dxa"/>
            <w:tcBorders>
              <w:top w:val="nil"/>
              <w:left w:val="nil"/>
              <w:bottom w:val="nil"/>
              <w:right w:val="nil"/>
            </w:tcBorders>
            <w:vAlign w:val="center"/>
          </w:tcPr>
          <w:p w:rsidR="00C36604" w:rsidRPr="00765C97" w:rsidRDefault="00881FB5">
            <w:pPr>
              <w:jc w:val="right"/>
              <w:rPr>
                <w:rFonts w:ascii="Arial" w:hAnsi="Arial"/>
                <w:sz w:val="20"/>
                <w:lang w:val="pl-PL"/>
              </w:rPr>
            </w:pPr>
            <w:r w:rsidRPr="00765C97">
              <w:rPr>
                <w:rFonts w:ascii="Arial" w:hAnsi="Arial"/>
                <w:sz w:val="20"/>
                <w:lang w:val="pl-PL"/>
              </w:rPr>
              <w:t>-</w:t>
            </w:r>
          </w:p>
        </w:tc>
        <w:tc>
          <w:tcPr>
            <w:tcW w:w="1886"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w:t>
            </w:r>
          </w:p>
        </w:tc>
      </w:tr>
      <w:tr w:rsidR="00C36604" w:rsidRPr="00765C97">
        <w:trPr>
          <w:trHeight w:val="255"/>
        </w:trPr>
        <w:tc>
          <w:tcPr>
            <w:tcW w:w="4356" w:type="dxa"/>
            <w:tcBorders>
              <w:top w:val="nil"/>
              <w:left w:val="nil"/>
              <w:bottom w:val="nil"/>
              <w:right w:val="nil"/>
            </w:tcBorders>
            <w:vAlign w:val="center"/>
          </w:tcPr>
          <w:p w:rsidR="00C36604" w:rsidRPr="00765C97" w:rsidRDefault="00C36604">
            <w:pPr>
              <w:ind w:left="-108"/>
              <w:rPr>
                <w:rFonts w:ascii="Arial" w:hAnsi="Arial"/>
                <w:sz w:val="20"/>
                <w:lang w:val="pl-PL"/>
              </w:rPr>
            </w:pPr>
            <w:r w:rsidRPr="00765C97">
              <w:rPr>
                <w:rFonts w:ascii="Arial" w:hAnsi="Arial"/>
                <w:sz w:val="20"/>
                <w:lang w:val="pl-PL"/>
              </w:rPr>
              <w:t>Należności od pozostałych jednostek - krótkoterminowe (nota 3.12)</w:t>
            </w:r>
          </w:p>
        </w:tc>
        <w:tc>
          <w:tcPr>
            <w:tcW w:w="1942" w:type="dxa"/>
            <w:tcBorders>
              <w:top w:val="nil"/>
              <w:left w:val="nil"/>
              <w:bottom w:val="nil"/>
              <w:right w:val="nil"/>
            </w:tcBorders>
            <w:vAlign w:val="center"/>
          </w:tcPr>
          <w:p w:rsidR="00C36604" w:rsidRPr="00765C97" w:rsidRDefault="00881FB5">
            <w:pPr>
              <w:jc w:val="right"/>
              <w:rPr>
                <w:rFonts w:ascii="Arial" w:hAnsi="Arial"/>
                <w:sz w:val="20"/>
                <w:lang w:val="pl-PL"/>
              </w:rPr>
            </w:pPr>
            <w:r w:rsidRPr="00765C97">
              <w:rPr>
                <w:rFonts w:ascii="Arial" w:hAnsi="Arial"/>
                <w:sz w:val="20"/>
                <w:lang w:val="pl-PL"/>
              </w:rPr>
              <w:t>399 746</w:t>
            </w:r>
          </w:p>
        </w:tc>
        <w:tc>
          <w:tcPr>
            <w:tcW w:w="1886"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294 670</w:t>
            </w:r>
          </w:p>
        </w:tc>
      </w:tr>
      <w:tr w:rsidR="00C36604" w:rsidRPr="00765C97">
        <w:trPr>
          <w:trHeight w:val="255"/>
        </w:trPr>
        <w:tc>
          <w:tcPr>
            <w:tcW w:w="4356" w:type="dxa"/>
            <w:tcBorders>
              <w:top w:val="nil"/>
              <w:left w:val="nil"/>
              <w:bottom w:val="nil"/>
              <w:right w:val="nil"/>
            </w:tcBorders>
            <w:vAlign w:val="center"/>
          </w:tcPr>
          <w:p w:rsidR="00C36604" w:rsidRPr="00765C97" w:rsidRDefault="00C36604">
            <w:pPr>
              <w:ind w:left="-108"/>
              <w:rPr>
                <w:rFonts w:ascii="Arial" w:hAnsi="Arial"/>
                <w:sz w:val="20"/>
                <w:lang w:val="pl-PL"/>
              </w:rPr>
            </w:pPr>
            <w:r w:rsidRPr="00765C97">
              <w:rPr>
                <w:rFonts w:ascii="Arial" w:hAnsi="Arial"/>
                <w:sz w:val="20"/>
                <w:lang w:val="pl-PL"/>
              </w:rPr>
              <w:t xml:space="preserve">Należności od pozostałych jednostek - długoterminowe </w:t>
            </w:r>
          </w:p>
        </w:tc>
        <w:tc>
          <w:tcPr>
            <w:tcW w:w="1942" w:type="dxa"/>
            <w:tcBorders>
              <w:top w:val="nil"/>
              <w:left w:val="nil"/>
              <w:bottom w:val="nil"/>
              <w:right w:val="nil"/>
            </w:tcBorders>
            <w:vAlign w:val="center"/>
          </w:tcPr>
          <w:p w:rsidR="00C36604" w:rsidRPr="00765C97" w:rsidRDefault="00881FB5" w:rsidP="00F556E5">
            <w:pPr>
              <w:jc w:val="right"/>
              <w:rPr>
                <w:rFonts w:ascii="Arial" w:hAnsi="Arial"/>
                <w:sz w:val="20"/>
                <w:lang w:val="pl-PL"/>
              </w:rPr>
            </w:pPr>
            <w:r w:rsidRPr="00765C97">
              <w:rPr>
                <w:rFonts w:ascii="Arial" w:hAnsi="Arial"/>
                <w:sz w:val="20"/>
                <w:lang w:val="pl-PL"/>
              </w:rPr>
              <w:t>1 842</w:t>
            </w:r>
          </w:p>
        </w:tc>
        <w:tc>
          <w:tcPr>
            <w:tcW w:w="1886"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1 732</w:t>
            </w:r>
          </w:p>
        </w:tc>
      </w:tr>
      <w:tr w:rsidR="00C36604" w:rsidRPr="00765C97">
        <w:trPr>
          <w:trHeight w:val="255"/>
        </w:trPr>
        <w:tc>
          <w:tcPr>
            <w:tcW w:w="4356" w:type="dxa"/>
            <w:tcBorders>
              <w:top w:val="nil"/>
              <w:left w:val="nil"/>
              <w:bottom w:val="nil"/>
              <w:right w:val="nil"/>
            </w:tcBorders>
            <w:vAlign w:val="center"/>
          </w:tcPr>
          <w:p w:rsidR="00C36604" w:rsidRPr="00765C97" w:rsidRDefault="00C36604">
            <w:pPr>
              <w:ind w:left="-108"/>
              <w:rPr>
                <w:rFonts w:ascii="Arial" w:hAnsi="Arial"/>
                <w:sz w:val="20"/>
                <w:lang w:val="pl-PL"/>
              </w:rPr>
            </w:pPr>
            <w:r w:rsidRPr="00765C97">
              <w:rPr>
                <w:rFonts w:ascii="Arial" w:hAnsi="Arial"/>
                <w:sz w:val="20"/>
                <w:lang w:val="pl-PL"/>
              </w:rPr>
              <w:t>Środki pieniężne i ich ekwiwalenty (nota 3.13)</w:t>
            </w:r>
          </w:p>
        </w:tc>
        <w:tc>
          <w:tcPr>
            <w:tcW w:w="1942" w:type="dxa"/>
            <w:tcBorders>
              <w:top w:val="nil"/>
              <w:left w:val="nil"/>
              <w:bottom w:val="single" w:sz="2" w:space="0" w:color="auto"/>
              <w:right w:val="nil"/>
            </w:tcBorders>
            <w:vAlign w:val="center"/>
          </w:tcPr>
          <w:p w:rsidR="00C36604" w:rsidRPr="00765C97" w:rsidRDefault="00881FB5">
            <w:pPr>
              <w:jc w:val="right"/>
              <w:rPr>
                <w:rFonts w:ascii="Arial" w:hAnsi="Arial"/>
                <w:sz w:val="20"/>
                <w:lang w:val="pl-PL"/>
              </w:rPr>
            </w:pPr>
            <w:r w:rsidRPr="00765C97">
              <w:rPr>
                <w:rFonts w:ascii="Arial" w:hAnsi="Arial"/>
                <w:sz w:val="20"/>
                <w:lang w:val="pl-PL"/>
              </w:rPr>
              <w:t>142 318</w:t>
            </w:r>
          </w:p>
        </w:tc>
        <w:tc>
          <w:tcPr>
            <w:tcW w:w="1886" w:type="dxa"/>
            <w:tcBorders>
              <w:top w:val="nil"/>
              <w:left w:val="nil"/>
              <w:bottom w:val="single" w:sz="2" w:space="0" w:color="auto"/>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193 337</w:t>
            </w:r>
          </w:p>
        </w:tc>
      </w:tr>
      <w:tr w:rsidR="00C36604" w:rsidRPr="00765C97">
        <w:trPr>
          <w:trHeight w:val="255"/>
        </w:trPr>
        <w:tc>
          <w:tcPr>
            <w:tcW w:w="4356" w:type="dxa"/>
            <w:tcBorders>
              <w:top w:val="nil"/>
              <w:left w:val="nil"/>
              <w:bottom w:val="nil"/>
              <w:right w:val="nil"/>
            </w:tcBorders>
            <w:vAlign w:val="center"/>
          </w:tcPr>
          <w:p w:rsidR="00C36604" w:rsidRPr="00765C97" w:rsidRDefault="00C36604">
            <w:pPr>
              <w:ind w:left="-108"/>
              <w:rPr>
                <w:rFonts w:ascii="Arial" w:hAnsi="Arial"/>
                <w:b/>
                <w:sz w:val="20"/>
                <w:lang w:val="pl-PL"/>
              </w:rPr>
            </w:pPr>
            <w:r w:rsidRPr="00765C97">
              <w:rPr>
                <w:rFonts w:ascii="Arial" w:hAnsi="Arial"/>
                <w:b/>
                <w:sz w:val="20"/>
                <w:lang w:val="pl-PL"/>
              </w:rPr>
              <w:t>Razem</w:t>
            </w:r>
          </w:p>
        </w:tc>
        <w:tc>
          <w:tcPr>
            <w:tcW w:w="1942" w:type="dxa"/>
            <w:tcBorders>
              <w:top w:val="single" w:sz="2" w:space="0" w:color="auto"/>
              <w:left w:val="nil"/>
              <w:bottom w:val="single" w:sz="2" w:space="0" w:color="auto"/>
              <w:right w:val="nil"/>
            </w:tcBorders>
            <w:vAlign w:val="center"/>
          </w:tcPr>
          <w:p w:rsidR="00C36604" w:rsidRPr="00765C97" w:rsidRDefault="00881FB5" w:rsidP="00F556E5">
            <w:pPr>
              <w:jc w:val="right"/>
              <w:rPr>
                <w:rFonts w:ascii="Arial" w:hAnsi="Arial"/>
                <w:b/>
                <w:sz w:val="20"/>
                <w:lang w:val="pl-PL"/>
              </w:rPr>
            </w:pPr>
            <w:r w:rsidRPr="00765C97">
              <w:rPr>
                <w:rFonts w:ascii="Arial" w:hAnsi="Arial"/>
                <w:b/>
                <w:sz w:val="20"/>
                <w:lang w:val="pl-PL"/>
              </w:rPr>
              <w:t>544 000</w:t>
            </w:r>
          </w:p>
        </w:tc>
        <w:tc>
          <w:tcPr>
            <w:tcW w:w="1886" w:type="dxa"/>
            <w:tcBorders>
              <w:top w:val="single" w:sz="2" w:space="0" w:color="auto"/>
              <w:left w:val="nil"/>
              <w:bottom w:val="single" w:sz="2" w:space="0" w:color="auto"/>
              <w:right w:val="nil"/>
            </w:tcBorders>
            <w:vAlign w:val="center"/>
          </w:tcPr>
          <w:p w:rsidR="00C36604" w:rsidRPr="00765C97" w:rsidRDefault="00C36604" w:rsidP="00385F70">
            <w:pPr>
              <w:jc w:val="right"/>
              <w:rPr>
                <w:rFonts w:ascii="Arial" w:hAnsi="Arial"/>
                <w:b/>
                <w:sz w:val="20"/>
                <w:lang w:val="pl-PL"/>
              </w:rPr>
            </w:pPr>
            <w:r w:rsidRPr="00765C97">
              <w:rPr>
                <w:rFonts w:ascii="Arial" w:hAnsi="Arial"/>
                <w:b/>
                <w:sz w:val="20"/>
                <w:lang w:val="pl-PL"/>
              </w:rPr>
              <w:t>489 805</w:t>
            </w:r>
          </w:p>
        </w:tc>
      </w:tr>
    </w:tbl>
    <w:p w:rsidR="00B24DA9" w:rsidRPr="00765C97" w:rsidRDefault="00B24DA9">
      <w:pPr>
        <w:tabs>
          <w:tab w:val="left" w:pos="8364"/>
        </w:tabs>
        <w:ind w:left="180"/>
        <w:jc w:val="both"/>
        <w:rPr>
          <w:rFonts w:ascii="Arial" w:hAnsi="Arial"/>
          <w:sz w:val="20"/>
          <w:lang w:val="pl-PL"/>
        </w:rPr>
      </w:pPr>
    </w:p>
    <w:p w:rsidR="00E21FE5" w:rsidRPr="00765C97" w:rsidRDefault="00E21FE5">
      <w:pPr>
        <w:tabs>
          <w:tab w:val="left" w:pos="8364"/>
        </w:tabs>
        <w:ind w:left="180"/>
        <w:jc w:val="both"/>
        <w:rPr>
          <w:rFonts w:ascii="Arial" w:hAnsi="Arial"/>
          <w:sz w:val="20"/>
          <w:lang w:val="pl-PL"/>
        </w:rPr>
      </w:pPr>
    </w:p>
    <w:p w:rsidR="00734AB3" w:rsidRPr="00765C97" w:rsidRDefault="00734AB3">
      <w:r w:rsidRPr="00765C97">
        <w:br w:type="page"/>
      </w:r>
    </w:p>
    <w:tbl>
      <w:tblPr>
        <w:tblW w:w="8138" w:type="dxa"/>
        <w:tblInd w:w="288" w:type="dxa"/>
        <w:tblLayout w:type="fixed"/>
        <w:tblLook w:val="0000"/>
      </w:tblPr>
      <w:tblGrid>
        <w:gridCol w:w="4498"/>
        <w:gridCol w:w="1820"/>
        <w:gridCol w:w="1820"/>
      </w:tblGrid>
      <w:tr w:rsidR="00B0017E" w:rsidRPr="00765C97">
        <w:trPr>
          <w:trHeight w:val="255"/>
        </w:trPr>
        <w:tc>
          <w:tcPr>
            <w:tcW w:w="4498" w:type="dxa"/>
            <w:tcBorders>
              <w:top w:val="nil"/>
              <w:left w:val="nil"/>
              <w:bottom w:val="nil"/>
              <w:right w:val="nil"/>
            </w:tcBorders>
            <w:vAlign w:val="center"/>
          </w:tcPr>
          <w:p w:rsidR="00B0017E" w:rsidRPr="00765C97" w:rsidRDefault="00B0017E">
            <w:pPr>
              <w:ind w:left="-108"/>
              <w:rPr>
                <w:rFonts w:ascii="Arial" w:hAnsi="Arial"/>
                <w:b/>
                <w:sz w:val="20"/>
                <w:lang w:val="pl-PL"/>
              </w:rPr>
            </w:pPr>
            <w:r w:rsidRPr="00765C97">
              <w:rPr>
                <w:rFonts w:ascii="Arial" w:hAnsi="Arial"/>
                <w:b/>
                <w:sz w:val="20"/>
                <w:lang w:val="pl-PL"/>
              </w:rPr>
              <w:t>Zobowiązania finansowe</w:t>
            </w:r>
          </w:p>
        </w:tc>
        <w:tc>
          <w:tcPr>
            <w:tcW w:w="1820" w:type="dxa"/>
            <w:tcBorders>
              <w:top w:val="nil"/>
              <w:left w:val="nil"/>
              <w:bottom w:val="nil"/>
              <w:right w:val="nil"/>
            </w:tcBorders>
            <w:vAlign w:val="center"/>
          </w:tcPr>
          <w:p w:rsidR="00B0017E" w:rsidRPr="00765C97" w:rsidRDefault="00B0017E" w:rsidP="006C5B07">
            <w:pPr>
              <w:ind w:left="-108"/>
              <w:jc w:val="right"/>
              <w:rPr>
                <w:rFonts w:ascii="Arial" w:hAnsi="Arial"/>
                <w:b/>
                <w:sz w:val="20"/>
                <w:lang w:val="pl-PL"/>
              </w:rPr>
            </w:pPr>
            <w:r w:rsidRPr="00765C97">
              <w:rPr>
                <w:rFonts w:ascii="Arial" w:hAnsi="Arial"/>
                <w:b/>
                <w:sz w:val="20"/>
                <w:lang w:val="pl-PL"/>
              </w:rPr>
              <w:t>31 grudnia 201</w:t>
            </w:r>
            <w:r w:rsidR="00C36604" w:rsidRPr="00765C97">
              <w:rPr>
                <w:rFonts w:ascii="Arial" w:hAnsi="Arial"/>
                <w:b/>
                <w:sz w:val="20"/>
                <w:lang w:val="pl-PL"/>
              </w:rPr>
              <w:t>2</w:t>
            </w:r>
            <w:r w:rsidRPr="00765C97">
              <w:rPr>
                <w:rFonts w:ascii="Arial" w:hAnsi="Arial"/>
                <w:b/>
                <w:sz w:val="20"/>
                <w:lang w:val="pl-PL"/>
              </w:rPr>
              <w:t xml:space="preserve"> r.</w:t>
            </w:r>
          </w:p>
        </w:tc>
        <w:tc>
          <w:tcPr>
            <w:tcW w:w="1820" w:type="dxa"/>
            <w:tcBorders>
              <w:top w:val="nil"/>
              <w:left w:val="nil"/>
              <w:bottom w:val="nil"/>
              <w:right w:val="nil"/>
            </w:tcBorders>
            <w:vAlign w:val="center"/>
          </w:tcPr>
          <w:p w:rsidR="00B0017E" w:rsidRPr="00765C97" w:rsidRDefault="00B0017E" w:rsidP="006C5B07">
            <w:pPr>
              <w:ind w:left="-108"/>
              <w:jc w:val="right"/>
              <w:rPr>
                <w:rFonts w:ascii="Arial" w:hAnsi="Arial"/>
                <w:b/>
                <w:sz w:val="20"/>
                <w:lang w:val="pl-PL"/>
              </w:rPr>
            </w:pPr>
            <w:r w:rsidRPr="00765C97">
              <w:rPr>
                <w:rFonts w:ascii="Arial" w:hAnsi="Arial"/>
                <w:b/>
                <w:sz w:val="20"/>
                <w:lang w:val="pl-PL"/>
              </w:rPr>
              <w:t>31 grudnia 20</w:t>
            </w:r>
            <w:r w:rsidR="00C36604" w:rsidRPr="00765C97">
              <w:rPr>
                <w:rFonts w:ascii="Arial" w:hAnsi="Arial"/>
                <w:b/>
                <w:sz w:val="20"/>
                <w:lang w:val="pl-PL"/>
              </w:rPr>
              <w:t>11</w:t>
            </w:r>
            <w:r w:rsidRPr="00765C97">
              <w:rPr>
                <w:rFonts w:ascii="Arial" w:hAnsi="Arial"/>
                <w:b/>
                <w:sz w:val="20"/>
                <w:lang w:val="pl-PL"/>
              </w:rPr>
              <w:t xml:space="preserve"> r.</w:t>
            </w:r>
          </w:p>
        </w:tc>
      </w:tr>
      <w:tr w:rsidR="00C36604" w:rsidRPr="00765C97">
        <w:trPr>
          <w:trHeight w:val="255"/>
        </w:trPr>
        <w:tc>
          <w:tcPr>
            <w:tcW w:w="4498" w:type="dxa"/>
            <w:tcBorders>
              <w:top w:val="nil"/>
              <w:left w:val="nil"/>
              <w:bottom w:val="nil"/>
              <w:right w:val="nil"/>
            </w:tcBorders>
            <w:vAlign w:val="center"/>
          </w:tcPr>
          <w:p w:rsidR="00C36604" w:rsidRPr="00765C97" w:rsidRDefault="00C36604" w:rsidP="008B4C6B">
            <w:pPr>
              <w:ind w:left="-108"/>
              <w:rPr>
                <w:rFonts w:ascii="Arial" w:hAnsi="Arial"/>
                <w:sz w:val="20"/>
                <w:lang w:val="pl-PL"/>
              </w:rPr>
            </w:pPr>
            <w:r w:rsidRPr="00765C97">
              <w:rPr>
                <w:rFonts w:ascii="Arial" w:hAnsi="Arial"/>
                <w:sz w:val="20"/>
                <w:lang w:val="pl-PL"/>
              </w:rPr>
              <w:t>Zobowiązania z tytułu kredytów (nota 3.18)</w:t>
            </w:r>
          </w:p>
        </w:tc>
        <w:tc>
          <w:tcPr>
            <w:tcW w:w="1820" w:type="dxa"/>
            <w:tcBorders>
              <w:top w:val="nil"/>
              <w:left w:val="nil"/>
              <w:bottom w:val="nil"/>
              <w:right w:val="nil"/>
            </w:tcBorders>
            <w:vAlign w:val="center"/>
          </w:tcPr>
          <w:p w:rsidR="00C36604" w:rsidRPr="00765C97" w:rsidRDefault="00F11756">
            <w:pPr>
              <w:jc w:val="right"/>
              <w:rPr>
                <w:rFonts w:ascii="Arial" w:hAnsi="Arial"/>
                <w:sz w:val="20"/>
                <w:lang w:val="pl-PL"/>
              </w:rPr>
            </w:pPr>
            <w:r w:rsidRPr="00765C97">
              <w:rPr>
                <w:rFonts w:ascii="Arial" w:hAnsi="Arial"/>
                <w:sz w:val="20"/>
                <w:lang w:val="pl-PL"/>
              </w:rPr>
              <w:t>131 217</w:t>
            </w:r>
          </w:p>
        </w:tc>
        <w:tc>
          <w:tcPr>
            <w:tcW w:w="1820"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116 330</w:t>
            </w:r>
          </w:p>
        </w:tc>
      </w:tr>
      <w:tr w:rsidR="00C36604" w:rsidRPr="00765C97">
        <w:trPr>
          <w:trHeight w:val="255"/>
        </w:trPr>
        <w:tc>
          <w:tcPr>
            <w:tcW w:w="4498" w:type="dxa"/>
            <w:tcBorders>
              <w:top w:val="nil"/>
              <w:left w:val="nil"/>
              <w:bottom w:val="nil"/>
              <w:right w:val="nil"/>
            </w:tcBorders>
            <w:vAlign w:val="center"/>
          </w:tcPr>
          <w:p w:rsidR="00C36604" w:rsidRPr="00765C97" w:rsidRDefault="00C36604" w:rsidP="008B4C6B">
            <w:pPr>
              <w:ind w:left="-108"/>
              <w:rPr>
                <w:rFonts w:ascii="Arial" w:hAnsi="Arial"/>
                <w:sz w:val="20"/>
                <w:lang w:val="pl-PL"/>
              </w:rPr>
            </w:pPr>
            <w:r w:rsidRPr="00765C97">
              <w:rPr>
                <w:rFonts w:ascii="Arial" w:hAnsi="Arial"/>
                <w:sz w:val="20"/>
                <w:lang w:val="pl-PL"/>
              </w:rPr>
              <w:t>Zobowiązania wobec jednostek powiązanych (nota 3.16)</w:t>
            </w:r>
          </w:p>
        </w:tc>
        <w:tc>
          <w:tcPr>
            <w:tcW w:w="1820" w:type="dxa"/>
            <w:tcBorders>
              <w:top w:val="nil"/>
              <w:left w:val="nil"/>
              <w:bottom w:val="nil"/>
              <w:right w:val="nil"/>
            </w:tcBorders>
            <w:vAlign w:val="center"/>
          </w:tcPr>
          <w:p w:rsidR="00C36604" w:rsidRPr="00765C97" w:rsidRDefault="00F11756">
            <w:pPr>
              <w:jc w:val="right"/>
              <w:rPr>
                <w:rFonts w:ascii="Arial" w:hAnsi="Arial"/>
                <w:sz w:val="20"/>
                <w:lang w:val="pl-PL"/>
              </w:rPr>
            </w:pPr>
            <w:r w:rsidRPr="00765C97">
              <w:rPr>
                <w:rFonts w:ascii="Arial" w:hAnsi="Arial"/>
                <w:sz w:val="20"/>
                <w:lang w:val="pl-PL"/>
              </w:rPr>
              <w:t>1 120</w:t>
            </w:r>
          </w:p>
        </w:tc>
        <w:tc>
          <w:tcPr>
            <w:tcW w:w="1820"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555</w:t>
            </w:r>
          </w:p>
        </w:tc>
      </w:tr>
      <w:tr w:rsidR="00C36604" w:rsidRPr="00765C97">
        <w:trPr>
          <w:trHeight w:val="255"/>
        </w:trPr>
        <w:tc>
          <w:tcPr>
            <w:tcW w:w="4498" w:type="dxa"/>
            <w:tcBorders>
              <w:top w:val="nil"/>
              <w:left w:val="nil"/>
              <w:bottom w:val="nil"/>
              <w:right w:val="nil"/>
            </w:tcBorders>
            <w:vAlign w:val="center"/>
          </w:tcPr>
          <w:p w:rsidR="00C36604" w:rsidRPr="00765C97" w:rsidRDefault="00C36604" w:rsidP="008B4C6B">
            <w:pPr>
              <w:ind w:left="-108"/>
              <w:rPr>
                <w:rFonts w:ascii="Arial" w:hAnsi="Arial"/>
                <w:sz w:val="20"/>
                <w:lang w:val="pl-PL"/>
              </w:rPr>
            </w:pPr>
            <w:r w:rsidRPr="00765C97">
              <w:rPr>
                <w:rFonts w:ascii="Arial" w:hAnsi="Arial"/>
                <w:sz w:val="20"/>
                <w:lang w:val="pl-PL"/>
              </w:rPr>
              <w:t>Zobowiązania wobec pozostałych jednostek - krótkoterminowe (nota 3.16)</w:t>
            </w:r>
          </w:p>
        </w:tc>
        <w:tc>
          <w:tcPr>
            <w:tcW w:w="1820" w:type="dxa"/>
            <w:tcBorders>
              <w:top w:val="nil"/>
              <w:left w:val="nil"/>
              <w:bottom w:val="nil"/>
              <w:right w:val="nil"/>
            </w:tcBorders>
            <w:vAlign w:val="center"/>
          </w:tcPr>
          <w:p w:rsidR="00C36604" w:rsidRPr="00765C97" w:rsidRDefault="00F11756" w:rsidP="00F11756">
            <w:pPr>
              <w:jc w:val="right"/>
              <w:rPr>
                <w:rFonts w:ascii="Arial" w:hAnsi="Arial"/>
                <w:sz w:val="20"/>
                <w:lang w:val="pl-PL"/>
              </w:rPr>
            </w:pPr>
            <w:r w:rsidRPr="00765C97">
              <w:rPr>
                <w:rFonts w:ascii="Arial" w:hAnsi="Arial"/>
                <w:sz w:val="20"/>
                <w:lang w:val="pl-PL"/>
              </w:rPr>
              <w:t>231 196</w:t>
            </w:r>
          </w:p>
        </w:tc>
        <w:tc>
          <w:tcPr>
            <w:tcW w:w="1820"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145 777</w:t>
            </w:r>
          </w:p>
        </w:tc>
      </w:tr>
      <w:tr w:rsidR="00C36604" w:rsidRPr="00765C97" w:rsidTr="000B1BBC">
        <w:trPr>
          <w:trHeight w:val="255"/>
        </w:trPr>
        <w:tc>
          <w:tcPr>
            <w:tcW w:w="4498" w:type="dxa"/>
            <w:tcBorders>
              <w:top w:val="nil"/>
              <w:left w:val="nil"/>
              <w:bottom w:val="nil"/>
              <w:right w:val="nil"/>
            </w:tcBorders>
            <w:vAlign w:val="center"/>
          </w:tcPr>
          <w:p w:rsidR="003B408F" w:rsidRPr="00765C97" w:rsidRDefault="00C36604" w:rsidP="004531EF">
            <w:pPr>
              <w:ind w:left="-108"/>
              <w:rPr>
                <w:rFonts w:ascii="Arial" w:hAnsi="Arial"/>
                <w:sz w:val="20"/>
                <w:lang w:val="pl-PL"/>
              </w:rPr>
            </w:pPr>
            <w:r w:rsidRPr="00765C97">
              <w:rPr>
                <w:rFonts w:ascii="Arial" w:hAnsi="Arial"/>
                <w:sz w:val="20"/>
                <w:lang w:val="pl-PL"/>
              </w:rPr>
              <w:t>Pochodne instrumenty finansowe (nota 3.11)</w:t>
            </w:r>
            <w:r w:rsidR="003B408F" w:rsidRPr="00765C97">
              <w:rPr>
                <w:rFonts w:ascii="Arial" w:hAnsi="Arial"/>
                <w:sz w:val="20"/>
                <w:lang w:val="pl-PL"/>
              </w:rPr>
              <w:t xml:space="preserve"> </w:t>
            </w:r>
          </w:p>
        </w:tc>
        <w:tc>
          <w:tcPr>
            <w:tcW w:w="1820" w:type="dxa"/>
            <w:tcBorders>
              <w:top w:val="nil"/>
              <w:left w:val="nil"/>
              <w:right w:val="nil"/>
            </w:tcBorders>
            <w:vAlign w:val="center"/>
          </w:tcPr>
          <w:p w:rsidR="00C36604" w:rsidRPr="00765C97" w:rsidRDefault="004531EF" w:rsidP="00AC0234">
            <w:pPr>
              <w:jc w:val="right"/>
              <w:rPr>
                <w:rFonts w:ascii="Arial" w:hAnsi="Arial"/>
                <w:sz w:val="20"/>
                <w:lang w:val="pl-PL"/>
              </w:rPr>
            </w:pPr>
            <w:r w:rsidRPr="00765C97">
              <w:rPr>
                <w:rFonts w:ascii="Arial" w:hAnsi="Arial"/>
                <w:sz w:val="20"/>
                <w:lang w:val="pl-PL"/>
              </w:rPr>
              <w:t>-</w:t>
            </w:r>
          </w:p>
        </w:tc>
        <w:tc>
          <w:tcPr>
            <w:tcW w:w="1820" w:type="dxa"/>
            <w:tcBorders>
              <w:top w:val="nil"/>
              <w:left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686</w:t>
            </w:r>
          </w:p>
        </w:tc>
      </w:tr>
      <w:tr w:rsidR="004531EF" w:rsidRPr="00765C97" w:rsidTr="000B1BBC">
        <w:trPr>
          <w:trHeight w:val="255"/>
        </w:trPr>
        <w:tc>
          <w:tcPr>
            <w:tcW w:w="4498" w:type="dxa"/>
            <w:tcBorders>
              <w:top w:val="nil"/>
              <w:left w:val="nil"/>
              <w:bottom w:val="nil"/>
              <w:right w:val="nil"/>
            </w:tcBorders>
            <w:vAlign w:val="center"/>
          </w:tcPr>
          <w:p w:rsidR="004531EF" w:rsidRPr="00765C97" w:rsidRDefault="004531EF" w:rsidP="008B4C6B">
            <w:pPr>
              <w:ind w:left="-108"/>
              <w:rPr>
                <w:rFonts w:ascii="Arial" w:hAnsi="Arial"/>
                <w:sz w:val="20"/>
                <w:lang w:val="pl-PL"/>
              </w:rPr>
            </w:pPr>
            <w:r w:rsidRPr="00765C97">
              <w:rPr>
                <w:rFonts w:ascii="Arial" w:hAnsi="Arial"/>
                <w:sz w:val="20"/>
                <w:lang w:val="pl-PL"/>
              </w:rPr>
              <w:t>Zobowiązanie z tytułu e-financingu</w:t>
            </w:r>
          </w:p>
        </w:tc>
        <w:tc>
          <w:tcPr>
            <w:tcW w:w="1820" w:type="dxa"/>
            <w:tcBorders>
              <w:top w:val="nil"/>
              <w:left w:val="nil"/>
              <w:right w:val="nil"/>
            </w:tcBorders>
            <w:vAlign w:val="center"/>
          </w:tcPr>
          <w:p w:rsidR="004531EF" w:rsidRPr="00765C97" w:rsidRDefault="004531EF" w:rsidP="00AC0234">
            <w:pPr>
              <w:jc w:val="right"/>
              <w:rPr>
                <w:rFonts w:ascii="Arial" w:hAnsi="Arial"/>
                <w:sz w:val="20"/>
                <w:lang w:val="pl-PL"/>
              </w:rPr>
            </w:pPr>
            <w:r w:rsidRPr="00765C97">
              <w:rPr>
                <w:rFonts w:ascii="Arial" w:hAnsi="Arial"/>
                <w:sz w:val="20"/>
                <w:lang w:val="pl-PL"/>
              </w:rPr>
              <w:t>180</w:t>
            </w:r>
          </w:p>
        </w:tc>
        <w:tc>
          <w:tcPr>
            <w:tcW w:w="1820" w:type="dxa"/>
            <w:tcBorders>
              <w:top w:val="nil"/>
              <w:left w:val="nil"/>
              <w:right w:val="nil"/>
            </w:tcBorders>
            <w:vAlign w:val="center"/>
          </w:tcPr>
          <w:p w:rsidR="004531EF" w:rsidRPr="00765C97" w:rsidRDefault="004531EF" w:rsidP="00385F70">
            <w:pPr>
              <w:jc w:val="right"/>
              <w:rPr>
                <w:rFonts w:ascii="Arial" w:hAnsi="Arial"/>
                <w:sz w:val="20"/>
                <w:lang w:val="pl-PL"/>
              </w:rPr>
            </w:pPr>
            <w:r w:rsidRPr="00765C97">
              <w:rPr>
                <w:rFonts w:ascii="Arial" w:hAnsi="Arial"/>
                <w:sz w:val="20"/>
                <w:lang w:val="pl-PL"/>
              </w:rPr>
              <w:t>-</w:t>
            </w:r>
          </w:p>
        </w:tc>
      </w:tr>
      <w:tr w:rsidR="00C36604" w:rsidRPr="00765C97" w:rsidTr="000B1BBC">
        <w:trPr>
          <w:trHeight w:val="255"/>
        </w:trPr>
        <w:tc>
          <w:tcPr>
            <w:tcW w:w="4498" w:type="dxa"/>
            <w:tcBorders>
              <w:top w:val="nil"/>
              <w:left w:val="nil"/>
              <w:bottom w:val="nil"/>
              <w:right w:val="nil"/>
            </w:tcBorders>
            <w:vAlign w:val="center"/>
          </w:tcPr>
          <w:p w:rsidR="00C36604" w:rsidRPr="00765C97" w:rsidRDefault="00C36604" w:rsidP="008B4C6B">
            <w:pPr>
              <w:ind w:left="-108"/>
              <w:rPr>
                <w:rFonts w:ascii="Arial" w:hAnsi="Arial"/>
                <w:sz w:val="20"/>
                <w:lang w:val="pl-PL"/>
              </w:rPr>
            </w:pPr>
            <w:r w:rsidRPr="00765C97">
              <w:rPr>
                <w:rFonts w:ascii="Arial" w:hAnsi="Arial"/>
                <w:sz w:val="20"/>
                <w:lang w:val="pl-PL"/>
              </w:rPr>
              <w:t xml:space="preserve">Zobowiązania z tytułu leasingu finansowego </w:t>
            </w:r>
            <w:r w:rsidR="003B408F" w:rsidRPr="00765C97">
              <w:rPr>
                <w:rFonts w:ascii="Arial" w:hAnsi="Arial"/>
                <w:sz w:val="20"/>
                <w:lang w:val="pl-PL"/>
              </w:rPr>
              <w:t xml:space="preserve">         </w:t>
            </w:r>
            <w:r w:rsidRPr="00765C97">
              <w:rPr>
                <w:rFonts w:ascii="Arial" w:hAnsi="Arial"/>
                <w:sz w:val="20"/>
                <w:lang w:val="pl-PL"/>
              </w:rPr>
              <w:t>(nota 3.16)</w:t>
            </w:r>
          </w:p>
        </w:tc>
        <w:tc>
          <w:tcPr>
            <w:tcW w:w="1820" w:type="dxa"/>
            <w:tcBorders>
              <w:left w:val="nil"/>
              <w:bottom w:val="single" w:sz="4" w:space="0" w:color="auto"/>
              <w:right w:val="nil"/>
            </w:tcBorders>
            <w:vAlign w:val="center"/>
          </w:tcPr>
          <w:p w:rsidR="00C36604" w:rsidRPr="00765C97" w:rsidRDefault="00F11756" w:rsidP="00AC0234">
            <w:pPr>
              <w:jc w:val="right"/>
              <w:rPr>
                <w:rFonts w:ascii="Arial" w:hAnsi="Arial"/>
                <w:sz w:val="20"/>
                <w:lang w:val="pl-PL"/>
              </w:rPr>
            </w:pPr>
            <w:r w:rsidRPr="00765C97">
              <w:rPr>
                <w:rFonts w:ascii="Arial" w:hAnsi="Arial"/>
                <w:sz w:val="20"/>
                <w:lang w:val="pl-PL"/>
              </w:rPr>
              <w:t>-</w:t>
            </w:r>
          </w:p>
        </w:tc>
        <w:tc>
          <w:tcPr>
            <w:tcW w:w="1820" w:type="dxa"/>
            <w:tcBorders>
              <w:left w:val="nil"/>
              <w:bottom w:val="single" w:sz="4" w:space="0" w:color="auto"/>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w:t>
            </w:r>
          </w:p>
        </w:tc>
      </w:tr>
      <w:tr w:rsidR="00C36604" w:rsidRPr="00765C97" w:rsidTr="000B1BBC">
        <w:trPr>
          <w:trHeight w:val="255"/>
        </w:trPr>
        <w:tc>
          <w:tcPr>
            <w:tcW w:w="4498" w:type="dxa"/>
            <w:tcBorders>
              <w:top w:val="nil"/>
              <w:left w:val="nil"/>
              <w:bottom w:val="nil"/>
              <w:right w:val="nil"/>
            </w:tcBorders>
            <w:vAlign w:val="center"/>
          </w:tcPr>
          <w:p w:rsidR="00C36604" w:rsidRPr="00765C97" w:rsidRDefault="00C36604" w:rsidP="00AC0234">
            <w:pPr>
              <w:ind w:left="-108"/>
              <w:rPr>
                <w:rFonts w:ascii="Arial" w:hAnsi="Arial"/>
                <w:b/>
                <w:sz w:val="20"/>
                <w:lang w:val="pl-PL"/>
              </w:rPr>
            </w:pPr>
            <w:r w:rsidRPr="00765C97">
              <w:rPr>
                <w:rFonts w:ascii="Arial" w:hAnsi="Arial"/>
                <w:b/>
                <w:sz w:val="20"/>
                <w:lang w:val="pl-PL"/>
              </w:rPr>
              <w:t>Razem</w:t>
            </w:r>
          </w:p>
        </w:tc>
        <w:tc>
          <w:tcPr>
            <w:tcW w:w="1820" w:type="dxa"/>
            <w:tcBorders>
              <w:top w:val="single" w:sz="4" w:space="0" w:color="auto"/>
              <w:left w:val="nil"/>
              <w:bottom w:val="single" w:sz="4" w:space="0" w:color="auto"/>
              <w:right w:val="nil"/>
            </w:tcBorders>
            <w:vAlign w:val="center"/>
          </w:tcPr>
          <w:p w:rsidR="00C36604" w:rsidRPr="00765C97" w:rsidRDefault="00F11756" w:rsidP="00AC0234">
            <w:pPr>
              <w:jc w:val="right"/>
              <w:rPr>
                <w:rFonts w:ascii="Arial" w:hAnsi="Arial"/>
                <w:b/>
                <w:sz w:val="20"/>
                <w:lang w:val="pl-PL"/>
              </w:rPr>
            </w:pPr>
            <w:r w:rsidRPr="00765C97">
              <w:rPr>
                <w:rFonts w:ascii="Arial" w:hAnsi="Arial"/>
                <w:b/>
                <w:sz w:val="20"/>
                <w:lang w:val="pl-PL"/>
              </w:rPr>
              <w:t>363 713</w:t>
            </w:r>
          </w:p>
        </w:tc>
        <w:tc>
          <w:tcPr>
            <w:tcW w:w="1820" w:type="dxa"/>
            <w:tcBorders>
              <w:top w:val="single" w:sz="4" w:space="0" w:color="auto"/>
              <w:left w:val="nil"/>
              <w:bottom w:val="single" w:sz="4" w:space="0" w:color="auto"/>
              <w:right w:val="nil"/>
            </w:tcBorders>
            <w:vAlign w:val="center"/>
          </w:tcPr>
          <w:p w:rsidR="00C36604" w:rsidRPr="00765C97" w:rsidRDefault="00C36604" w:rsidP="00385F70">
            <w:pPr>
              <w:jc w:val="right"/>
              <w:rPr>
                <w:rFonts w:ascii="Arial" w:hAnsi="Arial"/>
                <w:b/>
                <w:sz w:val="20"/>
                <w:lang w:val="pl-PL"/>
              </w:rPr>
            </w:pPr>
            <w:r w:rsidRPr="00765C97">
              <w:rPr>
                <w:rFonts w:ascii="Arial" w:hAnsi="Arial"/>
                <w:b/>
                <w:sz w:val="20"/>
                <w:lang w:val="pl-PL"/>
              </w:rPr>
              <w:t>263 348</w:t>
            </w:r>
          </w:p>
        </w:tc>
      </w:tr>
    </w:tbl>
    <w:p w:rsidR="00B0017E" w:rsidRPr="00765C97" w:rsidRDefault="00B0017E">
      <w:pPr>
        <w:ind w:left="180"/>
        <w:rPr>
          <w:rFonts w:ascii="Arial" w:hAnsi="Arial"/>
          <w:sz w:val="20"/>
          <w:lang w:val="pl-PL"/>
        </w:rPr>
      </w:pPr>
    </w:p>
    <w:p w:rsidR="0053010F" w:rsidRPr="00765C97" w:rsidRDefault="0053010F">
      <w:pPr>
        <w:ind w:left="180"/>
        <w:rPr>
          <w:rFonts w:ascii="Arial" w:hAnsi="Arial"/>
          <w:sz w:val="20"/>
          <w:lang w:val="pl-PL"/>
        </w:rPr>
      </w:pPr>
    </w:p>
    <w:p w:rsidR="00B24DA9" w:rsidRPr="00765C97" w:rsidRDefault="00B24DA9">
      <w:pPr>
        <w:ind w:left="180"/>
        <w:rPr>
          <w:rFonts w:ascii="Arial" w:hAnsi="Arial"/>
          <w:sz w:val="20"/>
          <w:lang w:val="pl-PL"/>
        </w:rPr>
      </w:pPr>
      <w:r w:rsidRPr="00765C97">
        <w:rPr>
          <w:rFonts w:ascii="Arial" w:hAnsi="Arial"/>
          <w:sz w:val="20"/>
          <w:lang w:val="pl-PL"/>
        </w:rPr>
        <w:t>Struktura walutowa zobowiązań i aktywów finansowych przedstawia się następująco:</w:t>
      </w:r>
    </w:p>
    <w:p w:rsidR="00B24DA9" w:rsidRPr="00765C97" w:rsidRDefault="00B24DA9">
      <w:pPr>
        <w:pStyle w:val="Stopka"/>
        <w:widowControl/>
        <w:tabs>
          <w:tab w:val="clear" w:pos="4320"/>
          <w:tab w:val="clear" w:pos="8640"/>
        </w:tabs>
        <w:autoSpaceDE/>
        <w:autoSpaceDN/>
        <w:rPr>
          <w:rFonts w:ascii="Arial" w:hAnsi="Arial"/>
          <w:sz w:val="20"/>
          <w:lang w:val="pl-PL" w:eastAsia="pl-PL"/>
        </w:rPr>
      </w:pPr>
    </w:p>
    <w:tbl>
      <w:tblPr>
        <w:tblW w:w="0" w:type="auto"/>
        <w:tblInd w:w="288" w:type="dxa"/>
        <w:tblLayout w:type="fixed"/>
        <w:tblLook w:val="0000"/>
      </w:tblPr>
      <w:tblGrid>
        <w:gridCol w:w="1663"/>
        <w:gridCol w:w="1559"/>
        <w:gridCol w:w="1560"/>
        <w:gridCol w:w="360"/>
        <w:gridCol w:w="1584"/>
        <w:gridCol w:w="1599"/>
      </w:tblGrid>
      <w:tr w:rsidR="00B24DA9" w:rsidRPr="00765C97">
        <w:trPr>
          <w:trHeight w:val="255"/>
        </w:trPr>
        <w:tc>
          <w:tcPr>
            <w:tcW w:w="1663" w:type="dxa"/>
            <w:tcBorders>
              <w:top w:val="nil"/>
              <w:left w:val="nil"/>
              <w:bottom w:val="nil"/>
              <w:right w:val="nil"/>
            </w:tcBorders>
            <w:vAlign w:val="center"/>
          </w:tcPr>
          <w:p w:rsidR="00B24DA9" w:rsidRPr="00765C97" w:rsidRDefault="00B24DA9">
            <w:pPr>
              <w:rPr>
                <w:rFonts w:ascii="Arial" w:hAnsi="Arial"/>
                <w:b/>
                <w:sz w:val="20"/>
                <w:lang w:val="pl-PL"/>
              </w:rPr>
            </w:pPr>
          </w:p>
        </w:tc>
        <w:tc>
          <w:tcPr>
            <w:tcW w:w="3119" w:type="dxa"/>
            <w:gridSpan w:val="2"/>
            <w:tcBorders>
              <w:top w:val="nil"/>
              <w:left w:val="nil"/>
              <w:bottom w:val="single" w:sz="4" w:space="0" w:color="auto"/>
              <w:right w:val="nil"/>
            </w:tcBorders>
            <w:vAlign w:val="center"/>
          </w:tcPr>
          <w:p w:rsidR="00B24DA9" w:rsidRPr="00765C97" w:rsidRDefault="00B24DA9">
            <w:pPr>
              <w:jc w:val="center"/>
              <w:rPr>
                <w:rFonts w:ascii="Arial" w:hAnsi="Arial"/>
                <w:b/>
                <w:sz w:val="20"/>
                <w:lang w:val="pl-PL"/>
              </w:rPr>
            </w:pPr>
            <w:r w:rsidRPr="00765C97">
              <w:rPr>
                <w:rFonts w:ascii="Arial" w:hAnsi="Arial"/>
                <w:b/>
                <w:sz w:val="20"/>
                <w:lang w:val="pl-PL"/>
              </w:rPr>
              <w:t>Aktywa finansowe</w:t>
            </w:r>
          </w:p>
        </w:tc>
        <w:tc>
          <w:tcPr>
            <w:tcW w:w="360" w:type="dxa"/>
            <w:tcBorders>
              <w:top w:val="nil"/>
              <w:left w:val="nil"/>
              <w:bottom w:val="single" w:sz="4" w:space="0" w:color="auto"/>
              <w:right w:val="nil"/>
            </w:tcBorders>
          </w:tcPr>
          <w:p w:rsidR="00B24DA9" w:rsidRPr="00765C97" w:rsidRDefault="00B24DA9">
            <w:pPr>
              <w:jc w:val="center"/>
              <w:rPr>
                <w:rFonts w:ascii="Arial" w:hAnsi="Arial"/>
                <w:b/>
                <w:sz w:val="20"/>
                <w:lang w:val="pl-PL"/>
              </w:rPr>
            </w:pPr>
          </w:p>
        </w:tc>
        <w:tc>
          <w:tcPr>
            <w:tcW w:w="3183" w:type="dxa"/>
            <w:gridSpan w:val="2"/>
            <w:tcBorders>
              <w:top w:val="nil"/>
              <w:left w:val="nil"/>
              <w:bottom w:val="single" w:sz="4" w:space="0" w:color="auto"/>
              <w:right w:val="nil"/>
            </w:tcBorders>
            <w:vAlign w:val="center"/>
          </w:tcPr>
          <w:p w:rsidR="00B24DA9" w:rsidRPr="00765C97" w:rsidRDefault="00B24DA9">
            <w:pPr>
              <w:jc w:val="center"/>
              <w:rPr>
                <w:rFonts w:ascii="Arial" w:hAnsi="Arial"/>
                <w:b/>
                <w:sz w:val="20"/>
                <w:lang w:val="pl-PL"/>
              </w:rPr>
            </w:pPr>
            <w:r w:rsidRPr="00765C97">
              <w:rPr>
                <w:rFonts w:ascii="Arial" w:hAnsi="Arial"/>
                <w:b/>
                <w:sz w:val="20"/>
                <w:lang w:val="pl-PL"/>
              </w:rPr>
              <w:t>Zobowiązania finansowe</w:t>
            </w:r>
          </w:p>
        </w:tc>
      </w:tr>
      <w:tr w:rsidR="00B0017E" w:rsidRPr="00765C97">
        <w:trPr>
          <w:trHeight w:val="255"/>
        </w:trPr>
        <w:tc>
          <w:tcPr>
            <w:tcW w:w="1663" w:type="dxa"/>
            <w:tcBorders>
              <w:top w:val="nil"/>
              <w:left w:val="nil"/>
              <w:bottom w:val="nil"/>
              <w:right w:val="nil"/>
            </w:tcBorders>
            <w:vAlign w:val="center"/>
          </w:tcPr>
          <w:p w:rsidR="00B0017E" w:rsidRPr="00765C97" w:rsidRDefault="00B0017E">
            <w:pPr>
              <w:rPr>
                <w:rFonts w:ascii="Arial" w:hAnsi="Arial"/>
                <w:b/>
                <w:sz w:val="20"/>
                <w:lang w:val="pl-PL"/>
              </w:rPr>
            </w:pPr>
          </w:p>
        </w:tc>
        <w:tc>
          <w:tcPr>
            <w:tcW w:w="1559" w:type="dxa"/>
            <w:tcBorders>
              <w:top w:val="single" w:sz="4" w:space="0" w:color="auto"/>
              <w:left w:val="nil"/>
              <w:bottom w:val="single" w:sz="4" w:space="0" w:color="auto"/>
              <w:right w:val="nil"/>
            </w:tcBorders>
            <w:vAlign w:val="center"/>
          </w:tcPr>
          <w:p w:rsidR="00B0017E" w:rsidRPr="00765C97" w:rsidRDefault="00B0017E">
            <w:pPr>
              <w:jc w:val="right"/>
              <w:rPr>
                <w:rFonts w:ascii="Arial" w:hAnsi="Arial"/>
                <w:b/>
                <w:sz w:val="20"/>
                <w:lang w:val="pl-PL"/>
              </w:rPr>
            </w:pPr>
            <w:r w:rsidRPr="00765C97">
              <w:rPr>
                <w:rFonts w:ascii="Arial" w:hAnsi="Arial"/>
                <w:b/>
                <w:sz w:val="20"/>
                <w:lang w:val="pl-PL"/>
              </w:rPr>
              <w:t xml:space="preserve">31 grudnia </w:t>
            </w:r>
          </w:p>
          <w:p w:rsidR="00B0017E" w:rsidRPr="00765C97" w:rsidRDefault="00B0017E" w:rsidP="006C5B07">
            <w:pPr>
              <w:jc w:val="right"/>
              <w:rPr>
                <w:rFonts w:ascii="Arial" w:hAnsi="Arial"/>
                <w:b/>
                <w:sz w:val="20"/>
                <w:lang w:val="pl-PL"/>
              </w:rPr>
            </w:pPr>
            <w:r w:rsidRPr="00765C97">
              <w:rPr>
                <w:rFonts w:ascii="Arial" w:hAnsi="Arial"/>
                <w:b/>
                <w:sz w:val="20"/>
                <w:lang w:val="pl-PL"/>
              </w:rPr>
              <w:t>201</w:t>
            </w:r>
            <w:r w:rsidR="00C36604" w:rsidRPr="00765C97">
              <w:rPr>
                <w:rFonts w:ascii="Arial" w:hAnsi="Arial"/>
                <w:b/>
                <w:sz w:val="20"/>
                <w:lang w:val="pl-PL"/>
              </w:rPr>
              <w:t>2</w:t>
            </w:r>
            <w:r w:rsidRPr="00765C97">
              <w:rPr>
                <w:rFonts w:ascii="Arial" w:hAnsi="Arial"/>
                <w:b/>
                <w:sz w:val="20"/>
                <w:lang w:val="pl-PL"/>
              </w:rPr>
              <w:t xml:space="preserve"> r.</w:t>
            </w:r>
          </w:p>
        </w:tc>
        <w:tc>
          <w:tcPr>
            <w:tcW w:w="1560" w:type="dxa"/>
            <w:tcBorders>
              <w:top w:val="single" w:sz="4" w:space="0" w:color="auto"/>
              <w:left w:val="nil"/>
              <w:bottom w:val="single" w:sz="4" w:space="0" w:color="auto"/>
              <w:right w:val="nil"/>
            </w:tcBorders>
            <w:vAlign w:val="center"/>
          </w:tcPr>
          <w:p w:rsidR="00B0017E" w:rsidRPr="00765C97" w:rsidRDefault="00B0017E" w:rsidP="00B0017E">
            <w:pPr>
              <w:jc w:val="right"/>
              <w:rPr>
                <w:rFonts w:ascii="Arial" w:hAnsi="Arial"/>
                <w:b/>
                <w:sz w:val="20"/>
                <w:lang w:val="pl-PL"/>
              </w:rPr>
            </w:pPr>
            <w:r w:rsidRPr="00765C97">
              <w:rPr>
                <w:rFonts w:ascii="Arial" w:hAnsi="Arial"/>
                <w:b/>
                <w:sz w:val="20"/>
                <w:lang w:val="pl-PL"/>
              </w:rPr>
              <w:t xml:space="preserve">31 grudnia </w:t>
            </w:r>
          </w:p>
          <w:p w:rsidR="00B0017E" w:rsidRPr="00765C97" w:rsidRDefault="00B0017E" w:rsidP="007F46E3">
            <w:pPr>
              <w:jc w:val="right"/>
              <w:rPr>
                <w:rFonts w:ascii="Arial" w:hAnsi="Arial"/>
                <w:b/>
                <w:sz w:val="20"/>
                <w:lang w:val="pl-PL"/>
              </w:rPr>
            </w:pPr>
            <w:r w:rsidRPr="00765C97">
              <w:rPr>
                <w:rFonts w:ascii="Arial" w:hAnsi="Arial"/>
                <w:b/>
                <w:sz w:val="20"/>
                <w:lang w:val="pl-PL"/>
              </w:rPr>
              <w:t>20</w:t>
            </w:r>
            <w:r w:rsidR="00C36604" w:rsidRPr="00765C97">
              <w:rPr>
                <w:rFonts w:ascii="Arial" w:hAnsi="Arial"/>
                <w:b/>
                <w:sz w:val="20"/>
                <w:lang w:val="pl-PL"/>
              </w:rPr>
              <w:t>11</w:t>
            </w:r>
            <w:r w:rsidRPr="00765C97">
              <w:rPr>
                <w:rFonts w:ascii="Arial" w:hAnsi="Arial"/>
                <w:b/>
                <w:sz w:val="20"/>
                <w:lang w:val="pl-PL"/>
              </w:rPr>
              <w:t xml:space="preserve"> r.</w:t>
            </w:r>
          </w:p>
        </w:tc>
        <w:tc>
          <w:tcPr>
            <w:tcW w:w="360" w:type="dxa"/>
            <w:tcBorders>
              <w:top w:val="single" w:sz="4" w:space="0" w:color="auto"/>
              <w:left w:val="nil"/>
              <w:bottom w:val="single" w:sz="4" w:space="0" w:color="auto"/>
              <w:right w:val="nil"/>
            </w:tcBorders>
          </w:tcPr>
          <w:p w:rsidR="00B0017E" w:rsidRPr="00765C97" w:rsidRDefault="00B0017E">
            <w:pPr>
              <w:jc w:val="right"/>
              <w:rPr>
                <w:rFonts w:ascii="Arial" w:hAnsi="Arial"/>
                <w:b/>
                <w:sz w:val="20"/>
                <w:lang w:val="pl-PL"/>
              </w:rPr>
            </w:pPr>
          </w:p>
        </w:tc>
        <w:tc>
          <w:tcPr>
            <w:tcW w:w="1584" w:type="dxa"/>
            <w:tcBorders>
              <w:top w:val="single" w:sz="4" w:space="0" w:color="auto"/>
              <w:left w:val="nil"/>
              <w:bottom w:val="single" w:sz="4" w:space="0" w:color="auto"/>
              <w:right w:val="nil"/>
            </w:tcBorders>
            <w:vAlign w:val="center"/>
          </w:tcPr>
          <w:p w:rsidR="00B0017E" w:rsidRPr="00765C97" w:rsidRDefault="00B0017E">
            <w:pPr>
              <w:jc w:val="right"/>
              <w:rPr>
                <w:rFonts w:ascii="Arial" w:hAnsi="Arial"/>
                <w:b/>
                <w:sz w:val="20"/>
                <w:lang w:val="pl-PL"/>
              </w:rPr>
            </w:pPr>
            <w:r w:rsidRPr="00765C97">
              <w:rPr>
                <w:rFonts w:ascii="Arial" w:hAnsi="Arial"/>
                <w:b/>
                <w:sz w:val="20"/>
                <w:lang w:val="pl-PL"/>
              </w:rPr>
              <w:t xml:space="preserve">31 grudnia </w:t>
            </w:r>
          </w:p>
          <w:p w:rsidR="00B0017E" w:rsidRPr="00765C97" w:rsidRDefault="00B0017E" w:rsidP="006C5B07">
            <w:pPr>
              <w:jc w:val="right"/>
              <w:rPr>
                <w:rFonts w:ascii="Arial" w:hAnsi="Arial"/>
                <w:b/>
                <w:sz w:val="20"/>
                <w:lang w:val="pl-PL"/>
              </w:rPr>
            </w:pPr>
            <w:r w:rsidRPr="00765C97">
              <w:rPr>
                <w:rFonts w:ascii="Arial" w:hAnsi="Arial"/>
                <w:b/>
                <w:sz w:val="20"/>
                <w:lang w:val="pl-PL"/>
              </w:rPr>
              <w:t>201</w:t>
            </w:r>
            <w:r w:rsidR="00C36604" w:rsidRPr="00765C97">
              <w:rPr>
                <w:rFonts w:ascii="Arial" w:hAnsi="Arial"/>
                <w:b/>
                <w:sz w:val="20"/>
                <w:lang w:val="pl-PL"/>
              </w:rPr>
              <w:t>2</w:t>
            </w:r>
            <w:r w:rsidRPr="00765C97">
              <w:rPr>
                <w:rFonts w:ascii="Arial" w:hAnsi="Arial"/>
                <w:b/>
                <w:sz w:val="20"/>
                <w:lang w:val="pl-PL"/>
              </w:rPr>
              <w:t xml:space="preserve"> r.</w:t>
            </w:r>
          </w:p>
        </w:tc>
        <w:tc>
          <w:tcPr>
            <w:tcW w:w="1599" w:type="dxa"/>
            <w:tcBorders>
              <w:top w:val="single" w:sz="4" w:space="0" w:color="auto"/>
              <w:left w:val="nil"/>
              <w:bottom w:val="single" w:sz="4" w:space="0" w:color="auto"/>
              <w:right w:val="nil"/>
            </w:tcBorders>
            <w:vAlign w:val="center"/>
          </w:tcPr>
          <w:p w:rsidR="00B0017E" w:rsidRPr="00765C97" w:rsidRDefault="00B0017E" w:rsidP="00B0017E">
            <w:pPr>
              <w:jc w:val="right"/>
              <w:rPr>
                <w:rFonts w:ascii="Arial" w:hAnsi="Arial"/>
                <w:b/>
                <w:sz w:val="20"/>
                <w:lang w:val="pl-PL"/>
              </w:rPr>
            </w:pPr>
            <w:r w:rsidRPr="00765C97">
              <w:rPr>
                <w:rFonts w:ascii="Arial" w:hAnsi="Arial"/>
                <w:b/>
                <w:sz w:val="20"/>
                <w:lang w:val="pl-PL"/>
              </w:rPr>
              <w:t xml:space="preserve">31 grudnia </w:t>
            </w:r>
          </w:p>
          <w:p w:rsidR="00B0017E" w:rsidRPr="00765C97" w:rsidRDefault="00B0017E" w:rsidP="006C5B07">
            <w:pPr>
              <w:jc w:val="right"/>
              <w:rPr>
                <w:rFonts w:ascii="Arial" w:hAnsi="Arial"/>
                <w:b/>
                <w:sz w:val="20"/>
                <w:lang w:val="pl-PL"/>
              </w:rPr>
            </w:pPr>
            <w:r w:rsidRPr="00765C97">
              <w:rPr>
                <w:rFonts w:ascii="Arial" w:hAnsi="Arial"/>
                <w:b/>
                <w:sz w:val="20"/>
                <w:lang w:val="pl-PL"/>
              </w:rPr>
              <w:t>20</w:t>
            </w:r>
            <w:r w:rsidR="00C36604" w:rsidRPr="00765C97">
              <w:rPr>
                <w:rFonts w:ascii="Arial" w:hAnsi="Arial"/>
                <w:b/>
                <w:sz w:val="20"/>
                <w:lang w:val="pl-PL"/>
              </w:rPr>
              <w:t>11</w:t>
            </w:r>
            <w:r w:rsidRPr="00765C97">
              <w:rPr>
                <w:rFonts w:ascii="Arial" w:hAnsi="Arial"/>
                <w:b/>
                <w:sz w:val="20"/>
                <w:lang w:val="pl-PL"/>
              </w:rPr>
              <w:t xml:space="preserve"> r.</w:t>
            </w:r>
          </w:p>
        </w:tc>
      </w:tr>
      <w:tr w:rsidR="00C36604" w:rsidRPr="00765C97">
        <w:trPr>
          <w:trHeight w:val="255"/>
        </w:trPr>
        <w:tc>
          <w:tcPr>
            <w:tcW w:w="1663" w:type="dxa"/>
            <w:tcBorders>
              <w:top w:val="nil"/>
              <w:left w:val="nil"/>
              <w:bottom w:val="nil"/>
              <w:right w:val="nil"/>
            </w:tcBorders>
            <w:vAlign w:val="center"/>
          </w:tcPr>
          <w:p w:rsidR="00C36604" w:rsidRPr="00765C97" w:rsidRDefault="00C36604">
            <w:pPr>
              <w:rPr>
                <w:rFonts w:ascii="Arial" w:hAnsi="Arial"/>
                <w:sz w:val="20"/>
                <w:lang w:val="pl-PL"/>
              </w:rPr>
            </w:pPr>
            <w:r w:rsidRPr="00765C97">
              <w:rPr>
                <w:rFonts w:ascii="Arial" w:hAnsi="Arial"/>
                <w:sz w:val="20"/>
                <w:lang w:val="pl-PL"/>
              </w:rPr>
              <w:t>Waluta - PLN</w:t>
            </w:r>
          </w:p>
        </w:tc>
        <w:tc>
          <w:tcPr>
            <w:tcW w:w="1559" w:type="dxa"/>
            <w:tcBorders>
              <w:top w:val="single" w:sz="4" w:space="0" w:color="auto"/>
              <w:left w:val="nil"/>
              <w:bottom w:val="nil"/>
              <w:right w:val="nil"/>
            </w:tcBorders>
            <w:vAlign w:val="center"/>
          </w:tcPr>
          <w:p w:rsidR="00C36604" w:rsidRPr="00765C97" w:rsidRDefault="00F10DB0" w:rsidP="000B1BBC">
            <w:pPr>
              <w:jc w:val="right"/>
              <w:rPr>
                <w:rFonts w:ascii="Arial" w:hAnsi="Arial"/>
                <w:sz w:val="20"/>
                <w:lang w:val="pl-PL"/>
              </w:rPr>
            </w:pPr>
            <w:r w:rsidRPr="00765C97">
              <w:rPr>
                <w:rFonts w:ascii="Arial" w:hAnsi="Arial"/>
                <w:sz w:val="20"/>
                <w:lang w:val="pl-PL"/>
              </w:rPr>
              <w:t>351 58</w:t>
            </w:r>
            <w:r w:rsidR="000B1BBC" w:rsidRPr="00765C97">
              <w:rPr>
                <w:rFonts w:ascii="Arial" w:hAnsi="Arial"/>
                <w:sz w:val="20"/>
                <w:lang w:val="pl-PL"/>
              </w:rPr>
              <w:t>7</w:t>
            </w:r>
          </w:p>
        </w:tc>
        <w:tc>
          <w:tcPr>
            <w:tcW w:w="1560" w:type="dxa"/>
            <w:tcBorders>
              <w:top w:val="single" w:sz="4" w:space="0" w:color="auto"/>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309 013</w:t>
            </w:r>
          </w:p>
        </w:tc>
        <w:tc>
          <w:tcPr>
            <w:tcW w:w="360" w:type="dxa"/>
            <w:tcBorders>
              <w:top w:val="single" w:sz="4" w:space="0" w:color="auto"/>
              <w:left w:val="nil"/>
              <w:bottom w:val="nil"/>
              <w:right w:val="nil"/>
            </w:tcBorders>
          </w:tcPr>
          <w:p w:rsidR="00C36604" w:rsidRPr="00765C97" w:rsidRDefault="00C36604">
            <w:pPr>
              <w:jc w:val="right"/>
              <w:rPr>
                <w:rFonts w:ascii="Arial" w:hAnsi="Arial"/>
                <w:sz w:val="20"/>
                <w:lang w:val="pl-PL"/>
              </w:rPr>
            </w:pPr>
          </w:p>
        </w:tc>
        <w:tc>
          <w:tcPr>
            <w:tcW w:w="1584" w:type="dxa"/>
            <w:tcBorders>
              <w:top w:val="single" w:sz="4" w:space="0" w:color="auto"/>
              <w:left w:val="nil"/>
              <w:bottom w:val="nil"/>
              <w:right w:val="nil"/>
            </w:tcBorders>
            <w:vAlign w:val="center"/>
          </w:tcPr>
          <w:p w:rsidR="00C36604" w:rsidRPr="00765C97" w:rsidRDefault="006319DD" w:rsidP="002253CA">
            <w:pPr>
              <w:jc w:val="right"/>
              <w:rPr>
                <w:rFonts w:ascii="Arial" w:hAnsi="Arial"/>
                <w:sz w:val="20"/>
                <w:lang w:val="pl-PL"/>
              </w:rPr>
            </w:pPr>
            <w:r w:rsidRPr="00765C97">
              <w:rPr>
                <w:rFonts w:ascii="Arial" w:hAnsi="Arial"/>
                <w:sz w:val="20"/>
                <w:lang w:val="pl-PL"/>
              </w:rPr>
              <w:t>156 152</w:t>
            </w:r>
          </w:p>
        </w:tc>
        <w:tc>
          <w:tcPr>
            <w:tcW w:w="1599" w:type="dxa"/>
            <w:tcBorders>
              <w:top w:val="single" w:sz="4" w:space="0" w:color="auto"/>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125 325</w:t>
            </w:r>
          </w:p>
        </w:tc>
      </w:tr>
      <w:tr w:rsidR="00C36604" w:rsidRPr="00765C97">
        <w:trPr>
          <w:trHeight w:val="255"/>
        </w:trPr>
        <w:tc>
          <w:tcPr>
            <w:tcW w:w="1663" w:type="dxa"/>
            <w:tcBorders>
              <w:top w:val="nil"/>
              <w:left w:val="nil"/>
              <w:bottom w:val="nil"/>
              <w:right w:val="nil"/>
            </w:tcBorders>
            <w:vAlign w:val="center"/>
          </w:tcPr>
          <w:p w:rsidR="00C36604" w:rsidRPr="00765C97" w:rsidRDefault="00C36604">
            <w:pPr>
              <w:rPr>
                <w:rFonts w:ascii="Arial" w:hAnsi="Arial"/>
                <w:sz w:val="20"/>
                <w:lang w:val="pl-PL"/>
              </w:rPr>
            </w:pPr>
            <w:r w:rsidRPr="00765C97">
              <w:rPr>
                <w:rFonts w:ascii="Arial" w:hAnsi="Arial"/>
                <w:sz w:val="20"/>
                <w:lang w:val="pl-PL"/>
              </w:rPr>
              <w:t>Waluta - EURO</w:t>
            </w:r>
          </w:p>
        </w:tc>
        <w:tc>
          <w:tcPr>
            <w:tcW w:w="1559" w:type="dxa"/>
            <w:tcBorders>
              <w:top w:val="nil"/>
              <w:left w:val="nil"/>
              <w:bottom w:val="nil"/>
              <w:right w:val="nil"/>
            </w:tcBorders>
            <w:vAlign w:val="center"/>
          </w:tcPr>
          <w:p w:rsidR="00C36604" w:rsidRPr="00765C97" w:rsidRDefault="00F10DB0">
            <w:pPr>
              <w:jc w:val="right"/>
              <w:rPr>
                <w:rFonts w:ascii="Arial" w:hAnsi="Arial"/>
                <w:sz w:val="20"/>
                <w:lang w:val="pl-PL"/>
              </w:rPr>
            </w:pPr>
            <w:r w:rsidRPr="00765C97">
              <w:rPr>
                <w:rFonts w:ascii="Arial" w:hAnsi="Arial"/>
                <w:sz w:val="20"/>
                <w:lang w:val="pl-PL"/>
              </w:rPr>
              <w:t>160 164</w:t>
            </w:r>
          </w:p>
        </w:tc>
        <w:tc>
          <w:tcPr>
            <w:tcW w:w="1560"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153 244</w:t>
            </w:r>
          </w:p>
        </w:tc>
        <w:tc>
          <w:tcPr>
            <w:tcW w:w="360" w:type="dxa"/>
            <w:tcBorders>
              <w:top w:val="nil"/>
              <w:left w:val="nil"/>
              <w:bottom w:val="nil"/>
              <w:right w:val="nil"/>
            </w:tcBorders>
          </w:tcPr>
          <w:p w:rsidR="00C36604" w:rsidRPr="00765C97" w:rsidRDefault="00C36604">
            <w:pPr>
              <w:jc w:val="right"/>
              <w:rPr>
                <w:rFonts w:ascii="Arial" w:hAnsi="Arial"/>
                <w:sz w:val="20"/>
                <w:lang w:val="pl-PL"/>
              </w:rPr>
            </w:pPr>
          </w:p>
        </w:tc>
        <w:tc>
          <w:tcPr>
            <w:tcW w:w="1584" w:type="dxa"/>
            <w:tcBorders>
              <w:top w:val="nil"/>
              <w:left w:val="nil"/>
              <w:bottom w:val="nil"/>
              <w:right w:val="nil"/>
            </w:tcBorders>
            <w:vAlign w:val="center"/>
          </w:tcPr>
          <w:p w:rsidR="00C36604" w:rsidRPr="00765C97" w:rsidRDefault="006319DD">
            <w:pPr>
              <w:jc w:val="right"/>
              <w:rPr>
                <w:rFonts w:ascii="Arial" w:hAnsi="Arial"/>
                <w:sz w:val="20"/>
                <w:lang w:val="pl-PL"/>
              </w:rPr>
            </w:pPr>
            <w:r w:rsidRPr="00765C97">
              <w:rPr>
                <w:rFonts w:ascii="Arial" w:hAnsi="Arial"/>
                <w:sz w:val="20"/>
                <w:lang w:val="pl-PL"/>
              </w:rPr>
              <w:t>190 903</w:t>
            </w:r>
          </w:p>
        </w:tc>
        <w:tc>
          <w:tcPr>
            <w:tcW w:w="1599"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132 734</w:t>
            </w:r>
          </w:p>
        </w:tc>
      </w:tr>
      <w:tr w:rsidR="00C36604" w:rsidRPr="00765C97">
        <w:trPr>
          <w:trHeight w:val="255"/>
        </w:trPr>
        <w:tc>
          <w:tcPr>
            <w:tcW w:w="1663" w:type="dxa"/>
            <w:tcBorders>
              <w:top w:val="nil"/>
              <w:left w:val="nil"/>
              <w:bottom w:val="nil"/>
              <w:right w:val="nil"/>
            </w:tcBorders>
            <w:vAlign w:val="center"/>
          </w:tcPr>
          <w:p w:rsidR="00C36604" w:rsidRPr="00765C97" w:rsidRDefault="00C36604">
            <w:pPr>
              <w:rPr>
                <w:rFonts w:ascii="Arial" w:hAnsi="Arial"/>
                <w:sz w:val="20"/>
                <w:lang w:val="pl-PL"/>
              </w:rPr>
            </w:pPr>
            <w:r w:rsidRPr="00765C97">
              <w:rPr>
                <w:rFonts w:ascii="Arial" w:hAnsi="Arial"/>
                <w:sz w:val="20"/>
                <w:lang w:val="pl-PL"/>
              </w:rPr>
              <w:t>Waluta - USD</w:t>
            </w:r>
          </w:p>
        </w:tc>
        <w:tc>
          <w:tcPr>
            <w:tcW w:w="1559" w:type="dxa"/>
            <w:tcBorders>
              <w:top w:val="nil"/>
              <w:left w:val="nil"/>
              <w:bottom w:val="nil"/>
              <w:right w:val="nil"/>
            </w:tcBorders>
            <w:vAlign w:val="center"/>
          </w:tcPr>
          <w:p w:rsidR="00C36604" w:rsidRPr="00765C97" w:rsidRDefault="00F10DB0">
            <w:pPr>
              <w:jc w:val="right"/>
              <w:rPr>
                <w:rFonts w:ascii="Arial" w:hAnsi="Arial"/>
                <w:sz w:val="20"/>
                <w:lang w:val="pl-PL"/>
              </w:rPr>
            </w:pPr>
            <w:r w:rsidRPr="00765C97">
              <w:rPr>
                <w:rFonts w:ascii="Arial" w:hAnsi="Arial"/>
                <w:sz w:val="20"/>
                <w:lang w:val="pl-PL"/>
              </w:rPr>
              <w:t>17 060</w:t>
            </w:r>
          </w:p>
        </w:tc>
        <w:tc>
          <w:tcPr>
            <w:tcW w:w="1560"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13 067</w:t>
            </w:r>
          </w:p>
        </w:tc>
        <w:tc>
          <w:tcPr>
            <w:tcW w:w="360" w:type="dxa"/>
            <w:tcBorders>
              <w:top w:val="nil"/>
              <w:left w:val="nil"/>
              <w:bottom w:val="nil"/>
              <w:right w:val="nil"/>
            </w:tcBorders>
          </w:tcPr>
          <w:p w:rsidR="00C36604" w:rsidRPr="00765C97" w:rsidRDefault="00C36604">
            <w:pPr>
              <w:jc w:val="right"/>
              <w:rPr>
                <w:rFonts w:ascii="Arial" w:hAnsi="Arial"/>
                <w:sz w:val="20"/>
                <w:lang w:val="pl-PL"/>
              </w:rPr>
            </w:pPr>
          </w:p>
        </w:tc>
        <w:tc>
          <w:tcPr>
            <w:tcW w:w="1584" w:type="dxa"/>
            <w:tcBorders>
              <w:top w:val="nil"/>
              <w:left w:val="nil"/>
              <w:bottom w:val="nil"/>
              <w:right w:val="nil"/>
            </w:tcBorders>
            <w:vAlign w:val="center"/>
          </w:tcPr>
          <w:p w:rsidR="00C36604" w:rsidRPr="00765C97" w:rsidRDefault="006319DD">
            <w:pPr>
              <w:jc w:val="right"/>
              <w:rPr>
                <w:rFonts w:ascii="Arial" w:hAnsi="Arial"/>
                <w:sz w:val="20"/>
                <w:lang w:val="pl-PL"/>
              </w:rPr>
            </w:pPr>
            <w:r w:rsidRPr="00765C97">
              <w:rPr>
                <w:rFonts w:ascii="Arial" w:hAnsi="Arial"/>
                <w:sz w:val="20"/>
                <w:lang w:val="pl-PL"/>
              </w:rPr>
              <w:t>11 921</w:t>
            </w:r>
          </w:p>
        </w:tc>
        <w:tc>
          <w:tcPr>
            <w:tcW w:w="1599"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3 180</w:t>
            </w:r>
          </w:p>
        </w:tc>
      </w:tr>
      <w:tr w:rsidR="00C36604" w:rsidRPr="00765C97">
        <w:trPr>
          <w:trHeight w:val="255"/>
        </w:trPr>
        <w:tc>
          <w:tcPr>
            <w:tcW w:w="1663" w:type="dxa"/>
            <w:tcBorders>
              <w:top w:val="nil"/>
              <w:left w:val="nil"/>
              <w:bottom w:val="nil"/>
              <w:right w:val="nil"/>
            </w:tcBorders>
            <w:vAlign w:val="center"/>
          </w:tcPr>
          <w:p w:rsidR="00C36604" w:rsidRPr="00765C97" w:rsidRDefault="00C36604">
            <w:pPr>
              <w:rPr>
                <w:rFonts w:ascii="Arial" w:hAnsi="Arial"/>
                <w:sz w:val="20"/>
                <w:lang w:val="pl-PL"/>
              </w:rPr>
            </w:pPr>
            <w:r w:rsidRPr="00765C97">
              <w:rPr>
                <w:rFonts w:ascii="Arial" w:hAnsi="Arial"/>
                <w:sz w:val="20"/>
                <w:lang w:val="pl-PL"/>
              </w:rPr>
              <w:t>Waluta - GBP</w:t>
            </w:r>
          </w:p>
        </w:tc>
        <w:tc>
          <w:tcPr>
            <w:tcW w:w="1559" w:type="dxa"/>
            <w:tcBorders>
              <w:top w:val="nil"/>
              <w:left w:val="nil"/>
              <w:bottom w:val="nil"/>
              <w:right w:val="nil"/>
            </w:tcBorders>
            <w:vAlign w:val="center"/>
          </w:tcPr>
          <w:p w:rsidR="00C36604" w:rsidRPr="00765C97" w:rsidRDefault="00F10DB0">
            <w:pPr>
              <w:jc w:val="right"/>
              <w:rPr>
                <w:rFonts w:ascii="Arial" w:hAnsi="Arial"/>
                <w:sz w:val="20"/>
                <w:lang w:val="pl-PL"/>
              </w:rPr>
            </w:pPr>
            <w:r w:rsidRPr="00765C97">
              <w:rPr>
                <w:rFonts w:ascii="Arial" w:hAnsi="Arial"/>
                <w:sz w:val="20"/>
                <w:lang w:val="pl-PL"/>
              </w:rPr>
              <w:t>5 335</w:t>
            </w:r>
          </w:p>
        </w:tc>
        <w:tc>
          <w:tcPr>
            <w:tcW w:w="1560"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4 878</w:t>
            </w:r>
          </w:p>
        </w:tc>
        <w:tc>
          <w:tcPr>
            <w:tcW w:w="360" w:type="dxa"/>
            <w:tcBorders>
              <w:top w:val="nil"/>
              <w:left w:val="nil"/>
              <w:bottom w:val="nil"/>
              <w:right w:val="nil"/>
            </w:tcBorders>
          </w:tcPr>
          <w:p w:rsidR="00C36604" w:rsidRPr="00765C97" w:rsidRDefault="00C36604">
            <w:pPr>
              <w:jc w:val="right"/>
              <w:rPr>
                <w:rFonts w:ascii="Arial" w:hAnsi="Arial"/>
                <w:sz w:val="20"/>
                <w:lang w:val="pl-PL"/>
              </w:rPr>
            </w:pPr>
          </w:p>
        </w:tc>
        <w:tc>
          <w:tcPr>
            <w:tcW w:w="1584" w:type="dxa"/>
            <w:tcBorders>
              <w:top w:val="nil"/>
              <w:left w:val="nil"/>
              <w:bottom w:val="nil"/>
              <w:right w:val="nil"/>
            </w:tcBorders>
            <w:vAlign w:val="center"/>
          </w:tcPr>
          <w:p w:rsidR="00C36604" w:rsidRPr="00765C97" w:rsidRDefault="006319DD">
            <w:pPr>
              <w:jc w:val="right"/>
              <w:rPr>
                <w:rFonts w:ascii="Arial" w:hAnsi="Arial"/>
                <w:sz w:val="20"/>
                <w:lang w:val="pl-PL"/>
              </w:rPr>
            </w:pPr>
            <w:r w:rsidRPr="00765C97">
              <w:rPr>
                <w:rFonts w:ascii="Arial" w:hAnsi="Arial"/>
                <w:sz w:val="20"/>
                <w:lang w:val="pl-PL"/>
              </w:rPr>
              <w:t>1 336</w:t>
            </w:r>
          </w:p>
        </w:tc>
        <w:tc>
          <w:tcPr>
            <w:tcW w:w="1599"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20</w:t>
            </w:r>
          </w:p>
        </w:tc>
      </w:tr>
      <w:tr w:rsidR="00C36604" w:rsidRPr="00765C97">
        <w:trPr>
          <w:trHeight w:val="255"/>
        </w:trPr>
        <w:tc>
          <w:tcPr>
            <w:tcW w:w="1663" w:type="dxa"/>
            <w:tcBorders>
              <w:top w:val="nil"/>
              <w:left w:val="nil"/>
              <w:bottom w:val="nil"/>
              <w:right w:val="nil"/>
            </w:tcBorders>
            <w:vAlign w:val="center"/>
          </w:tcPr>
          <w:p w:rsidR="00C36604" w:rsidRPr="00765C97" w:rsidRDefault="00C36604">
            <w:pPr>
              <w:rPr>
                <w:rFonts w:ascii="Arial" w:hAnsi="Arial"/>
                <w:sz w:val="20"/>
                <w:lang w:val="pl-PL"/>
              </w:rPr>
            </w:pPr>
            <w:r w:rsidRPr="00765C97">
              <w:rPr>
                <w:rFonts w:ascii="Arial" w:hAnsi="Arial"/>
                <w:sz w:val="20"/>
                <w:lang w:val="pl-PL"/>
              </w:rPr>
              <w:t>Waluta - UAH</w:t>
            </w:r>
          </w:p>
        </w:tc>
        <w:tc>
          <w:tcPr>
            <w:tcW w:w="1559" w:type="dxa"/>
            <w:tcBorders>
              <w:top w:val="nil"/>
              <w:left w:val="nil"/>
              <w:bottom w:val="nil"/>
              <w:right w:val="nil"/>
            </w:tcBorders>
            <w:vAlign w:val="center"/>
          </w:tcPr>
          <w:p w:rsidR="00C36604" w:rsidRPr="00765C97" w:rsidRDefault="00F10DB0">
            <w:pPr>
              <w:jc w:val="right"/>
              <w:rPr>
                <w:rFonts w:ascii="Arial" w:hAnsi="Arial"/>
                <w:sz w:val="20"/>
                <w:lang w:val="pl-PL"/>
              </w:rPr>
            </w:pPr>
            <w:r w:rsidRPr="00765C97">
              <w:rPr>
                <w:rFonts w:ascii="Arial" w:hAnsi="Arial"/>
                <w:sz w:val="20"/>
                <w:lang w:val="pl-PL"/>
              </w:rPr>
              <w:t>1 201</w:t>
            </w:r>
          </w:p>
        </w:tc>
        <w:tc>
          <w:tcPr>
            <w:tcW w:w="1560"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1 735</w:t>
            </w:r>
          </w:p>
        </w:tc>
        <w:tc>
          <w:tcPr>
            <w:tcW w:w="360" w:type="dxa"/>
            <w:tcBorders>
              <w:top w:val="nil"/>
              <w:left w:val="nil"/>
              <w:bottom w:val="nil"/>
              <w:right w:val="nil"/>
            </w:tcBorders>
          </w:tcPr>
          <w:p w:rsidR="00C36604" w:rsidRPr="00765C97" w:rsidRDefault="00C36604">
            <w:pPr>
              <w:jc w:val="right"/>
              <w:rPr>
                <w:rFonts w:ascii="Arial" w:hAnsi="Arial"/>
                <w:sz w:val="20"/>
                <w:lang w:val="pl-PL"/>
              </w:rPr>
            </w:pPr>
          </w:p>
        </w:tc>
        <w:tc>
          <w:tcPr>
            <w:tcW w:w="1584" w:type="dxa"/>
            <w:tcBorders>
              <w:top w:val="nil"/>
              <w:left w:val="nil"/>
              <w:bottom w:val="nil"/>
              <w:right w:val="nil"/>
            </w:tcBorders>
            <w:vAlign w:val="center"/>
          </w:tcPr>
          <w:p w:rsidR="00C36604" w:rsidRPr="00765C97" w:rsidRDefault="006319DD">
            <w:pPr>
              <w:jc w:val="right"/>
              <w:rPr>
                <w:rFonts w:ascii="Arial" w:hAnsi="Arial"/>
                <w:sz w:val="20"/>
                <w:lang w:val="pl-PL"/>
              </w:rPr>
            </w:pPr>
            <w:r w:rsidRPr="00765C97">
              <w:rPr>
                <w:rFonts w:ascii="Arial" w:hAnsi="Arial"/>
                <w:sz w:val="20"/>
                <w:lang w:val="pl-PL"/>
              </w:rPr>
              <w:t>234</w:t>
            </w:r>
          </w:p>
        </w:tc>
        <w:tc>
          <w:tcPr>
            <w:tcW w:w="1599"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89</w:t>
            </w:r>
          </w:p>
        </w:tc>
      </w:tr>
      <w:tr w:rsidR="00C36604" w:rsidRPr="00765C97">
        <w:trPr>
          <w:trHeight w:val="255"/>
        </w:trPr>
        <w:tc>
          <w:tcPr>
            <w:tcW w:w="1663" w:type="dxa"/>
            <w:tcBorders>
              <w:top w:val="nil"/>
              <w:left w:val="nil"/>
              <w:bottom w:val="nil"/>
              <w:right w:val="nil"/>
            </w:tcBorders>
            <w:vAlign w:val="center"/>
          </w:tcPr>
          <w:p w:rsidR="00C36604" w:rsidRPr="00765C97" w:rsidRDefault="00C36604">
            <w:pPr>
              <w:rPr>
                <w:rFonts w:ascii="Arial" w:hAnsi="Arial"/>
                <w:sz w:val="20"/>
                <w:lang w:val="pl-PL"/>
              </w:rPr>
            </w:pPr>
            <w:r w:rsidRPr="00765C97">
              <w:rPr>
                <w:rFonts w:ascii="Arial" w:hAnsi="Arial"/>
                <w:sz w:val="20"/>
                <w:lang w:val="pl-PL"/>
              </w:rPr>
              <w:t>Waluta - AED</w:t>
            </w:r>
          </w:p>
        </w:tc>
        <w:tc>
          <w:tcPr>
            <w:tcW w:w="1559" w:type="dxa"/>
            <w:tcBorders>
              <w:top w:val="nil"/>
              <w:left w:val="nil"/>
              <w:bottom w:val="nil"/>
              <w:right w:val="nil"/>
            </w:tcBorders>
            <w:vAlign w:val="center"/>
          </w:tcPr>
          <w:p w:rsidR="00C36604" w:rsidRPr="00765C97" w:rsidRDefault="00F10DB0">
            <w:pPr>
              <w:jc w:val="right"/>
              <w:rPr>
                <w:rFonts w:ascii="Arial" w:hAnsi="Arial"/>
                <w:sz w:val="20"/>
                <w:lang w:val="pl-PL"/>
              </w:rPr>
            </w:pPr>
            <w:r w:rsidRPr="00765C97">
              <w:rPr>
                <w:rFonts w:ascii="Arial" w:hAnsi="Arial"/>
                <w:sz w:val="20"/>
                <w:lang w:val="pl-PL"/>
              </w:rPr>
              <w:t>872</w:t>
            </w:r>
          </w:p>
        </w:tc>
        <w:tc>
          <w:tcPr>
            <w:tcW w:w="1560"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2 134</w:t>
            </w:r>
          </w:p>
        </w:tc>
        <w:tc>
          <w:tcPr>
            <w:tcW w:w="360" w:type="dxa"/>
            <w:tcBorders>
              <w:top w:val="nil"/>
              <w:left w:val="nil"/>
              <w:bottom w:val="nil"/>
              <w:right w:val="nil"/>
            </w:tcBorders>
          </w:tcPr>
          <w:p w:rsidR="00C36604" w:rsidRPr="00765C97" w:rsidRDefault="00C36604">
            <w:pPr>
              <w:jc w:val="right"/>
              <w:rPr>
                <w:rFonts w:ascii="Arial" w:hAnsi="Arial"/>
                <w:sz w:val="20"/>
                <w:lang w:val="pl-PL"/>
              </w:rPr>
            </w:pPr>
          </w:p>
        </w:tc>
        <w:tc>
          <w:tcPr>
            <w:tcW w:w="1584" w:type="dxa"/>
            <w:tcBorders>
              <w:top w:val="nil"/>
              <w:left w:val="nil"/>
              <w:bottom w:val="nil"/>
              <w:right w:val="nil"/>
            </w:tcBorders>
            <w:vAlign w:val="center"/>
          </w:tcPr>
          <w:p w:rsidR="00C36604" w:rsidRPr="00765C97" w:rsidRDefault="006319DD">
            <w:pPr>
              <w:jc w:val="right"/>
              <w:rPr>
                <w:rFonts w:ascii="Arial" w:hAnsi="Arial"/>
                <w:sz w:val="20"/>
                <w:lang w:val="pl-PL"/>
              </w:rPr>
            </w:pPr>
            <w:r w:rsidRPr="00765C97">
              <w:rPr>
                <w:rFonts w:ascii="Arial" w:hAnsi="Arial"/>
                <w:sz w:val="20"/>
                <w:lang w:val="pl-PL"/>
              </w:rPr>
              <w:t>76</w:t>
            </w:r>
          </w:p>
        </w:tc>
        <w:tc>
          <w:tcPr>
            <w:tcW w:w="1599"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93</w:t>
            </w:r>
          </w:p>
        </w:tc>
      </w:tr>
      <w:tr w:rsidR="00C36604" w:rsidRPr="00765C97">
        <w:trPr>
          <w:trHeight w:val="255"/>
        </w:trPr>
        <w:tc>
          <w:tcPr>
            <w:tcW w:w="1663" w:type="dxa"/>
            <w:tcBorders>
              <w:top w:val="nil"/>
              <w:left w:val="nil"/>
              <w:bottom w:val="nil"/>
              <w:right w:val="nil"/>
            </w:tcBorders>
            <w:vAlign w:val="center"/>
          </w:tcPr>
          <w:p w:rsidR="00C36604" w:rsidRPr="00765C97" w:rsidRDefault="00C36604">
            <w:pPr>
              <w:rPr>
                <w:rFonts w:ascii="Arial" w:hAnsi="Arial"/>
                <w:sz w:val="20"/>
                <w:lang w:val="pl-PL"/>
              </w:rPr>
            </w:pPr>
            <w:r w:rsidRPr="00765C97">
              <w:rPr>
                <w:rFonts w:ascii="Arial" w:hAnsi="Arial"/>
                <w:sz w:val="20"/>
                <w:lang w:val="pl-PL"/>
              </w:rPr>
              <w:t>Waluta - SKK</w:t>
            </w:r>
          </w:p>
        </w:tc>
        <w:tc>
          <w:tcPr>
            <w:tcW w:w="1559" w:type="dxa"/>
            <w:tcBorders>
              <w:top w:val="nil"/>
              <w:left w:val="nil"/>
              <w:bottom w:val="nil"/>
              <w:right w:val="nil"/>
            </w:tcBorders>
            <w:vAlign w:val="center"/>
          </w:tcPr>
          <w:p w:rsidR="00C36604" w:rsidRPr="00765C97" w:rsidRDefault="00F10DB0">
            <w:pPr>
              <w:jc w:val="right"/>
              <w:rPr>
                <w:rFonts w:ascii="Arial" w:hAnsi="Arial"/>
                <w:sz w:val="20"/>
                <w:lang w:val="pl-PL"/>
              </w:rPr>
            </w:pPr>
            <w:r w:rsidRPr="00765C97">
              <w:rPr>
                <w:rFonts w:ascii="Arial" w:hAnsi="Arial"/>
                <w:sz w:val="20"/>
                <w:lang w:val="pl-PL"/>
              </w:rPr>
              <w:t>6</w:t>
            </w:r>
          </w:p>
        </w:tc>
        <w:tc>
          <w:tcPr>
            <w:tcW w:w="1560"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w:t>
            </w:r>
          </w:p>
        </w:tc>
        <w:tc>
          <w:tcPr>
            <w:tcW w:w="360" w:type="dxa"/>
            <w:tcBorders>
              <w:top w:val="nil"/>
              <w:left w:val="nil"/>
              <w:bottom w:val="nil"/>
              <w:right w:val="nil"/>
            </w:tcBorders>
          </w:tcPr>
          <w:p w:rsidR="00C36604" w:rsidRPr="00765C97" w:rsidRDefault="00C36604">
            <w:pPr>
              <w:jc w:val="right"/>
              <w:rPr>
                <w:rFonts w:ascii="Arial" w:hAnsi="Arial"/>
                <w:sz w:val="20"/>
                <w:lang w:val="pl-PL"/>
              </w:rPr>
            </w:pPr>
          </w:p>
        </w:tc>
        <w:tc>
          <w:tcPr>
            <w:tcW w:w="1584" w:type="dxa"/>
            <w:tcBorders>
              <w:top w:val="nil"/>
              <w:left w:val="nil"/>
              <w:bottom w:val="nil"/>
              <w:right w:val="nil"/>
            </w:tcBorders>
            <w:vAlign w:val="center"/>
          </w:tcPr>
          <w:p w:rsidR="00C36604" w:rsidRPr="00765C97" w:rsidRDefault="006319DD">
            <w:pPr>
              <w:jc w:val="right"/>
              <w:rPr>
                <w:rFonts w:ascii="Arial" w:hAnsi="Arial"/>
                <w:sz w:val="20"/>
                <w:lang w:val="pl-PL"/>
              </w:rPr>
            </w:pPr>
            <w:r w:rsidRPr="00765C97">
              <w:rPr>
                <w:rFonts w:ascii="Arial" w:hAnsi="Arial"/>
                <w:sz w:val="20"/>
                <w:lang w:val="pl-PL"/>
              </w:rPr>
              <w:t>-</w:t>
            </w:r>
          </w:p>
        </w:tc>
        <w:tc>
          <w:tcPr>
            <w:tcW w:w="1599"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w:t>
            </w:r>
          </w:p>
        </w:tc>
      </w:tr>
      <w:tr w:rsidR="00C36604" w:rsidRPr="00765C97">
        <w:trPr>
          <w:trHeight w:val="255"/>
        </w:trPr>
        <w:tc>
          <w:tcPr>
            <w:tcW w:w="1663" w:type="dxa"/>
            <w:tcBorders>
              <w:top w:val="nil"/>
              <w:left w:val="nil"/>
              <w:bottom w:val="nil"/>
              <w:right w:val="nil"/>
            </w:tcBorders>
            <w:vAlign w:val="center"/>
          </w:tcPr>
          <w:p w:rsidR="00C36604" w:rsidRPr="00765C97" w:rsidRDefault="00C36604">
            <w:pPr>
              <w:rPr>
                <w:rFonts w:ascii="Arial" w:hAnsi="Arial"/>
                <w:sz w:val="20"/>
                <w:lang w:val="pl-PL"/>
              </w:rPr>
            </w:pPr>
            <w:r w:rsidRPr="00765C97">
              <w:rPr>
                <w:rFonts w:ascii="Arial" w:hAnsi="Arial"/>
                <w:sz w:val="20"/>
                <w:lang w:val="pl-PL"/>
              </w:rPr>
              <w:t>Waluta - RUB</w:t>
            </w:r>
          </w:p>
        </w:tc>
        <w:tc>
          <w:tcPr>
            <w:tcW w:w="1559" w:type="dxa"/>
            <w:tcBorders>
              <w:top w:val="nil"/>
              <w:left w:val="nil"/>
              <w:bottom w:val="nil"/>
              <w:right w:val="nil"/>
            </w:tcBorders>
            <w:vAlign w:val="center"/>
          </w:tcPr>
          <w:p w:rsidR="00C36604" w:rsidRPr="00765C97" w:rsidRDefault="00F10DB0">
            <w:pPr>
              <w:jc w:val="right"/>
              <w:rPr>
                <w:rFonts w:ascii="Arial" w:hAnsi="Arial"/>
                <w:sz w:val="20"/>
                <w:lang w:val="pl-PL"/>
              </w:rPr>
            </w:pPr>
            <w:r w:rsidRPr="00765C97">
              <w:rPr>
                <w:rFonts w:ascii="Arial" w:hAnsi="Arial"/>
                <w:sz w:val="20"/>
                <w:lang w:val="pl-PL"/>
              </w:rPr>
              <w:t>1 268</w:t>
            </w:r>
          </w:p>
        </w:tc>
        <w:tc>
          <w:tcPr>
            <w:tcW w:w="1560"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600</w:t>
            </w:r>
          </w:p>
        </w:tc>
        <w:tc>
          <w:tcPr>
            <w:tcW w:w="360" w:type="dxa"/>
            <w:tcBorders>
              <w:top w:val="nil"/>
              <w:left w:val="nil"/>
              <w:bottom w:val="nil"/>
              <w:right w:val="nil"/>
            </w:tcBorders>
          </w:tcPr>
          <w:p w:rsidR="00C36604" w:rsidRPr="00765C97" w:rsidRDefault="00C36604">
            <w:pPr>
              <w:jc w:val="right"/>
              <w:rPr>
                <w:rFonts w:ascii="Arial" w:hAnsi="Arial"/>
                <w:sz w:val="20"/>
                <w:lang w:val="pl-PL"/>
              </w:rPr>
            </w:pPr>
          </w:p>
        </w:tc>
        <w:tc>
          <w:tcPr>
            <w:tcW w:w="1584" w:type="dxa"/>
            <w:tcBorders>
              <w:top w:val="nil"/>
              <w:left w:val="nil"/>
              <w:bottom w:val="nil"/>
              <w:right w:val="nil"/>
            </w:tcBorders>
            <w:vAlign w:val="center"/>
          </w:tcPr>
          <w:p w:rsidR="00C36604" w:rsidRPr="00765C97" w:rsidRDefault="006319DD">
            <w:pPr>
              <w:jc w:val="right"/>
              <w:rPr>
                <w:rFonts w:ascii="Arial" w:hAnsi="Arial"/>
                <w:sz w:val="20"/>
                <w:lang w:val="pl-PL"/>
              </w:rPr>
            </w:pPr>
            <w:r w:rsidRPr="00765C97">
              <w:rPr>
                <w:rFonts w:ascii="Arial" w:hAnsi="Arial"/>
                <w:sz w:val="20"/>
                <w:lang w:val="pl-PL"/>
              </w:rPr>
              <w:t>58</w:t>
            </w:r>
          </w:p>
        </w:tc>
        <w:tc>
          <w:tcPr>
            <w:tcW w:w="1599" w:type="dxa"/>
            <w:tcBorders>
              <w:top w:val="nil"/>
              <w:left w:val="nil"/>
              <w:bottom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15</w:t>
            </w:r>
          </w:p>
        </w:tc>
      </w:tr>
      <w:tr w:rsidR="00C36604" w:rsidRPr="00765C97" w:rsidTr="00AF2376">
        <w:trPr>
          <w:trHeight w:val="255"/>
        </w:trPr>
        <w:tc>
          <w:tcPr>
            <w:tcW w:w="1663" w:type="dxa"/>
            <w:tcBorders>
              <w:top w:val="nil"/>
              <w:left w:val="nil"/>
              <w:right w:val="nil"/>
            </w:tcBorders>
            <w:vAlign w:val="center"/>
          </w:tcPr>
          <w:p w:rsidR="00C36604" w:rsidRPr="00765C97" w:rsidRDefault="00C36604">
            <w:pPr>
              <w:rPr>
                <w:rFonts w:ascii="Arial" w:hAnsi="Arial"/>
                <w:sz w:val="20"/>
                <w:lang w:val="pl-PL"/>
              </w:rPr>
            </w:pPr>
            <w:r w:rsidRPr="00765C97">
              <w:rPr>
                <w:rFonts w:ascii="Arial" w:hAnsi="Arial"/>
                <w:sz w:val="20"/>
                <w:lang w:val="pl-PL"/>
              </w:rPr>
              <w:t>Waluta - CHF</w:t>
            </w:r>
          </w:p>
        </w:tc>
        <w:tc>
          <w:tcPr>
            <w:tcW w:w="1559" w:type="dxa"/>
            <w:tcBorders>
              <w:top w:val="nil"/>
              <w:left w:val="nil"/>
              <w:right w:val="nil"/>
            </w:tcBorders>
            <w:vAlign w:val="center"/>
          </w:tcPr>
          <w:p w:rsidR="00C36604" w:rsidRPr="00765C97" w:rsidRDefault="00F10DB0">
            <w:pPr>
              <w:jc w:val="right"/>
              <w:rPr>
                <w:rFonts w:ascii="Arial" w:hAnsi="Arial"/>
                <w:sz w:val="20"/>
                <w:lang w:val="pl-PL"/>
              </w:rPr>
            </w:pPr>
            <w:r w:rsidRPr="00765C97">
              <w:rPr>
                <w:rFonts w:ascii="Arial" w:hAnsi="Arial"/>
                <w:sz w:val="20"/>
                <w:lang w:val="pl-PL"/>
              </w:rPr>
              <w:t>4 145</w:t>
            </w:r>
          </w:p>
        </w:tc>
        <w:tc>
          <w:tcPr>
            <w:tcW w:w="1560" w:type="dxa"/>
            <w:tcBorders>
              <w:top w:val="nil"/>
              <w:left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2 196</w:t>
            </w:r>
          </w:p>
        </w:tc>
        <w:tc>
          <w:tcPr>
            <w:tcW w:w="360" w:type="dxa"/>
            <w:tcBorders>
              <w:top w:val="nil"/>
              <w:left w:val="nil"/>
              <w:right w:val="nil"/>
            </w:tcBorders>
          </w:tcPr>
          <w:p w:rsidR="00C36604" w:rsidRPr="00765C97" w:rsidRDefault="00C36604">
            <w:pPr>
              <w:jc w:val="right"/>
              <w:rPr>
                <w:rFonts w:ascii="Arial" w:hAnsi="Arial"/>
                <w:sz w:val="20"/>
                <w:lang w:val="pl-PL"/>
              </w:rPr>
            </w:pPr>
          </w:p>
        </w:tc>
        <w:tc>
          <w:tcPr>
            <w:tcW w:w="1584" w:type="dxa"/>
            <w:tcBorders>
              <w:top w:val="nil"/>
              <w:left w:val="nil"/>
              <w:right w:val="nil"/>
            </w:tcBorders>
            <w:vAlign w:val="center"/>
          </w:tcPr>
          <w:p w:rsidR="00C36604" w:rsidRPr="00765C97" w:rsidRDefault="006319DD">
            <w:pPr>
              <w:jc w:val="right"/>
              <w:rPr>
                <w:rFonts w:ascii="Arial" w:hAnsi="Arial"/>
                <w:sz w:val="20"/>
                <w:lang w:val="pl-PL"/>
              </w:rPr>
            </w:pPr>
            <w:r w:rsidRPr="00765C97">
              <w:rPr>
                <w:rFonts w:ascii="Arial" w:hAnsi="Arial"/>
                <w:sz w:val="20"/>
                <w:lang w:val="pl-PL"/>
              </w:rPr>
              <w:t>1 168</w:t>
            </w:r>
          </w:p>
        </w:tc>
        <w:tc>
          <w:tcPr>
            <w:tcW w:w="1599" w:type="dxa"/>
            <w:tcBorders>
              <w:top w:val="nil"/>
              <w:left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464</w:t>
            </w:r>
          </w:p>
        </w:tc>
      </w:tr>
      <w:tr w:rsidR="00C36604" w:rsidRPr="00765C97" w:rsidTr="00AF2376">
        <w:trPr>
          <w:trHeight w:val="255"/>
        </w:trPr>
        <w:tc>
          <w:tcPr>
            <w:tcW w:w="1663" w:type="dxa"/>
            <w:tcBorders>
              <w:top w:val="nil"/>
              <w:left w:val="nil"/>
              <w:right w:val="nil"/>
            </w:tcBorders>
            <w:vAlign w:val="center"/>
          </w:tcPr>
          <w:p w:rsidR="00C36604" w:rsidRPr="00765C97" w:rsidRDefault="00C36604">
            <w:pPr>
              <w:rPr>
                <w:rFonts w:ascii="Arial" w:hAnsi="Arial"/>
                <w:sz w:val="20"/>
                <w:lang w:val="pl-PL"/>
              </w:rPr>
            </w:pPr>
            <w:r w:rsidRPr="00765C97">
              <w:rPr>
                <w:rFonts w:ascii="Arial" w:hAnsi="Arial"/>
                <w:sz w:val="20"/>
                <w:lang w:val="pl-PL"/>
              </w:rPr>
              <w:t>Waluta - CAD</w:t>
            </w:r>
          </w:p>
        </w:tc>
        <w:tc>
          <w:tcPr>
            <w:tcW w:w="1559" w:type="dxa"/>
            <w:tcBorders>
              <w:top w:val="nil"/>
              <w:left w:val="nil"/>
              <w:right w:val="nil"/>
            </w:tcBorders>
            <w:vAlign w:val="center"/>
          </w:tcPr>
          <w:p w:rsidR="00C36604" w:rsidRPr="00765C97" w:rsidRDefault="00F10DB0" w:rsidP="00E21FE5">
            <w:pPr>
              <w:jc w:val="right"/>
              <w:rPr>
                <w:rFonts w:ascii="Arial" w:hAnsi="Arial"/>
                <w:sz w:val="20"/>
                <w:lang w:val="pl-PL"/>
              </w:rPr>
            </w:pPr>
            <w:r w:rsidRPr="00765C97">
              <w:rPr>
                <w:rFonts w:ascii="Arial" w:hAnsi="Arial"/>
                <w:sz w:val="20"/>
                <w:lang w:val="pl-PL"/>
              </w:rPr>
              <w:t>4 066</w:t>
            </w:r>
          </w:p>
        </w:tc>
        <w:tc>
          <w:tcPr>
            <w:tcW w:w="1560" w:type="dxa"/>
            <w:tcBorders>
              <w:top w:val="nil"/>
              <w:left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3 149</w:t>
            </w:r>
          </w:p>
        </w:tc>
        <w:tc>
          <w:tcPr>
            <w:tcW w:w="360" w:type="dxa"/>
            <w:tcBorders>
              <w:top w:val="nil"/>
              <w:left w:val="nil"/>
              <w:right w:val="nil"/>
            </w:tcBorders>
          </w:tcPr>
          <w:p w:rsidR="00C36604" w:rsidRPr="00765C97" w:rsidRDefault="00C36604">
            <w:pPr>
              <w:jc w:val="right"/>
              <w:rPr>
                <w:rFonts w:ascii="Arial" w:hAnsi="Arial"/>
                <w:sz w:val="20"/>
                <w:lang w:val="pl-PL"/>
              </w:rPr>
            </w:pPr>
          </w:p>
        </w:tc>
        <w:tc>
          <w:tcPr>
            <w:tcW w:w="1584" w:type="dxa"/>
            <w:tcBorders>
              <w:top w:val="nil"/>
              <w:left w:val="nil"/>
              <w:right w:val="nil"/>
            </w:tcBorders>
            <w:vAlign w:val="center"/>
          </w:tcPr>
          <w:p w:rsidR="00C36604" w:rsidRPr="00765C97" w:rsidRDefault="006319DD">
            <w:pPr>
              <w:jc w:val="right"/>
              <w:rPr>
                <w:rFonts w:ascii="Arial" w:hAnsi="Arial"/>
                <w:sz w:val="20"/>
                <w:lang w:val="pl-PL"/>
              </w:rPr>
            </w:pPr>
            <w:r w:rsidRPr="00765C97">
              <w:rPr>
                <w:rFonts w:ascii="Arial" w:hAnsi="Arial"/>
                <w:sz w:val="20"/>
                <w:lang w:val="pl-PL"/>
              </w:rPr>
              <w:t>1 757</w:t>
            </w:r>
          </w:p>
        </w:tc>
        <w:tc>
          <w:tcPr>
            <w:tcW w:w="1599" w:type="dxa"/>
            <w:tcBorders>
              <w:top w:val="nil"/>
              <w:left w:val="nil"/>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1 111</w:t>
            </w:r>
          </w:p>
        </w:tc>
      </w:tr>
      <w:tr w:rsidR="00C36604" w:rsidRPr="00765C97" w:rsidTr="008030BE">
        <w:trPr>
          <w:trHeight w:val="255"/>
        </w:trPr>
        <w:tc>
          <w:tcPr>
            <w:tcW w:w="1663" w:type="dxa"/>
            <w:tcBorders>
              <w:top w:val="nil"/>
              <w:left w:val="nil"/>
              <w:right w:val="nil"/>
            </w:tcBorders>
            <w:vAlign w:val="center"/>
          </w:tcPr>
          <w:p w:rsidR="00C36604" w:rsidRPr="00765C97" w:rsidRDefault="00C36604">
            <w:pPr>
              <w:rPr>
                <w:rFonts w:ascii="Arial" w:hAnsi="Arial"/>
                <w:sz w:val="20"/>
                <w:lang w:val="pl-PL"/>
              </w:rPr>
            </w:pPr>
            <w:r w:rsidRPr="00765C97">
              <w:rPr>
                <w:rFonts w:ascii="Arial" w:hAnsi="Arial"/>
                <w:sz w:val="20"/>
                <w:lang w:val="pl-PL"/>
              </w:rPr>
              <w:t>Waluty - inne</w:t>
            </w:r>
          </w:p>
        </w:tc>
        <w:tc>
          <w:tcPr>
            <w:tcW w:w="1559" w:type="dxa"/>
            <w:tcBorders>
              <w:top w:val="nil"/>
              <w:left w:val="nil"/>
              <w:bottom w:val="single" w:sz="4" w:space="0" w:color="auto"/>
              <w:right w:val="nil"/>
            </w:tcBorders>
            <w:vAlign w:val="center"/>
          </w:tcPr>
          <w:p w:rsidR="00C36604" w:rsidRPr="00765C97" w:rsidRDefault="00F10DB0" w:rsidP="00E21FE5">
            <w:pPr>
              <w:jc w:val="right"/>
              <w:rPr>
                <w:rFonts w:ascii="Arial" w:hAnsi="Arial"/>
                <w:sz w:val="20"/>
                <w:lang w:val="pl-PL"/>
              </w:rPr>
            </w:pPr>
            <w:r w:rsidRPr="00765C97">
              <w:rPr>
                <w:rFonts w:ascii="Arial" w:hAnsi="Arial"/>
                <w:sz w:val="20"/>
                <w:lang w:val="pl-PL"/>
              </w:rPr>
              <w:t>971</w:t>
            </w:r>
          </w:p>
        </w:tc>
        <w:tc>
          <w:tcPr>
            <w:tcW w:w="1560" w:type="dxa"/>
            <w:tcBorders>
              <w:top w:val="nil"/>
              <w:left w:val="nil"/>
              <w:bottom w:val="single" w:sz="4" w:space="0" w:color="auto"/>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1 310</w:t>
            </w:r>
          </w:p>
        </w:tc>
        <w:tc>
          <w:tcPr>
            <w:tcW w:w="360" w:type="dxa"/>
            <w:tcBorders>
              <w:top w:val="nil"/>
              <w:left w:val="nil"/>
              <w:bottom w:val="single" w:sz="4" w:space="0" w:color="auto"/>
              <w:right w:val="nil"/>
            </w:tcBorders>
          </w:tcPr>
          <w:p w:rsidR="00C36604" w:rsidRPr="00765C97" w:rsidRDefault="00C36604">
            <w:pPr>
              <w:jc w:val="right"/>
              <w:rPr>
                <w:rFonts w:ascii="Arial" w:hAnsi="Arial"/>
                <w:sz w:val="20"/>
                <w:lang w:val="pl-PL"/>
              </w:rPr>
            </w:pPr>
          </w:p>
        </w:tc>
        <w:tc>
          <w:tcPr>
            <w:tcW w:w="1584" w:type="dxa"/>
            <w:tcBorders>
              <w:top w:val="nil"/>
              <w:left w:val="nil"/>
              <w:bottom w:val="single" w:sz="4" w:space="0" w:color="auto"/>
              <w:right w:val="nil"/>
            </w:tcBorders>
            <w:vAlign w:val="center"/>
          </w:tcPr>
          <w:p w:rsidR="00C36604" w:rsidRPr="00765C97" w:rsidRDefault="006319DD">
            <w:pPr>
              <w:jc w:val="right"/>
              <w:rPr>
                <w:rFonts w:ascii="Arial" w:hAnsi="Arial"/>
                <w:sz w:val="20"/>
                <w:lang w:val="pl-PL"/>
              </w:rPr>
            </w:pPr>
            <w:r w:rsidRPr="00765C97">
              <w:rPr>
                <w:rFonts w:ascii="Arial" w:hAnsi="Arial"/>
                <w:sz w:val="20"/>
                <w:lang w:val="pl-PL"/>
              </w:rPr>
              <w:t>108</w:t>
            </w:r>
          </w:p>
        </w:tc>
        <w:tc>
          <w:tcPr>
            <w:tcW w:w="1599" w:type="dxa"/>
            <w:tcBorders>
              <w:top w:val="nil"/>
              <w:left w:val="nil"/>
              <w:bottom w:val="single" w:sz="4" w:space="0" w:color="auto"/>
              <w:right w:val="nil"/>
            </w:tcBorders>
            <w:vAlign w:val="center"/>
          </w:tcPr>
          <w:p w:rsidR="00C36604" w:rsidRPr="00765C97" w:rsidRDefault="00C36604" w:rsidP="00385F70">
            <w:pPr>
              <w:jc w:val="right"/>
              <w:rPr>
                <w:rFonts w:ascii="Arial" w:hAnsi="Arial"/>
                <w:sz w:val="20"/>
                <w:lang w:val="pl-PL"/>
              </w:rPr>
            </w:pPr>
            <w:r w:rsidRPr="00765C97">
              <w:rPr>
                <w:rFonts w:ascii="Arial" w:hAnsi="Arial"/>
                <w:sz w:val="20"/>
                <w:lang w:val="pl-PL"/>
              </w:rPr>
              <w:t>317</w:t>
            </w:r>
          </w:p>
        </w:tc>
      </w:tr>
      <w:tr w:rsidR="00C36604" w:rsidRPr="00765C97" w:rsidTr="008030BE">
        <w:trPr>
          <w:trHeight w:val="255"/>
        </w:trPr>
        <w:tc>
          <w:tcPr>
            <w:tcW w:w="1663" w:type="dxa"/>
            <w:tcBorders>
              <w:left w:val="nil"/>
              <w:right w:val="nil"/>
            </w:tcBorders>
            <w:vAlign w:val="center"/>
          </w:tcPr>
          <w:p w:rsidR="00C36604" w:rsidRPr="00765C97" w:rsidRDefault="00C36604">
            <w:pPr>
              <w:rPr>
                <w:rFonts w:ascii="Arial" w:hAnsi="Arial"/>
                <w:b/>
                <w:sz w:val="20"/>
                <w:lang w:val="pl-PL"/>
              </w:rPr>
            </w:pPr>
            <w:r w:rsidRPr="00765C97">
              <w:rPr>
                <w:rFonts w:ascii="Arial" w:hAnsi="Arial"/>
                <w:b/>
                <w:sz w:val="20"/>
                <w:lang w:val="pl-PL"/>
              </w:rPr>
              <w:t>Razem</w:t>
            </w:r>
          </w:p>
        </w:tc>
        <w:tc>
          <w:tcPr>
            <w:tcW w:w="1559" w:type="dxa"/>
            <w:tcBorders>
              <w:top w:val="single" w:sz="4" w:space="0" w:color="auto"/>
              <w:left w:val="nil"/>
              <w:bottom w:val="single" w:sz="4" w:space="0" w:color="auto"/>
              <w:right w:val="nil"/>
            </w:tcBorders>
            <w:vAlign w:val="center"/>
          </w:tcPr>
          <w:p w:rsidR="00C36604" w:rsidRPr="00765C97" w:rsidRDefault="00F10DB0" w:rsidP="000B1BBC">
            <w:pPr>
              <w:jc w:val="right"/>
              <w:rPr>
                <w:rFonts w:ascii="Arial" w:hAnsi="Arial"/>
                <w:b/>
                <w:sz w:val="20"/>
                <w:lang w:val="pl-PL"/>
              </w:rPr>
            </w:pPr>
            <w:r w:rsidRPr="00765C97">
              <w:rPr>
                <w:rFonts w:ascii="Arial" w:hAnsi="Arial"/>
                <w:b/>
                <w:sz w:val="20"/>
                <w:lang w:val="pl-PL"/>
              </w:rPr>
              <w:t>546 67</w:t>
            </w:r>
            <w:r w:rsidR="000B1BBC" w:rsidRPr="00765C97">
              <w:rPr>
                <w:rFonts w:ascii="Arial" w:hAnsi="Arial"/>
                <w:b/>
                <w:sz w:val="20"/>
                <w:lang w:val="pl-PL"/>
              </w:rPr>
              <w:t>5</w:t>
            </w:r>
          </w:p>
        </w:tc>
        <w:tc>
          <w:tcPr>
            <w:tcW w:w="1560" w:type="dxa"/>
            <w:tcBorders>
              <w:top w:val="single" w:sz="4" w:space="0" w:color="auto"/>
              <w:left w:val="nil"/>
              <w:bottom w:val="single" w:sz="4" w:space="0" w:color="auto"/>
              <w:right w:val="nil"/>
            </w:tcBorders>
            <w:vAlign w:val="center"/>
          </w:tcPr>
          <w:p w:rsidR="00C36604" w:rsidRPr="00765C97" w:rsidRDefault="00C36604" w:rsidP="00385F70">
            <w:pPr>
              <w:jc w:val="right"/>
              <w:rPr>
                <w:rFonts w:ascii="Arial" w:hAnsi="Arial"/>
                <w:b/>
                <w:sz w:val="20"/>
                <w:lang w:val="pl-PL"/>
              </w:rPr>
            </w:pPr>
            <w:r w:rsidRPr="00765C97">
              <w:rPr>
                <w:rFonts w:ascii="Arial" w:hAnsi="Arial"/>
                <w:b/>
                <w:sz w:val="20"/>
                <w:lang w:val="pl-PL"/>
              </w:rPr>
              <w:t>491 326</w:t>
            </w:r>
          </w:p>
        </w:tc>
        <w:tc>
          <w:tcPr>
            <w:tcW w:w="360" w:type="dxa"/>
            <w:tcBorders>
              <w:top w:val="single" w:sz="4" w:space="0" w:color="auto"/>
              <w:left w:val="nil"/>
              <w:bottom w:val="single" w:sz="4" w:space="0" w:color="auto"/>
              <w:right w:val="nil"/>
            </w:tcBorders>
          </w:tcPr>
          <w:p w:rsidR="00C36604" w:rsidRPr="00765C97" w:rsidRDefault="00C36604">
            <w:pPr>
              <w:jc w:val="right"/>
              <w:rPr>
                <w:rFonts w:ascii="Arial" w:hAnsi="Arial"/>
                <w:b/>
                <w:sz w:val="20"/>
                <w:lang w:val="pl-PL"/>
              </w:rPr>
            </w:pPr>
          </w:p>
        </w:tc>
        <w:tc>
          <w:tcPr>
            <w:tcW w:w="1584" w:type="dxa"/>
            <w:tcBorders>
              <w:top w:val="single" w:sz="4" w:space="0" w:color="auto"/>
              <w:left w:val="nil"/>
              <w:bottom w:val="single" w:sz="4" w:space="0" w:color="auto"/>
              <w:right w:val="nil"/>
            </w:tcBorders>
            <w:vAlign w:val="center"/>
          </w:tcPr>
          <w:p w:rsidR="00C36604" w:rsidRPr="00765C97" w:rsidRDefault="006319DD" w:rsidP="00AC0234">
            <w:pPr>
              <w:jc w:val="right"/>
              <w:rPr>
                <w:rFonts w:ascii="Arial" w:hAnsi="Arial"/>
                <w:b/>
                <w:sz w:val="20"/>
                <w:lang w:val="pl-PL"/>
              </w:rPr>
            </w:pPr>
            <w:r w:rsidRPr="00765C97">
              <w:rPr>
                <w:rFonts w:ascii="Arial" w:hAnsi="Arial"/>
                <w:b/>
                <w:sz w:val="20"/>
                <w:lang w:val="pl-PL"/>
              </w:rPr>
              <w:t>363 713</w:t>
            </w:r>
          </w:p>
        </w:tc>
        <w:tc>
          <w:tcPr>
            <w:tcW w:w="1599" w:type="dxa"/>
            <w:tcBorders>
              <w:top w:val="single" w:sz="4" w:space="0" w:color="auto"/>
              <w:left w:val="nil"/>
              <w:bottom w:val="single" w:sz="4" w:space="0" w:color="auto"/>
              <w:right w:val="nil"/>
            </w:tcBorders>
            <w:vAlign w:val="center"/>
          </w:tcPr>
          <w:p w:rsidR="00C36604" w:rsidRPr="00765C97" w:rsidRDefault="00C36604" w:rsidP="00385F70">
            <w:pPr>
              <w:jc w:val="right"/>
              <w:rPr>
                <w:rFonts w:ascii="Arial" w:hAnsi="Arial"/>
                <w:b/>
                <w:sz w:val="20"/>
                <w:lang w:val="pl-PL"/>
              </w:rPr>
            </w:pPr>
            <w:r w:rsidRPr="00765C97">
              <w:rPr>
                <w:rFonts w:ascii="Arial" w:hAnsi="Arial"/>
                <w:b/>
                <w:sz w:val="20"/>
                <w:lang w:val="pl-PL"/>
              </w:rPr>
              <w:t>263 348</w:t>
            </w:r>
          </w:p>
        </w:tc>
      </w:tr>
    </w:tbl>
    <w:p w:rsidR="00B24DA9" w:rsidRPr="00765C97" w:rsidRDefault="00B24DA9">
      <w:pPr>
        <w:pStyle w:val="Tekstpodstawowy"/>
        <w:ind w:left="180"/>
        <w:rPr>
          <w:b w:val="0"/>
          <w:sz w:val="20"/>
        </w:rPr>
      </w:pPr>
    </w:p>
    <w:p w:rsidR="00A77CCC" w:rsidRPr="00765C97" w:rsidRDefault="00A77CCC" w:rsidP="00A77CCC">
      <w:pPr>
        <w:pStyle w:val="Tekstpodstawowy"/>
        <w:ind w:left="180"/>
        <w:rPr>
          <w:b w:val="0"/>
          <w:sz w:val="20"/>
        </w:rPr>
      </w:pPr>
    </w:p>
    <w:p w:rsidR="00734AB3" w:rsidRPr="00765C97" w:rsidRDefault="00734AB3" w:rsidP="00A77CCC">
      <w:pPr>
        <w:pStyle w:val="Tekstpodstawowy"/>
        <w:ind w:left="180"/>
        <w:rPr>
          <w:b w:val="0"/>
          <w:sz w:val="20"/>
        </w:rPr>
      </w:pPr>
    </w:p>
    <w:p w:rsidR="00385F70" w:rsidRPr="00765C97" w:rsidRDefault="00385F70" w:rsidP="00385F70">
      <w:pPr>
        <w:pStyle w:val="Tekstpodstawowy"/>
        <w:ind w:left="180"/>
        <w:rPr>
          <w:b w:val="0"/>
          <w:sz w:val="20"/>
        </w:rPr>
      </w:pPr>
      <w:r w:rsidRPr="00765C97">
        <w:rPr>
          <w:b w:val="0"/>
          <w:sz w:val="20"/>
        </w:rPr>
        <w:t>Okres wymagalności poszczególnych klas należności własnych (należności handlowych i środków pieniężnych) na dzień 31 grudnia 2011 roku przedstawia się następująco:</w:t>
      </w:r>
    </w:p>
    <w:p w:rsidR="00385F70" w:rsidRPr="00765C97" w:rsidRDefault="00385F70" w:rsidP="00385F70">
      <w:pPr>
        <w:pStyle w:val="Tekstpodstawowy"/>
        <w:rPr>
          <w:sz w:val="20"/>
        </w:rPr>
      </w:pPr>
    </w:p>
    <w:tbl>
      <w:tblPr>
        <w:tblW w:w="0" w:type="auto"/>
        <w:tblInd w:w="288" w:type="dxa"/>
        <w:tblLayout w:type="fixed"/>
        <w:tblLook w:val="0000"/>
      </w:tblPr>
      <w:tblGrid>
        <w:gridCol w:w="2514"/>
        <w:gridCol w:w="1086"/>
        <w:gridCol w:w="1260"/>
        <w:gridCol w:w="1260"/>
        <w:gridCol w:w="1080"/>
        <w:gridCol w:w="1080"/>
      </w:tblGrid>
      <w:tr w:rsidR="00385F70" w:rsidRPr="00765C97" w:rsidTr="00385F70">
        <w:trPr>
          <w:trHeight w:val="255"/>
        </w:trPr>
        <w:tc>
          <w:tcPr>
            <w:tcW w:w="2514" w:type="dxa"/>
            <w:tcBorders>
              <w:top w:val="nil"/>
              <w:left w:val="nil"/>
              <w:bottom w:val="nil"/>
              <w:right w:val="nil"/>
            </w:tcBorders>
            <w:vAlign w:val="bottom"/>
          </w:tcPr>
          <w:p w:rsidR="00385F70" w:rsidRPr="00765C97" w:rsidRDefault="00385F70" w:rsidP="00385F70">
            <w:pPr>
              <w:jc w:val="right"/>
              <w:rPr>
                <w:rFonts w:ascii="Arial" w:hAnsi="Arial"/>
                <w:sz w:val="20"/>
                <w:lang w:val="pl-PL"/>
              </w:rPr>
            </w:pPr>
          </w:p>
        </w:tc>
        <w:tc>
          <w:tcPr>
            <w:tcW w:w="1086" w:type="dxa"/>
            <w:tcBorders>
              <w:top w:val="nil"/>
              <w:left w:val="nil"/>
              <w:bottom w:val="nil"/>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 xml:space="preserve">Do </w:t>
            </w:r>
          </w:p>
          <w:p w:rsidR="00385F70" w:rsidRPr="00765C97" w:rsidRDefault="00385F70" w:rsidP="00385F70">
            <w:pPr>
              <w:jc w:val="right"/>
              <w:rPr>
                <w:rFonts w:ascii="Arial" w:hAnsi="Arial"/>
                <w:b/>
                <w:sz w:val="20"/>
                <w:lang w:val="pl-PL"/>
              </w:rPr>
            </w:pPr>
            <w:r w:rsidRPr="00765C97">
              <w:rPr>
                <w:rFonts w:ascii="Arial" w:hAnsi="Arial"/>
                <w:b/>
                <w:sz w:val="20"/>
                <w:lang w:val="pl-PL"/>
              </w:rPr>
              <w:t>1 roku</w:t>
            </w:r>
          </w:p>
        </w:tc>
        <w:tc>
          <w:tcPr>
            <w:tcW w:w="1260" w:type="dxa"/>
            <w:tcBorders>
              <w:top w:val="nil"/>
              <w:left w:val="nil"/>
              <w:bottom w:val="nil"/>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 xml:space="preserve">Od 1 roku </w:t>
            </w:r>
          </w:p>
          <w:p w:rsidR="00385F70" w:rsidRPr="00765C97" w:rsidRDefault="00385F70" w:rsidP="00385F70">
            <w:pPr>
              <w:jc w:val="right"/>
              <w:rPr>
                <w:rFonts w:ascii="Arial" w:hAnsi="Arial"/>
                <w:b/>
                <w:sz w:val="20"/>
                <w:lang w:val="pl-PL"/>
              </w:rPr>
            </w:pPr>
            <w:r w:rsidRPr="00765C97">
              <w:rPr>
                <w:rFonts w:ascii="Arial" w:hAnsi="Arial"/>
                <w:b/>
                <w:sz w:val="20"/>
                <w:lang w:val="pl-PL"/>
              </w:rPr>
              <w:t>do 2 lat</w:t>
            </w:r>
          </w:p>
        </w:tc>
        <w:tc>
          <w:tcPr>
            <w:tcW w:w="1260" w:type="dxa"/>
            <w:tcBorders>
              <w:top w:val="nil"/>
              <w:left w:val="nil"/>
              <w:bottom w:val="nil"/>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 xml:space="preserve">Od 2 </w:t>
            </w:r>
          </w:p>
          <w:p w:rsidR="00385F70" w:rsidRPr="00765C97" w:rsidRDefault="00385F70" w:rsidP="00385F70">
            <w:pPr>
              <w:jc w:val="right"/>
              <w:rPr>
                <w:rFonts w:ascii="Arial" w:hAnsi="Arial"/>
                <w:b/>
                <w:sz w:val="20"/>
                <w:lang w:val="pl-PL"/>
              </w:rPr>
            </w:pPr>
            <w:r w:rsidRPr="00765C97">
              <w:rPr>
                <w:rFonts w:ascii="Arial" w:hAnsi="Arial"/>
                <w:b/>
                <w:sz w:val="20"/>
                <w:lang w:val="pl-PL"/>
              </w:rPr>
              <w:t>do 5 lat</w:t>
            </w:r>
          </w:p>
        </w:tc>
        <w:tc>
          <w:tcPr>
            <w:tcW w:w="1080" w:type="dxa"/>
            <w:tcBorders>
              <w:top w:val="nil"/>
              <w:left w:val="nil"/>
              <w:bottom w:val="nil"/>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 xml:space="preserve">Powyżej </w:t>
            </w:r>
          </w:p>
          <w:p w:rsidR="00385F70" w:rsidRPr="00765C97" w:rsidRDefault="00385F70" w:rsidP="00385F70">
            <w:pPr>
              <w:jc w:val="right"/>
              <w:rPr>
                <w:rFonts w:ascii="Arial" w:hAnsi="Arial"/>
                <w:b/>
                <w:sz w:val="20"/>
                <w:lang w:val="pl-PL"/>
              </w:rPr>
            </w:pPr>
            <w:r w:rsidRPr="00765C97">
              <w:rPr>
                <w:rFonts w:ascii="Arial" w:hAnsi="Arial"/>
                <w:b/>
                <w:sz w:val="20"/>
                <w:lang w:val="pl-PL"/>
              </w:rPr>
              <w:t>5 lat</w:t>
            </w:r>
          </w:p>
        </w:tc>
        <w:tc>
          <w:tcPr>
            <w:tcW w:w="1080" w:type="dxa"/>
            <w:tcBorders>
              <w:top w:val="nil"/>
              <w:left w:val="nil"/>
              <w:bottom w:val="nil"/>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Razem</w:t>
            </w:r>
          </w:p>
        </w:tc>
      </w:tr>
      <w:tr w:rsidR="00385F70" w:rsidRPr="00765C97" w:rsidTr="00385F70">
        <w:trPr>
          <w:trHeight w:val="255"/>
        </w:trPr>
        <w:tc>
          <w:tcPr>
            <w:tcW w:w="2514" w:type="dxa"/>
            <w:tcBorders>
              <w:top w:val="nil"/>
              <w:left w:val="nil"/>
              <w:bottom w:val="nil"/>
              <w:right w:val="nil"/>
            </w:tcBorders>
            <w:vAlign w:val="center"/>
          </w:tcPr>
          <w:p w:rsidR="00385F70" w:rsidRPr="00765C97" w:rsidRDefault="00385F70" w:rsidP="00385F70">
            <w:pPr>
              <w:rPr>
                <w:rFonts w:ascii="Arial" w:hAnsi="Arial"/>
                <w:sz w:val="20"/>
                <w:lang w:val="pl-PL"/>
              </w:rPr>
            </w:pPr>
            <w:r w:rsidRPr="00765C97">
              <w:rPr>
                <w:rFonts w:ascii="Arial" w:hAnsi="Arial"/>
                <w:sz w:val="20"/>
                <w:lang w:val="pl-PL"/>
              </w:rPr>
              <w:t xml:space="preserve">Należności od jednostek powiązanych </w:t>
            </w:r>
          </w:p>
        </w:tc>
        <w:tc>
          <w:tcPr>
            <w:tcW w:w="1086"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66</w:t>
            </w:r>
          </w:p>
        </w:tc>
        <w:tc>
          <w:tcPr>
            <w:tcW w:w="126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26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08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08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66</w:t>
            </w:r>
          </w:p>
        </w:tc>
      </w:tr>
      <w:tr w:rsidR="00385F70" w:rsidRPr="00765C97" w:rsidTr="00385F70">
        <w:trPr>
          <w:trHeight w:val="255"/>
        </w:trPr>
        <w:tc>
          <w:tcPr>
            <w:tcW w:w="2514" w:type="dxa"/>
            <w:tcBorders>
              <w:top w:val="nil"/>
              <w:left w:val="nil"/>
              <w:bottom w:val="nil"/>
              <w:right w:val="nil"/>
            </w:tcBorders>
            <w:vAlign w:val="center"/>
          </w:tcPr>
          <w:p w:rsidR="00385F70" w:rsidRPr="00765C97" w:rsidRDefault="00385F70" w:rsidP="00385F70">
            <w:pPr>
              <w:rPr>
                <w:rFonts w:ascii="Arial" w:hAnsi="Arial"/>
                <w:sz w:val="20"/>
                <w:lang w:val="pl-PL"/>
              </w:rPr>
            </w:pPr>
            <w:r w:rsidRPr="00765C97">
              <w:rPr>
                <w:rFonts w:ascii="Arial" w:hAnsi="Arial"/>
                <w:sz w:val="20"/>
                <w:lang w:val="pl-PL"/>
              </w:rPr>
              <w:t xml:space="preserve">Należności od jednostek powiązanych- długoterminowe </w:t>
            </w:r>
          </w:p>
        </w:tc>
        <w:tc>
          <w:tcPr>
            <w:tcW w:w="1086"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26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26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08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08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r>
      <w:tr w:rsidR="00385F70" w:rsidRPr="00765C97" w:rsidTr="00385F70">
        <w:trPr>
          <w:trHeight w:val="255"/>
        </w:trPr>
        <w:tc>
          <w:tcPr>
            <w:tcW w:w="2514" w:type="dxa"/>
            <w:tcBorders>
              <w:top w:val="nil"/>
              <w:left w:val="nil"/>
              <w:bottom w:val="nil"/>
              <w:right w:val="nil"/>
            </w:tcBorders>
            <w:vAlign w:val="center"/>
          </w:tcPr>
          <w:p w:rsidR="00385F70" w:rsidRPr="00765C97" w:rsidRDefault="00385F70" w:rsidP="00385F70">
            <w:pPr>
              <w:rPr>
                <w:rFonts w:ascii="Arial" w:hAnsi="Arial"/>
                <w:sz w:val="20"/>
                <w:lang w:val="pl-PL"/>
              </w:rPr>
            </w:pPr>
            <w:r w:rsidRPr="00765C97">
              <w:rPr>
                <w:rFonts w:ascii="Arial" w:hAnsi="Arial"/>
                <w:sz w:val="20"/>
                <w:lang w:val="pl-PL"/>
              </w:rPr>
              <w:t xml:space="preserve">Należności od pozostałych jednostek - krótkoterminowe </w:t>
            </w:r>
          </w:p>
        </w:tc>
        <w:tc>
          <w:tcPr>
            <w:tcW w:w="1086"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290 496</w:t>
            </w:r>
          </w:p>
        </w:tc>
        <w:tc>
          <w:tcPr>
            <w:tcW w:w="126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4 150</w:t>
            </w:r>
          </w:p>
        </w:tc>
        <w:tc>
          <w:tcPr>
            <w:tcW w:w="126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24</w:t>
            </w:r>
          </w:p>
        </w:tc>
        <w:tc>
          <w:tcPr>
            <w:tcW w:w="108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08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294 670</w:t>
            </w:r>
          </w:p>
        </w:tc>
      </w:tr>
      <w:tr w:rsidR="00385F70" w:rsidRPr="00765C97" w:rsidTr="00385F70">
        <w:trPr>
          <w:trHeight w:val="255"/>
        </w:trPr>
        <w:tc>
          <w:tcPr>
            <w:tcW w:w="2514" w:type="dxa"/>
            <w:tcBorders>
              <w:top w:val="nil"/>
              <w:left w:val="nil"/>
              <w:bottom w:val="nil"/>
              <w:right w:val="nil"/>
            </w:tcBorders>
            <w:vAlign w:val="center"/>
          </w:tcPr>
          <w:p w:rsidR="00385F70" w:rsidRPr="00765C97" w:rsidRDefault="00385F70" w:rsidP="00385F70">
            <w:pPr>
              <w:rPr>
                <w:rFonts w:ascii="Arial" w:hAnsi="Arial"/>
                <w:sz w:val="20"/>
                <w:lang w:val="pl-PL"/>
              </w:rPr>
            </w:pPr>
            <w:r w:rsidRPr="00765C97">
              <w:rPr>
                <w:rFonts w:ascii="Arial" w:hAnsi="Arial"/>
                <w:sz w:val="20"/>
                <w:lang w:val="pl-PL"/>
              </w:rPr>
              <w:t xml:space="preserve">Należności od pozostałych jednostek - długoterminowe </w:t>
            </w:r>
          </w:p>
        </w:tc>
        <w:tc>
          <w:tcPr>
            <w:tcW w:w="1086"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26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26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1 732</w:t>
            </w:r>
          </w:p>
        </w:tc>
        <w:tc>
          <w:tcPr>
            <w:tcW w:w="108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08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1 732</w:t>
            </w:r>
          </w:p>
        </w:tc>
      </w:tr>
      <w:tr w:rsidR="00385F70" w:rsidRPr="00765C97" w:rsidTr="00385F70">
        <w:trPr>
          <w:trHeight w:val="255"/>
        </w:trPr>
        <w:tc>
          <w:tcPr>
            <w:tcW w:w="2514" w:type="dxa"/>
            <w:tcBorders>
              <w:top w:val="nil"/>
              <w:left w:val="nil"/>
              <w:bottom w:val="nil"/>
              <w:right w:val="nil"/>
            </w:tcBorders>
            <w:vAlign w:val="center"/>
          </w:tcPr>
          <w:p w:rsidR="00385F70" w:rsidRPr="00765C97" w:rsidRDefault="00385F70" w:rsidP="00385F70">
            <w:pPr>
              <w:rPr>
                <w:rFonts w:ascii="Arial" w:hAnsi="Arial"/>
                <w:sz w:val="20"/>
                <w:lang w:val="pl-PL"/>
              </w:rPr>
            </w:pPr>
            <w:r w:rsidRPr="00765C97">
              <w:rPr>
                <w:rFonts w:ascii="Arial" w:hAnsi="Arial"/>
                <w:sz w:val="20"/>
                <w:lang w:val="pl-PL"/>
              </w:rPr>
              <w:t>Środki pieniężne i ich ekwiwalenty (nota 3.13)</w:t>
            </w:r>
          </w:p>
        </w:tc>
        <w:tc>
          <w:tcPr>
            <w:tcW w:w="1086" w:type="dxa"/>
            <w:tcBorders>
              <w:top w:val="nil"/>
              <w:left w:val="nil"/>
              <w:bottom w:val="single" w:sz="4" w:space="0" w:color="auto"/>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193 337</w:t>
            </w:r>
          </w:p>
        </w:tc>
        <w:tc>
          <w:tcPr>
            <w:tcW w:w="1260" w:type="dxa"/>
            <w:tcBorders>
              <w:top w:val="nil"/>
              <w:left w:val="nil"/>
              <w:bottom w:val="single" w:sz="4" w:space="0" w:color="auto"/>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260" w:type="dxa"/>
            <w:tcBorders>
              <w:top w:val="nil"/>
              <w:left w:val="nil"/>
              <w:bottom w:val="single" w:sz="4" w:space="0" w:color="auto"/>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080" w:type="dxa"/>
            <w:tcBorders>
              <w:top w:val="nil"/>
              <w:left w:val="nil"/>
              <w:bottom w:val="single" w:sz="4" w:space="0" w:color="auto"/>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080" w:type="dxa"/>
            <w:tcBorders>
              <w:top w:val="nil"/>
              <w:left w:val="nil"/>
              <w:bottom w:val="single" w:sz="4" w:space="0" w:color="auto"/>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193 337</w:t>
            </w:r>
          </w:p>
        </w:tc>
      </w:tr>
      <w:tr w:rsidR="00385F70" w:rsidRPr="00765C97" w:rsidTr="00385F70">
        <w:trPr>
          <w:trHeight w:val="255"/>
        </w:trPr>
        <w:tc>
          <w:tcPr>
            <w:tcW w:w="2514" w:type="dxa"/>
            <w:tcBorders>
              <w:top w:val="nil"/>
              <w:left w:val="nil"/>
              <w:bottom w:val="nil"/>
              <w:right w:val="nil"/>
            </w:tcBorders>
            <w:vAlign w:val="center"/>
          </w:tcPr>
          <w:p w:rsidR="00385F70" w:rsidRPr="00765C97" w:rsidRDefault="00385F70" w:rsidP="00385F70">
            <w:pPr>
              <w:rPr>
                <w:rFonts w:ascii="Arial" w:hAnsi="Arial"/>
                <w:b/>
                <w:sz w:val="20"/>
                <w:lang w:val="pl-PL"/>
              </w:rPr>
            </w:pPr>
            <w:r w:rsidRPr="00765C97">
              <w:rPr>
                <w:rFonts w:ascii="Arial" w:hAnsi="Arial"/>
                <w:b/>
                <w:sz w:val="20"/>
                <w:lang w:val="pl-PL"/>
              </w:rPr>
              <w:t>Razem</w:t>
            </w:r>
          </w:p>
        </w:tc>
        <w:tc>
          <w:tcPr>
            <w:tcW w:w="1086" w:type="dxa"/>
            <w:tcBorders>
              <w:top w:val="single" w:sz="4" w:space="0" w:color="auto"/>
              <w:left w:val="nil"/>
              <w:bottom w:val="single" w:sz="2" w:space="0" w:color="auto"/>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483 899</w:t>
            </w:r>
          </w:p>
        </w:tc>
        <w:tc>
          <w:tcPr>
            <w:tcW w:w="1260" w:type="dxa"/>
            <w:tcBorders>
              <w:top w:val="single" w:sz="4" w:space="0" w:color="auto"/>
              <w:left w:val="nil"/>
              <w:bottom w:val="single" w:sz="2" w:space="0" w:color="auto"/>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4 150</w:t>
            </w:r>
          </w:p>
        </w:tc>
        <w:tc>
          <w:tcPr>
            <w:tcW w:w="1260" w:type="dxa"/>
            <w:tcBorders>
              <w:top w:val="single" w:sz="4" w:space="0" w:color="auto"/>
              <w:left w:val="nil"/>
              <w:bottom w:val="single" w:sz="2" w:space="0" w:color="auto"/>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1 756</w:t>
            </w:r>
          </w:p>
        </w:tc>
        <w:tc>
          <w:tcPr>
            <w:tcW w:w="1080" w:type="dxa"/>
            <w:tcBorders>
              <w:top w:val="single" w:sz="4" w:space="0" w:color="auto"/>
              <w:left w:val="nil"/>
              <w:bottom w:val="single" w:sz="2" w:space="0" w:color="auto"/>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w:t>
            </w:r>
          </w:p>
        </w:tc>
        <w:tc>
          <w:tcPr>
            <w:tcW w:w="1080" w:type="dxa"/>
            <w:tcBorders>
              <w:top w:val="single" w:sz="4" w:space="0" w:color="auto"/>
              <w:left w:val="nil"/>
              <w:bottom w:val="single" w:sz="2" w:space="0" w:color="auto"/>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489 805</w:t>
            </w:r>
          </w:p>
        </w:tc>
      </w:tr>
    </w:tbl>
    <w:p w:rsidR="00385F70" w:rsidRPr="00765C97" w:rsidRDefault="00385F70">
      <w:pPr>
        <w:pStyle w:val="Tekstpodstawowy"/>
        <w:ind w:left="180"/>
        <w:rPr>
          <w:b w:val="0"/>
          <w:sz w:val="20"/>
        </w:rPr>
      </w:pPr>
    </w:p>
    <w:p w:rsidR="00385F70" w:rsidRPr="00765C97" w:rsidRDefault="00385F70">
      <w:pPr>
        <w:pStyle w:val="Tekstpodstawowy"/>
        <w:ind w:left="180"/>
        <w:rPr>
          <w:b w:val="0"/>
          <w:sz w:val="20"/>
        </w:rPr>
      </w:pPr>
    </w:p>
    <w:p w:rsidR="00385F70" w:rsidRPr="00765C97" w:rsidRDefault="00385F70">
      <w:pPr>
        <w:pStyle w:val="Tekstpodstawowy"/>
        <w:ind w:left="180"/>
        <w:rPr>
          <w:b w:val="0"/>
          <w:sz w:val="20"/>
        </w:rPr>
      </w:pPr>
    </w:p>
    <w:p w:rsidR="00385F70" w:rsidRPr="00765C97" w:rsidRDefault="00385F70">
      <w:pPr>
        <w:pStyle w:val="Tekstpodstawowy"/>
        <w:ind w:left="180"/>
        <w:rPr>
          <w:b w:val="0"/>
          <w:sz w:val="20"/>
        </w:rPr>
      </w:pPr>
    </w:p>
    <w:p w:rsidR="00B24DA9" w:rsidRPr="00765C97" w:rsidRDefault="00B24DA9">
      <w:pPr>
        <w:pStyle w:val="Tekstpodstawowy"/>
        <w:ind w:left="180"/>
        <w:rPr>
          <w:b w:val="0"/>
          <w:sz w:val="20"/>
        </w:rPr>
      </w:pPr>
      <w:r w:rsidRPr="00765C97">
        <w:rPr>
          <w:b w:val="0"/>
          <w:sz w:val="20"/>
        </w:rPr>
        <w:t>Okres wymagalności poszczególnych klas należności własnych (należności handlowych i środków pieniężnych) na dzień 31 grudnia 20</w:t>
      </w:r>
      <w:r w:rsidR="00B0017E" w:rsidRPr="00765C97">
        <w:rPr>
          <w:b w:val="0"/>
          <w:sz w:val="20"/>
        </w:rPr>
        <w:t>1</w:t>
      </w:r>
      <w:r w:rsidR="00385F70" w:rsidRPr="00765C97">
        <w:rPr>
          <w:b w:val="0"/>
          <w:sz w:val="20"/>
        </w:rPr>
        <w:t>2</w:t>
      </w:r>
      <w:r w:rsidRPr="00765C97">
        <w:rPr>
          <w:b w:val="0"/>
          <w:sz w:val="20"/>
        </w:rPr>
        <w:t xml:space="preserve"> roku przedstawia się następująco:</w:t>
      </w:r>
    </w:p>
    <w:p w:rsidR="00B24DA9" w:rsidRPr="00765C97" w:rsidRDefault="00B24DA9">
      <w:pPr>
        <w:pStyle w:val="Tekstpodstawowy"/>
        <w:rPr>
          <w:sz w:val="20"/>
        </w:rPr>
      </w:pPr>
    </w:p>
    <w:tbl>
      <w:tblPr>
        <w:tblW w:w="0" w:type="auto"/>
        <w:tblInd w:w="288" w:type="dxa"/>
        <w:tblLayout w:type="fixed"/>
        <w:tblLook w:val="0000"/>
      </w:tblPr>
      <w:tblGrid>
        <w:gridCol w:w="2514"/>
        <w:gridCol w:w="1086"/>
        <w:gridCol w:w="1260"/>
        <w:gridCol w:w="1260"/>
        <w:gridCol w:w="1080"/>
        <w:gridCol w:w="1080"/>
      </w:tblGrid>
      <w:tr w:rsidR="00B24DA9" w:rsidRPr="00765C97">
        <w:trPr>
          <w:trHeight w:val="255"/>
        </w:trPr>
        <w:tc>
          <w:tcPr>
            <w:tcW w:w="2514" w:type="dxa"/>
            <w:tcBorders>
              <w:top w:val="nil"/>
              <w:left w:val="nil"/>
              <w:bottom w:val="nil"/>
              <w:right w:val="nil"/>
            </w:tcBorders>
            <w:vAlign w:val="bottom"/>
          </w:tcPr>
          <w:p w:rsidR="00B24DA9" w:rsidRPr="00765C97" w:rsidRDefault="00B24DA9">
            <w:pPr>
              <w:jc w:val="right"/>
              <w:rPr>
                <w:rFonts w:ascii="Arial" w:hAnsi="Arial"/>
                <w:sz w:val="20"/>
                <w:lang w:val="pl-PL"/>
              </w:rPr>
            </w:pPr>
          </w:p>
        </w:tc>
        <w:tc>
          <w:tcPr>
            <w:tcW w:w="1086" w:type="dxa"/>
            <w:tcBorders>
              <w:top w:val="nil"/>
              <w:left w:val="nil"/>
              <w:bottom w:val="nil"/>
              <w:right w:val="nil"/>
            </w:tcBorders>
            <w:vAlign w:val="center"/>
          </w:tcPr>
          <w:p w:rsidR="00B24DA9" w:rsidRPr="00765C97" w:rsidRDefault="00B24DA9">
            <w:pPr>
              <w:jc w:val="right"/>
              <w:rPr>
                <w:rFonts w:ascii="Arial" w:hAnsi="Arial"/>
                <w:b/>
                <w:sz w:val="20"/>
                <w:lang w:val="pl-PL"/>
              </w:rPr>
            </w:pPr>
            <w:r w:rsidRPr="00765C97">
              <w:rPr>
                <w:rFonts w:ascii="Arial" w:hAnsi="Arial"/>
                <w:b/>
                <w:sz w:val="20"/>
                <w:lang w:val="pl-PL"/>
              </w:rPr>
              <w:t xml:space="preserve">Do </w:t>
            </w:r>
          </w:p>
          <w:p w:rsidR="00B24DA9" w:rsidRPr="00765C97" w:rsidRDefault="00B24DA9">
            <w:pPr>
              <w:jc w:val="right"/>
              <w:rPr>
                <w:rFonts w:ascii="Arial" w:hAnsi="Arial"/>
                <w:b/>
                <w:sz w:val="20"/>
                <w:lang w:val="pl-PL"/>
              </w:rPr>
            </w:pPr>
            <w:r w:rsidRPr="00765C97">
              <w:rPr>
                <w:rFonts w:ascii="Arial" w:hAnsi="Arial"/>
                <w:b/>
                <w:sz w:val="20"/>
                <w:lang w:val="pl-PL"/>
              </w:rPr>
              <w:t>1 roku</w:t>
            </w:r>
          </w:p>
        </w:tc>
        <w:tc>
          <w:tcPr>
            <w:tcW w:w="1260" w:type="dxa"/>
            <w:tcBorders>
              <w:top w:val="nil"/>
              <w:left w:val="nil"/>
              <w:bottom w:val="nil"/>
              <w:right w:val="nil"/>
            </w:tcBorders>
            <w:vAlign w:val="center"/>
          </w:tcPr>
          <w:p w:rsidR="00B24DA9" w:rsidRPr="00765C97" w:rsidRDefault="00B24DA9">
            <w:pPr>
              <w:jc w:val="right"/>
              <w:rPr>
                <w:rFonts w:ascii="Arial" w:hAnsi="Arial"/>
                <w:b/>
                <w:sz w:val="20"/>
                <w:lang w:val="pl-PL"/>
              </w:rPr>
            </w:pPr>
            <w:r w:rsidRPr="00765C97">
              <w:rPr>
                <w:rFonts w:ascii="Arial" w:hAnsi="Arial"/>
                <w:b/>
                <w:sz w:val="20"/>
                <w:lang w:val="pl-PL"/>
              </w:rPr>
              <w:t xml:space="preserve">Od 1 roku </w:t>
            </w:r>
          </w:p>
          <w:p w:rsidR="00B24DA9" w:rsidRPr="00765C97" w:rsidRDefault="00B24DA9">
            <w:pPr>
              <w:jc w:val="right"/>
              <w:rPr>
                <w:rFonts w:ascii="Arial" w:hAnsi="Arial"/>
                <w:b/>
                <w:sz w:val="20"/>
                <w:lang w:val="pl-PL"/>
              </w:rPr>
            </w:pPr>
            <w:r w:rsidRPr="00765C97">
              <w:rPr>
                <w:rFonts w:ascii="Arial" w:hAnsi="Arial"/>
                <w:b/>
                <w:sz w:val="20"/>
                <w:lang w:val="pl-PL"/>
              </w:rPr>
              <w:t>do 2 lat</w:t>
            </w:r>
          </w:p>
        </w:tc>
        <w:tc>
          <w:tcPr>
            <w:tcW w:w="1260" w:type="dxa"/>
            <w:tcBorders>
              <w:top w:val="nil"/>
              <w:left w:val="nil"/>
              <w:bottom w:val="nil"/>
              <w:right w:val="nil"/>
            </w:tcBorders>
            <w:vAlign w:val="center"/>
          </w:tcPr>
          <w:p w:rsidR="00B24DA9" w:rsidRPr="00765C97" w:rsidRDefault="00B24DA9">
            <w:pPr>
              <w:jc w:val="right"/>
              <w:rPr>
                <w:rFonts w:ascii="Arial" w:hAnsi="Arial"/>
                <w:b/>
                <w:sz w:val="20"/>
                <w:lang w:val="pl-PL"/>
              </w:rPr>
            </w:pPr>
            <w:r w:rsidRPr="00765C97">
              <w:rPr>
                <w:rFonts w:ascii="Arial" w:hAnsi="Arial"/>
                <w:b/>
                <w:sz w:val="20"/>
                <w:lang w:val="pl-PL"/>
              </w:rPr>
              <w:t xml:space="preserve">Od 2 </w:t>
            </w:r>
          </w:p>
          <w:p w:rsidR="00B24DA9" w:rsidRPr="00765C97" w:rsidRDefault="00B24DA9">
            <w:pPr>
              <w:jc w:val="right"/>
              <w:rPr>
                <w:rFonts w:ascii="Arial" w:hAnsi="Arial"/>
                <w:b/>
                <w:sz w:val="20"/>
                <w:lang w:val="pl-PL"/>
              </w:rPr>
            </w:pPr>
            <w:r w:rsidRPr="00765C97">
              <w:rPr>
                <w:rFonts w:ascii="Arial" w:hAnsi="Arial"/>
                <w:b/>
                <w:sz w:val="20"/>
                <w:lang w:val="pl-PL"/>
              </w:rPr>
              <w:t>do 5 lat</w:t>
            </w:r>
          </w:p>
        </w:tc>
        <w:tc>
          <w:tcPr>
            <w:tcW w:w="1080" w:type="dxa"/>
            <w:tcBorders>
              <w:top w:val="nil"/>
              <w:left w:val="nil"/>
              <w:bottom w:val="nil"/>
              <w:right w:val="nil"/>
            </w:tcBorders>
            <w:vAlign w:val="center"/>
          </w:tcPr>
          <w:p w:rsidR="00B24DA9" w:rsidRPr="00765C97" w:rsidRDefault="00B24DA9">
            <w:pPr>
              <w:jc w:val="right"/>
              <w:rPr>
                <w:rFonts w:ascii="Arial" w:hAnsi="Arial"/>
                <w:b/>
                <w:sz w:val="20"/>
                <w:lang w:val="pl-PL"/>
              </w:rPr>
            </w:pPr>
            <w:r w:rsidRPr="00765C97">
              <w:rPr>
                <w:rFonts w:ascii="Arial" w:hAnsi="Arial"/>
                <w:b/>
                <w:sz w:val="20"/>
                <w:lang w:val="pl-PL"/>
              </w:rPr>
              <w:t xml:space="preserve">Powyżej </w:t>
            </w:r>
          </w:p>
          <w:p w:rsidR="00B24DA9" w:rsidRPr="00765C97" w:rsidRDefault="00B24DA9">
            <w:pPr>
              <w:jc w:val="right"/>
              <w:rPr>
                <w:rFonts w:ascii="Arial" w:hAnsi="Arial"/>
                <w:b/>
                <w:sz w:val="20"/>
                <w:lang w:val="pl-PL"/>
              </w:rPr>
            </w:pPr>
            <w:r w:rsidRPr="00765C97">
              <w:rPr>
                <w:rFonts w:ascii="Arial" w:hAnsi="Arial"/>
                <w:b/>
                <w:sz w:val="20"/>
                <w:lang w:val="pl-PL"/>
              </w:rPr>
              <w:t>5 lat</w:t>
            </w:r>
          </w:p>
        </w:tc>
        <w:tc>
          <w:tcPr>
            <w:tcW w:w="1080" w:type="dxa"/>
            <w:tcBorders>
              <w:top w:val="nil"/>
              <w:left w:val="nil"/>
              <w:bottom w:val="nil"/>
              <w:right w:val="nil"/>
            </w:tcBorders>
            <w:vAlign w:val="center"/>
          </w:tcPr>
          <w:p w:rsidR="00B24DA9" w:rsidRPr="00765C97" w:rsidRDefault="00B24DA9">
            <w:pPr>
              <w:jc w:val="right"/>
              <w:rPr>
                <w:rFonts w:ascii="Arial" w:hAnsi="Arial"/>
                <w:b/>
                <w:sz w:val="20"/>
                <w:lang w:val="pl-PL"/>
              </w:rPr>
            </w:pPr>
            <w:r w:rsidRPr="00765C97">
              <w:rPr>
                <w:rFonts w:ascii="Arial" w:hAnsi="Arial"/>
                <w:b/>
                <w:sz w:val="20"/>
                <w:lang w:val="pl-PL"/>
              </w:rPr>
              <w:t>Razem</w:t>
            </w:r>
          </w:p>
        </w:tc>
      </w:tr>
      <w:tr w:rsidR="00B24DA9" w:rsidRPr="00765C97">
        <w:trPr>
          <w:trHeight w:val="255"/>
        </w:trPr>
        <w:tc>
          <w:tcPr>
            <w:tcW w:w="2514" w:type="dxa"/>
            <w:tcBorders>
              <w:top w:val="nil"/>
              <w:left w:val="nil"/>
              <w:bottom w:val="nil"/>
              <w:right w:val="nil"/>
            </w:tcBorders>
            <w:vAlign w:val="center"/>
          </w:tcPr>
          <w:p w:rsidR="00B24DA9" w:rsidRPr="00765C97" w:rsidRDefault="00B24DA9">
            <w:pPr>
              <w:rPr>
                <w:rFonts w:ascii="Arial" w:hAnsi="Arial"/>
                <w:sz w:val="20"/>
                <w:lang w:val="pl-PL"/>
              </w:rPr>
            </w:pPr>
            <w:r w:rsidRPr="00765C97">
              <w:rPr>
                <w:rFonts w:ascii="Arial" w:hAnsi="Arial"/>
                <w:sz w:val="20"/>
                <w:lang w:val="pl-PL"/>
              </w:rPr>
              <w:t xml:space="preserve">Należności od jednostek powiązanych </w:t>
            </w:r>
          </w:p>
        </w:tc>
        <w:tc>
          <w:tcPr>
            <w:tcW w:w="1086" w:type="dxa"/>
            <w:tcBorders>
              <w:top w:val="nil"/>
              <w:left w:val="nil"/>
              <w:bottom w:val="nil"/>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94</w:t>
            </w:r>
          </w:p>
        </w:tc>
        <w:tc>
          <w:tcPr>
            <w:tcW w:w="1260" w:type="dxa"/>
            <w:tcBorders>
              <w:top w:val="nil"/>
              <w:left w:val="nil"/>
              <w:bottom w:val="nil"/>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w:t>
            </w:r>
          </w:p>
        </w:tc>
        <w:tc>
          <w:tcPr>
            <w:tcW w:w="1260" w:type="dxa"/>
            <w:tcBorders>
              <w:top w:val="nil"/>
              <w:left w:val="nil"/>
              <w:bottom w:val="nil"/>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w:t>
            </w:r>
          </w:p>
        </w:tc>
        <w:tc>
          <w:tcPr>
            <w:tcW w:w="1080" w:type="dxa"/>
            <w:tcBorders>
              <w:top w:val="nil"/>
              <w:left w:val="nil"/>
              <w:bottom w:val="nil"/>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w:t>
            </w:r>
          </w:p>
        </w:tc>
        <w:tc>
          <w:tcPr>
            <w:tcW w:w="1080" w:type="dxa"/>
            <w:tcBorders>
              <w:top w:val="nil"/>
              <w:left w:val="nil"/>
              <w:bottom w:val="nil"/>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94</w:t>
            </w:r>
          </w:p>
        </w:tc>
      </w:tr>
      <w:tr w:rsidR="00B24DA9" w:rsidRPr="00765C97">
        <w:trPr>
          <w:trHeight w:val="255"/>
        </w:trPr>
        <w:tc>
          <w:tcPr>
            <w:tcW w:w="2514" w:type="dxa"/>
            <w:tcBorders>
              <w:top w:val="nil"/>
              <w:left w:val="nil"/>
              <w:bottom w:val="nil"/>
              <w:right w:val="nil"/>
            </w:tcBorders>
            <w:vAlign w:val="center"/>
          </w:tcPr>
          <w:p w:rsidR="00B24DA9" w:rsidRPr="00765C97" w:rsidRDefault="00B24DA9">
            <w:pPr>
              <w:rPr>
                <w:rFonts w:ascii="Arial" w:hAnsi="Arial"/>
                <w:sz w:val="20"/>
                <w:lang w:val="pl-PL"/>
              </w:rPr>
            </w:pPr>
            <w:r w:rsidRPr="00765C97">
              <w:rPr>
                <w:rFonts w:ascii="Arial" w:hAnsi="Arial"/>
                <w:sz w:val="20"/>
                <w:lang w:val="pl-PL"/>
              </w:rPr>
              <w:t xml:space="preserve">Należności od jednostek powiązanych- długoterminowe </w:t>
            </w:r>
          </w:p>
        </w:tc>
        <w:tc>
          <w:tcPr>
            <w:tcW w:w="1086" w:type="dxa"/>
            <w:tcBorders>
              <w:top w:val="nil"/>
              <w:left w:val="nil"/>
              <w:bottom w:val="nil"/>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w:t>
            </w:r>
          </w:p>
        </w:tc>
        <w:tc>
          <w:tcPr>
            <w:tcW w:w="1260" w:type="dxa"/>
            <w:tcBorders>
              <w:top w:val="nil"/>
              <w:left w:val="nil"/>
              <w:bottom w:val="nil"/>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w:t>
            </w:r>
          </w:p>
        </w:tc>
        <w:tc>
          <w:tcPr>
            <w:tcW w:w="1260" w:type="dxa"/>
            <w:tcBorders>
              <w:top w:val="nil"/>
              <w:left w:val="nil"/>
              <w:bottom w:val="nil"/>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w:t>
            </w:r>
          </w:p>
        </w:tc>
        <w:tc>
          <w:tcPr>
            <w:tcW w:w="1080" w:type="dxa"/>
            <w:tcBorders>
              <w:top w:val="nil"/>
              <w:left w:val="nil"/>
              <w:bottom w:val="nil"/>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w:t>
            </w:r>
          </w:p>
        </w:tc>
        <w:tc>
          <w:tcPr>
            <w:tcW w:w="1080" w:type="dxa"/>
            <w:tcBorders>
              <w:top w:val="nil"/>
              <w:left w:val="nil"/>
              <w:bottom w:val="nil"/>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w:t>
            </w:r>
          </w:p>
        </w:tc>
      </w:tr>
      <w:tr w:rsidR="00B24DA9" w:rsidRPr="00765C97">
        <w:trPr>
          <w:trHeight w:val="255"/>
        </w:trPr>
        <w:tc>
          <w:tcPr>
            <w:tcW w:w="2514" w:type="dxa"/>
            <w:tcBorders>
              <w:top w:val="nil"/>
              <w:left w:val="nil"/>
              <w:bottom w:val="nil"/>
              <w:right w:val="nil"/>
            </w:tcBorders>
            <w:vAlign w:val="center"/>
          </w:tcPr>
          <w:p w:rsidR="00B24DA9" w:rsidRPr="00765C97" w:rsidRDefault="00B24DA9">
            <w:pPr>
              <w:rPr>
                <w:rFonts w:ascii="Arial" w:hAnsi="Arial"/>
                <w:sz w:val="20"/>
                <w:lang w:val="pl-PL"/>
              </w:rPr>
            </w:pPr>
            <w:r w:rsidRPr="00765C97">
              <w:rPr>
                <w:rFonts w:ascii="Arial" w:hAnsi="Arial"/>
                <w:sz w:val="20"/>
                <w:lang w:val="pl-PL"/>
              </w:rPr>
              <w:t xml:space="preserve">Należności od pozostałych jednostek - krótkoterminowe </w:t>
            </w:r>
          </w:p>
        </w:tc>
        <w:tc>
          <w:tcPr>
            <w:tcW w:w="1086" w:type="dxa"/>
            <w:tcBorders>
              <w:top w:val="nil"/>
              <w:left w:val="nil"/>
              <w:bottom w:val="nil"/>
              <w:right w:val="nil"/>
            </w:tcBorders>
            <w:vAlign w:val="center"/>
          </w:tcPr>
          <w:p w:rsidR="00B24DA9" w:rsidRPr="00765C97" w:rsidRDefault="00F35BD0">
            <w:pPr>
              <w:jc w:val="right"/>
              <w:rPr>
                <w:rFonts w:ascii="Arial" w:hAnsi="Arial"/>
                <w:sz w:val="20"/>
                <w:lang w:val="pl-PL"/>
              </w:rPr>
            </w:pPr>
            <w:r w:rsidRPr="00765C97">
              <w:rPr>
                <w:rFonts w:ascii="Arial" w:hAnsi="Arial"/>
                <w:sz w:val="20"/>
                <w:lang w:val="pl-PL"/>
              </w:rPr>
              <w:t>362 562</w:t>
            </w:r>
          </w:p>
        </w:tc>
        <w:tc>
          <w:tcPr>
            <w:tcW w:w="1260" w:type="dxa"/>
            <w:tcBorders>
              <w:top w:val="nil"/>
              <w:left w:val="nil"/>
              <w:bottom w:val="nil"/>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37 157</w:t>
            </w:r>
          </w:p>
        </w:tc>
        <w:tc>
          <w:tcPr>
            <w:tcW w:w="1260" w:type="dxa"/>
            <w:tcBorders>
              <w:top w:val="nil"/>
              <w:left w:val="nil"/>
              <w:bottom w:val="nil"/>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2</w:t>
            </w:r>
          </w:p>
        </w:tc>
        <w:tc>
          <w:tcPr>
            <w:tcW w:w="1080" w:type="dxa"/>
            <w:tcBorders>
              <w:top w:val="nil"/>
              <w:left w:val="nil"/>
              <w:bottom w:val="nil"/>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25</w:t>
            </w:r>
          </w:p>
        </w:tc>
        <w:tc>
          <w:tcPr>
            <w:tcW w:w="1080" w:type="dxa"/>
            <w:tcBorders>
              <w:top w:val="nil"/>
              <w:left w:val="nil"/>
              <w:bottom w:val="nil"/>
              <w:right w:val="nil"/>
            </w:tcBorders>
            <w:vAlign w:val="center"/>
          </w:tcPr>
          <w:p w:rsidR="00B24DA9" w:rsidRPr="00765C97" w:rsidRDefault="000B1BBC">
            <w:pPr>
              <w:jc w:val="right"/>
              <w:rPr>
                <w:rFonts w:ascii="Arial" w:hAnsi="Arial"/>
                <w:sz w:val="20"/>
                <w:lang w:val="pl-PL"/>
              </w:rPr>
            </w:pPr>
            <w:r w:rsidRPr="00765C97">
              <w:rPr>
                <w:rFonts w:ascii="Arial" w:hAnsi="Arial"/>
                <w:sz w:val="20"/>
                <w:lang w:val="pl-PL"/>
              </w:rPr>
              <w:t>399 746</w:t>
            </w:r>
          </w:p>
        </w:tc>
      </w:tr>
      <w:tr w:rsidR="00B24DA9" w:rsidRPr="00765C97">
        <w:trPr>
          <w:trHeight w:val="255"/>
        </w:trPr>
        <w:tc>
          <w:tcPr>
            <w:tcW w:w="2514" w:type="dxa"/>
            <w:tcBorders>
              <w:top w:val="nil"/>
              <w:left w:val="nil"/>
              <w:bottom w:val="nil"/>
              <w:right w:val="nil"/>
            </w:tcBorders>
            <w:vAlign w:val="center"/>
          </w:tcPr>
          <w:p w:rsidR="00B24DA9" w:rsidRPr="00765C97" w:rsidRDefault="00B24DA9">
            <w:pPr>
              <w:rPr>
                <w:rFonts w:ascii="Arial" w:hAnsi="Arial"/>
                <w:sz w:val="20"/>
                <w:lang w:val="pl-PL"/>
              </w:rPr>
            </w:pPr>
            <w:r w:rsidRPr="00765C97">
              <w:rPr>
                <w:rFonts w:ascii="Arial" w:hAnsi="Arial"/>
                <w:sz w:val="20"/>
                <w:lang w:val="pl-PL"/>
              </w:rPr>
              <w:t xml:space="preserve">Należności od pozostałych jednostek - długoterminowe </w:t>
            </w:r>
          </w:p>
        </w:tc>
        <w:tc>
          <w:tcPr>
            <w:tcW w:w="1086" w:type="dxa"/>
            <w:tcBorders>
              <w:top w:val="nil"/>
              <w:left w:val="nil"/>
              <w:bottom w:val="nil"/>
              <w:right w:val="nil"/>
            </w:tcBorders>
            <w:vAlign w:val="center"/>
          </w:tcPr>
          <w:p w:rsidR="00B24DA9" w:rsidRPr="00765C97" w:rsidRDefault="00A775EC" w:rsidP="00D061ED">
            <w:pPr>
              <w:jc w:val="right"/>
              <w:rPr>
                <w:rFonts w:ascii="Arial" w:hAnsi="Arial"/>
                <w:sz w:val="20"/>
                <w:lang w:val="pl-PL"/>
              </w:rPr>
            </w:pPr>
            <w:r w:rsidRPr="00765C97">
              <w:rPr>
                <w:rFonts w:ascii="Arial" w:hAnsi="Arial"/>
                <w:sz w:val="20"/>
                <w:lang w:val="pl-PL"/>
              </w:rPr>
              <w:t>1 842</w:t>
            </w:r>
          </w:p>
        </w:tc>
        <w:tc>
          <w:tcPr>
            <w:tcW w:w="1260" w:type="dxa"/>
            <w:tcBorders>
              <w:top w:val="nil"/>
              <w:left w:val="nil"/>
              <w:bottom w:val="nil"/>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w:t>
            </w:r>
          </w:p>
        </w:tc>
        <w:tc>
          <w:tcPr>
            <w:tcW w:w="1260" w:type="dxa"/>
            <w:tcBorders>
              <w:top w:val="nil"/>
              <w:left w:val="nil"/>
              <w:bottom w:val="nil"/>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w:t>
            </w:r>
          </w:p>
        </w:tc>
        <w:tc>
          <w:tcPr>
            <w:tcW w:w="1080" w:type="dxa"/>
            <w:tcBorders>
              <w:top w:val="nil"/>
              <w:left w:val="nil"/>
              <w:bottom w:val="nil"/>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w:t>
            </w:r>
          </w:p>
        </w:tc>
        <w:tc>
          <w:tcPr>
            <w:tcW w:w="1080" w:type="dxa"/>
            <w:tcBorders>
              <w:top w:val="nil"/>
              <w:left w:val="nil"/>
              <w:bottom w:val="nil"/>
              <w:right w:val="nil"/>
            </w:tcBorders>
            <w:vAlign w:val="center"/>
          </w:tcPr>
          <w:p w:rsidR="00B24DA9" w:rsidRPr="00765C97" w:rsidRDefault="00A775EC" w:rsidP="00740C30">
            <w:pPr>
              <w:jc w:val="right"/>
              <w:rPr>
                <w:rFonts w:ascii="Arial" w:hAnsi="Arial"/>
                <w:sz w:val="20"/>
                <w:lang w:val="pl-PL"/>
              </w:rPr>
            </w:pPr>
            <w:r w:rsidRPr="00765C97">
              <w:rPr>
                <w:rFonts w:ascii="Arial" w:hAnsi="Arial"/>
                <w:sz w:val="20"/>
                <w:lang w:val="pl-PL"/>
              </w:rPr>
              <w:t>1 842</w:t>
            </w:r>
          </w:p>
        </w:tc>
      </w:tr>
      <w:tr w:rsidR="00B24DA9" w:rsidRPr="00765C97">
        <w:trPr>
          <w:trHeight w:val="255"/>
        </w:trPr>
        <w:tc>
          <w:tcPr>
            <w:tcW w:w="2514" w:type="dxa"/>
            <w:tcBorders>
              <w:top w:val="nil"/>
              <w:left w:val="nil"/>
              <w:bottom w:val="nil"/>
              <w:right w:val="nil"/>
            </w:tcBorders>
            <w:vAlign w:val="center"/>
          </w:tcPr>
          <w:p w:rsidR="00B24DA9" w:rsidRPr="00765C97" w:rsidRDefault="00B24DA9">
            <w:pPr>
              <w:rPr>
                <w:rFonts w:ascii="Arial" w:hAnsi="Arial"/>
                <w:sz w:val="20"/>
                <w:lang w:val="pl-PL"/>
              </w:rPr>
            </w:pPr>
            <w:r w:rsidRPr="00765C97">
              <w:rPr>
                <w:rFonts w:ascii="Arial" w:hAnsi="Arial"/>
                <w:sz w:val="20"/>
                <w:lang w:val="pl-PL"/>
              </w:rPr>
              <w:t>Środki pieniężne i ich ekwiwalenty (nota 3.13)</w:t>
            </w:r>
          </w:p>
        </w:tc>
        <w:tc>
          <w:tcPr>
            <w:tcW w:w="1086" w:type="dxa"/>
            <w:tcBorders>
              <w:top w:val="nil"/>
              <w:left w:val="nil"/>
              <w:bottom w:val="single" w:sz="4" w:space="0" w:color="auto"/>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142 318</w:t>
            </w:r>
          </w:p>
        </w:tc>
        <w:tc>
          <w:tcPr>
            <w:tcW w:w="1260" w:type="dxa"/>
            <w:tcBorders>
              <w:top w:val="nil"/>
              <w:left w:val="nil"/>
              <w:bottom w:val="single" w:sz="4" w:space="0" w:color="auto"/>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w:t>
            </w:r>
          </w:p>
        </w:tc>
        <w:tc>
          <w:tcPr>
            <w:tcW w:w="1260" w:type="dxa"/>
            <w:tcBorders>
              <w:top w:val="nil"/>
              <w:left w:val="nil"/>
              <w:bottom w:val="single" w:sz="4" w:space="0" w:color="auto"/>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w:t>
            </w:r>
          </w:p>
        </w:tc>
        <w:tc>
          <w:tcPr>
            <w:tcW w:w="1080" w:type="dxa"/>
            <w:tcBorders>
              <w:top w:val="nil"/>
              <w:left w:val="nil"/>
              <w:bottom w:val="single" w:sz="4" w:space="0" w:color="auto"/>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w:t>
            </w:r>
          </w:p>
        </w:tc>
        <w:tc>
          <w:tcPr>
            <w:tcW w:w="1080" w:type="dxa"/>
            <w:tcBorders>
              <w:top w:val="nil"/>
              <w:left w:val="nil"/>
              <w:bottom w:val="single" w:sz="4" w:space="0" w:color="auto"/>
              <w:right w:val="nil"/>
            </w:tcBorders>
            <w:vAlign w:val="center"/>
          </w:tcPr>
          <w:p w:rsidR="00B24DA9" w:rsidRPr="00765C97" w:rsidRDefault="00A775EC">
            <w:pPr>
              <w:jc w:val="right"/>
              <w:rPr>
                <w:rFonts w:ascii="Arial" w:hAnsi="Arial"/>
                <w:sz w:val="20"/>
                <w:lang w:val="pl-PL"/>
              </w:rPr>
            </w:pPr>
            <w:r w:rsidRPr="00765C97">
              <w:rPr>
                <w:rFonts w:ascii="Arial" w:hAnsi="Arial"/>
                <w:sz w:val="20"/>
                <w:lang w:val="pl-PL"/>
              </w:rPr>
              <w:t>142 318</w:t>
            </w:r>
          </w:p>
        </w:tc>
      </w:tr>
      <w:tr w:rsidR="00B24DA9" w:rsidRPr="00765C97">
        <w:trPr>
          <w:trHeight w:val="255"/>
        </w:trPr>
        <w:tc>
          <w:tcPr>
            <w:tcW w:w="2514" w:type="dxa"/>
            <w:tcBorders>
              <w:top w:val="nil"/>
              <w:left w:val="nil"/>
              <w:bottom w:val="nil"/>
              <w:right w:val="nil"/>
            </w:tcBorders>
            <w:vAlign w:val="center"/>
          </w:tcPr>
          <w:p w:rsidR="00B24DA9" w:rsidRPr="00765C97" w:rsidRDefault="00B24DA9">
            <w:pPr>
              <w:rPr>
                <w:rFonts w:ascii="Arial" w:hAnsi="Arial"/>
                <w:b/>
                <w:sz w:val="20"/>
                <w:lang w:val="pl-PL"/>
              </w:rPr>
            </w:pPr>
            <w:r w:rsidRPr="00765C97">
              <w:rPr>
                <w:rFonts w:ascii="Arial" w:hAnsi="Arial"/>
                <w:b/>
                <w:sz w:val="20"/>
                <w:lang w:val="pl-PL"/>
              </w:rPr>
              <w:t>Razem</w:t>
            </w:r>
          </w:p>
        </w:tc>
        <w:tc>
          <w:tcPr>
            <w:tcW w:w="1086" w:type="dxa"/>
            <w:tcBorders>
              <w:top w:val="single" w:sz="4" w:space="0" w:color="auto"/>
              <w:left w:val="nil"/>
              <w:bottom w:val="single" w:sz="2" w:space="0" w:color="auto"/>
              <w:right w:val="nil"/>
            </w:tcBorders>
            <w:vAlign w:val="center"/>
          </w:tcPr>
          <w:p w:rsidR="00B24DA9" w:rsidRPr="00765C97" w:rsidRDefault="00F35BD0" w:rsidP="00740C30">
            <w:pPr>
              <w:jc w:val="right"/>
              <w:rPr>
                <w:rFonts w:ascii="Arial" w:hAnsi="Arial"/>
                <w:b/>
                <w:sz w:val="20"/>
                <w:lang w:val="pl-PL"/>
              </w:rPr>
            </w:pPr>
            <w:r w:rsidRPr="00765C97">
              <w:rPr>
                <w:rFonts w:ascii="Arial" w:hAnsi="Arial"/>
                <w:b/>
                <w:sz w:val="20"/>
                <w:lang w:val="pl-PL"/>
              </w:rPr>
              <w:t>506 816</w:t>
            </w:r>
          </w:p>
        </w:tc>
        <w:tc>
          <w:tcPr>
            <w:tcW w:w="1260" w:type="dxa"/>
            <w:tcBorders>
              <w:top w:val="single" w:sz="4" w:space="0" w:color="auto"/>
              <w:left w:val="nil"/>
              <w:bottom w:val="single" w:sz="2" w:space="0" w:color="auto"/>
              <w:right w:val="nil"/>
            </w:tcBorders>
            <w:vAlign w:val="center"/>
          </w:tcPr>
          <w:p w:rsidR="00B24DA9" w:rsidRPr="00765C97" w:rsidRDefault="00A775EC">
            <w:pPr>
              <w:jc w:val="right"/>
              <w:rPr>
                <w:rFonts w:ascii="Arial" w:hAnsi="Arial"/>
                <w:b/>
                <w:sz w:val="20"/>
                <w:lang w:val="pl-PL"/>
              </w:rPr>
            </w:pPr>
            <w:r w:rsidRPr="00765C97">
              <w:rPr>
                <w:rFonts w:ascii="Arial" w:hAnsi="Arial"/>
                <w:b/>
                <w:sz w:val="20"/>
                <w:lang w:val="pl-PL"/>
              </w:rPr>
              <w:t>37 157</w:t>
            </w:r>
          </w:p>
        </w:tc>
        <w:tc>
          <w:tcPr>
            <w:tcW w:w="1260" w:type="dxa"/>
            <w:tcBorders>
              <w:top w:val="single" w:sz="4" w:space="0" w:color="auto"/>
              <w:left w:val="nil"/>
              <w:bottom w:val="single" w:sz="2" w:space="0" w:color="auto"/>
              <w:right w:val="nil"/>
            </w:tcBorders>
            <w:vAlign w:val="center"/>
          </w:tcPr>
          <w:p w:rsidR="00B24DA9" w:rsidRPr="00765C97" w:rsidRDefault="00A775EC">
            <w:pPr>
              <w:jc w:val="right"/>
              <w:rPr>
                <w:rFonts w:ascii="Arial" w:hAnsi="Arial"/>
                <w:b/>
                <w:sz w:val="20"/>
                <w:lang w:val="pl-PL"/>
              </w:rPr>
            </w:pPr>
            <w:r w:rsidRPr="00765C97">
              <w:rPr>
                <w:rFonts w:ascii="Arial" w:hAnsi="Arial"/>
                <w:b/>
                <w:sz w:val="20"/>
                <w:lang w:val="pl-PL"/>
              </w:rPr>
              <w:t>2</w:t>
            </w:r>
          </w:p>
        </w:tc>
        <w:tc>
          <w:tcPr>
            <w:tcW w:w="1080" w:type="dxa"/>
            <w:tcBorders>
              <w:top w:val="single" w:sz="4" w:space="0" w:color="auto"/>
              <w:left w:val="nil"/>
              <w:bottom w:val="single" w:sz="2" w:space="0" w:color="auto"/>
              <w:right w:val="nil"/>
            </w:tcBorders>
            <w:vAlign w:val="center"/>
          </w:tcPr>
          <w:p w:rsidR="00B24DA9" w:rsidRPr="00765C97" w:rsidRDefault="00A775EC">
            <w:pPr>
              <w:jc w:val="right"/>
              <w:rPr>
                <w:rFonts w:ascii="Arial" w:hAnsi="Arial"/>
                <w:b/>
                <w:sz w:val="20"/>
                <w:lang w:val="pl-PL"/>
              </w:rPr>
            </w:pPr>
            <w:r w:rsidRPr="00765C97">
              <w:rPr>
                <w:rFonts w:ascii="Arial" w:hAnsi="Arial"/>
                <w:b/>
                <w:sz w:val="20"/>
                <w:lang w:val="pl-PL"/>
              </w:rPr>
              <w:t>25</w:t>
            </w:r>
          </w:p>
        </w:tc>
        <w:tc>
          <w:tcPr>
            <w:tcW w:w="1080" w:type="dxa"/>
            <w:tcBorders>
              <w:top w:val="single" w:sz="4" w:space="0" w:color="auto"/>
              <w:left w:val="nil"/>
              <w:bottom w:val="single" w:sz="2" w:space="0" w:color="auto"/>
              <w:right w:val="nil"/>
            </w:tcBorders>
            <w:vAlign w:val="center"/>
          </w:tcPr>
          <w:p w:rsidR="00B24DA9" w:rsidRPr="00765C97" w:rsidRDefault="000B1BBC" w:rsidP="00740C30">
            <w:pPr>
              <w:jc w:val="right"/>
              <w:rPr>
                <w:rFonts w:ascii="Arial" w:hAnsi="Arial"/>
                <w:b/>
                <w:sz w:val="20"/>
                <w:lang w:val="pl-PL"/>
              </w:rPr>
            </w:pPr>
            <w:r w:rsidRPr="00765C97">
              <w:rPr>
                <w:rFonts w:ascii="Arial" w:hAnsi="Arial"/>
                <w:b/>
                <w:sz w:val="20"/>
                <w:lang w:val="pl-PL"/>
              </w:rPr>
              <w:t>544 000</w:t>
            </w:r>
          </w:p>
        </w:tc>
      </w:tr>
    </w:tbl>
    <w:p w:rsidR="00B24DA9" w:rsidRPr="00765C97" w:rsidRDefault="00B24DA9">
      <w:pPr>
        <w:pStyle w:val="Tekstpodstawowy"/>
        <w:ind w:left="180"/>
        <w:rPr>
          <w:b w:val="0"/>
          <w:sz w:val="20"/>
        </w:rPr>
      </w:pPr>
    </w:p>
    <w:p w:rsidR="00385F70" w:rsidRPr="00765C97" w:rsidRDefault="00385F70" w:rsidP="00385F70">
      <w:pPr>
        <w:pStyle w:val="Tekstpodstawowy"/>
        <w:ind w:left="180"/>
        <w:rPr>
          <w:b w:val="0"/>
          <w:sz w:val="20"/>
        </w:rPr>
      </w:pPr>
      <w:r w:rsidRPr="00765C97">
        <w:rPr>
          <w:b w:val="0"/>
          <w:sz w:val="20"/>
        </w:rPr>
        <w:t>Okres wymagalności poszczególnych klas zobowiązań finansowych na dzień 31 grudnia 2011 roku przedstawia się następująco:</w:t>
      </w:r>
    </w:p>
    <w:p w:rsidR="00385F70" w:rsidRPr="00765C97" w:rsidRDefault="00385F70" w:rsidP="00385F70">
      <w:pPr>
        <w:pStyle w:val="Tekstpodstawowy"/>
        <w:ind w:left="180"/>
        <w:rPr>
          <w:sz w:val="18"/>
        </w:rPr>
      </w:pPr>
    </w:p>
    <w:tbl>
      <w:tblPr>
        <w:tblW w:w="0" w:type="auto"/>
        <w:tblInd w:w="288" w:type="dxa"/>
        <w:tblLayout w:type="fixed"/>
        <w:tblLook w:val="0000"/>
      </w:tblPr>
      <w:tblGrid>
        <w:gridCol w:w="2520"/>
        <w:gridCol w:w="1080"/>
        <w:gridCol w:w="1260"/>
        <w:gridCol w:w="1260"/>
        <w:gridCol w:w="1071"/>
        <w:gridCol w:w="1134"/>
      </w:tblGrid>
      <w:tr w:rsidR="00385F70" w:rsidRPr="00765C97" w:rsidTr="00385F70">
        <w:trPr>
          <w:trHeight w:val="255"/>
        </w:trPr>
        <w:tc>
          <w:tcPr>
            <w:tcW w:w="2520" w:type="dxa"/>
            <w:tcBorders>
              <w:top w:val="nil"/>
              <w:left w:val="nil"/>
              <w:bottom w:val="nil"/>
              <w:right w:val="nil"/>
            </w:tcBorders>
            <w:vAlign w:val="bottom"/>
          </w:tcPr>
          <w:p w:rsidR="00385F70" w:rsidRPr="00765C97" w:rsidRDefault="00385F70" w:rsidP="00385F70">
            <w:pPr>
              <w:jc w:val="right"/>
              <w:rPr>
                <w:rFonts w:ascii="Arial" w:hAnsi="Arial"/>
                <w:sz w:val="20"/>
                <w:lang w:val="pl-PL"/>
              </w:rPr>
            </w:pPr>
          </w:p>
        </w:tc>
        <w:tc>
          <w:tcPr>
            <w:tcW w:w="1080" w:type="dxa"/>
            <w:tcBorders>
              <w:top w:val="nil"/>
              <w:left w:val="nil"/>
              <w:bottom w:val="nil"/>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 xml:space="preserve">Do </w:t>
            </w:r>
          </w:p>
          <w:p w:rsidR="00385F70" w:rsidRPr="00765C97" w:rsidRDefault="00385F70" w:rsidP="00385F70">
            <w:pPr>
              <w:jc w:val="right"/>
              <w:rPr>
                <w:rFonts w:ascii="Arial" w:hAnsi="Arial"/>
                <w:b/>
                <w:sz w:val="20"/>
                <w:lang w:val="pl-PL"/>
              </w:rPr>
            </w:pPr>
            <w:r w:rsidRPr="00765C97">
              <w:rPr>
                <w:rFonts w:ascii="Arial" w:hAnsi="Arial"/>
                <w:b/>
                <w:sz w:val="20"/>
                <w:lang w:val="pl-PL"/>
              </w:rPr>
              <w:t>1 roku</w:t>
            </w:r>
          </w:p>
        </w:tc>
        <w:tc>
          <w:tcPr>
            <w:tcW w:w="1260" w:type="dxa"/>
            <w:tcBorders>
              <w:top w:val="nil"/>
              <w:left w:val="nil"/>
              <w:bottom w:val="nil"/>
              <w:right w:val="nil"/>
            </w:tcBorders>
            <w:vAlign w:val="center"/>
          </w:tcPr>
          <w:p w:rsidR="00385F70" w:rsidRPr="00765C97" w:rsidRDefault="00385F70" w:rsidP="00385F70">
            <w:pPr>
              <w:ind w:left="-108"/>
              <w:jc w:val="right"/>
              <w:rPr>
                <w:rFonts w:ascii="Arial" w:hAnsi="Arial"/>
                <w:b/>
                <w:sz w:val="20"/>
                <w:lang w:val="pl-PL"/>
              </w:rPr>
            </w:pPr>
            <w:r w:rsidRPr="00765C97">
              <w:rPr>
                <w:rFonts w:ascii="Arial" w:hAnsi="Arial"/>
                <w:b/>
                <w:sz w:val="20"/>
                <w:lang w:val="pl-PL"/>
              </w:rPr>
              <w:t xml:space="preserve">Od 1 roku </w:t>
            </w:r>
          </w:p>
          <w:p w:rsidR="00385F70" w:rsidRPr="00765C97" w:rsidRDefault="00385F70" w:rsidP="00385F70">
            <w:pPr>
              <w:ind w:left="-108"/>
              <w:jc w:val="right"/>
              <w:rPr>
                <w:rFonts w:ascii="Arial" w:hAnsi="Arial"/>
                <w:b/>
                <w:sz w:val="20"/>
                <w:lang w:val="pl-PL"/>
              </w:rPr>
            </w:pPr>
            <w:r w:rsidRPr="00765C97">
              <w:rPr>
                <w:rFonts w:ascii="Arial" w:hAnsi="Arial"/>
                <w:b/>
                <w:sz w:val="20"/>
                <w:lang w:val="pl-PL"/>
              </w:rPr>
              <w:t>do 2 lat</w:t>
            </w:r>
          </w:p>
        </w:tc>
        <w:tc>
          <w:tcPr>
            <w:tcW w:w="1260" w:type="dxa"/>
            <w:tcBorders>
              <w:top w:val="nil"/>
              <w:left w:val="nil"/>
              <w:bottom w:val="nil"/>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 xml:space="preserve">Od 2 </w:t>
            </w:r>
          </w:p>
          <w:p w:rsidR="00385F70" w:rsidRPr="00765C97" w:rsidRDefault="00385F70" w:rsidP="00385F70">
            <w:pPr>
              <w:jc w:val="right"/>
              <w:rPr>
                <w:rFonts w:ascii="Arial" w:hAnsi="Arial"/>
                <w:b/>
                <w:sz w:val="20"/>
                <w:lang w:val="pl-PL"/>
              </w:rPr>
            </w:pPr>
            <w:r w:rsidRPr="00765C97">
              <w:rPr>
                <w:rFonts w:ascii="Arial" w:hAnsi="Arial"/>
                <w:b/>
                <w:sz w:val="20"/>
                <w:lang w:val="pl-PL"/>
              </w:rPr>
              <w:t>do 5 lat</w:t>
            </w:r>
          </w:p>
        </w:tc>
        <w:tc>
          <w:tcPr>
            <w:tcW w:w="1071" w:type="dxa"/>
            <w:tcBorders>
              <w:top w:val="nil"/>
              <w:left w:val="nil"/>
              <w:bottom w:val="nil"/>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 xml:space="preserve">Powyżej </w:t>
            </w:r>
          </w:p>
          <w:p w:rsidR="00385F70" w:rsidRPr="00765C97" w:rsidRDefault="00385F70" w:rsidP="00385F70">
            <w:pPr>
              <w:jc w:val="right"/>
              <w:rPr>
                <w:rFonts w:ascii="Arial" w:hAnsi="Arial"/>
                <w:b/>
                <w:sz w:val="20"/>
                <w:lang w:val="pl-PL"/>
              </w:rPr>
            </w:pPr>
            <w:r w:rsidRPr="00765C97">
              <w:rPr>
                <w:rFonts w:ascii="Arial" w:hAnsi="Arial"/>
                <w:b/>
                <w:sz w:val="20"/>
                <w:lang w:val="pl-PL"/>
              </w:rPr>
              <w:t>5 lat</w:t>
            </w:r>
          </w:p>
        </w:tc>
        <w:tc>
          <w:tcPr>
            <w:tcW w:w="1134" w:type="dxa"/>
            <w:tcBorders>
              <w:top w:val="nil"/>
              <w:left w:val="nil"/>
              <w:bottom w:val="nil"/>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Razem</w:t>
            </w:r>
          </w:p>
        </w:tc>
      </w:tr>
      <w:tr w:rsidR="00385F70" w:rsidRPr="00765C97" w:rsidTr="00385F70">
        <w:trPr>
          <w:trHeight w:val="255"/>
        </w:trPr>
        <w:tc>
          <w:tcPr>
            <w:tcW w:w="2520" w:type="dxa"/>
            <w:tcBorders>
              <w:top w:val="nil"/>
              <w:left w:val="nil"/>
              <w:bottom w:val="nil"/>
              <w:right w:val="nil"/>
            </w:tcBorders>
            <w:vAlign w:val="center"/>
          </w:tcPr>
          <w:p w:rsidR="00385F70" w:rsidRPr="00765C97" w:rsidRDefault="00385F70" w:rsidP="00385F70">
            <w:pPr>
              <w:ind w:left="-108"/>
              <w:rPr>
                <w:rFonts w:ascii="Arial" w:hAnsi="Arial"/>
                <w:sz w:val="20"/>
                <w:lang w:val="pl-PL"/>
              </w:rPr>
            </w:pPr>
            <w:r w:rsidRPr="00765C97">
              <w:rPr>
                <w:rFonts w:ascii="Arial" w:hAnsi="Arial"/>
                <w:sz w:val="20"/>
                <w:lang w:val="pl-PL"/>
              </w:rPr>
              <w:t>Zobowiązania z tytułu kredytów (nota 3.18)</w:t>
            </w:r>
          </w:p>
        </w:tc>
        <w:tc>
          <w:tcPr>
            <w:tcW w:w="108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27 436</w:t>
            </w:r>
          </w:p>
        </w:tc>
        <w:tc>
          <w:tcPr>
            <w:tcW w:w="126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11 389</w:t>
            </w:r>
          </w:p>
        </w:tc>
        <w:tc>
          <w:tcPr>
            <w:tcW w:w="126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30 873</w:t>
            </w:r>
          </w:p>
        </w:tc>
        <w:tc>
          <w:tcPr>
            <w:tcW w:w="1071"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46 632</w:t>
            </w:r>
          </w:p>
        </w:tc>
        <w:tc>
          <w:tcPr>
            <w:tcW w:w="1134"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116 330</w:t>
            </w:r>
          </w:p>
        </w:tc>
      </w:tr>
      <w:tr w:rsidR="00385F70" w:rsidRPr="00765C97" w:rsidTr="00385F70">
        <w:trPr>
          <w:trHeight w:val="255"/>
        </w:trPr>
        <w:tc>
          <w:tcPr>
            <w:tcW w:w="2520" w:type="dxa"/>
            <w:tcBorders>
              <w:top w:val="nil"/>
              <w:left w:val="nil"/>
              <w:bottom w:val="nil"/>
              <w:right w:val="nil"/>
            </w:tcBorders>
            <w:vAlign w:val="center"/>
          </w:tcPr>
          <w:p w:rsidR="00385F70" w:rsidRPr="00765C97" w:rsidRDefault="00385F70" w:rsidP="00385F70">
            <w:pPr>
              <w:ind w:left="-108"/>
              <w:rPr>
                <w:rFonts w:ascii="Arial" w:hAnsi="Arial"/>
                <w:sz w:val="20"/>
                <w:lang w:val="pl-PL"/>
              </w:rPr>
            </w:pPr>
            <w:r w:rsidRPr="00765C97">
              <w:rPr>
                <w:rFonts w:ascii="Arial" w:hAnsi="Arial"/>
                <w:sz w:val="20"/>
                <w:lang w:val="pl-PL"/>
              </w:rPr>
              <w:t xml:space="preserve">Zobowiązania wobec jednostek powiązanych </w:t>
            </w:r>
          </w:p>
        </w:tc>
        <w:tc>
          <w:tcPr>
            <w:tcW w:w="108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555</w:t>
            </w:r>
          </w:p>
        </w:tc>
        <w:tc>
          <w:tcPr>
            <w:tcW w:w="126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26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071"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134"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555</w:t>
            </w:r>
          </w:p>
        </w:tc>
      </w:tr>
      <w:tr w:rsidR="00385F70" w:rsidRPr="00765C97" w:rsidTr="00385F70">
        <w:trPr>
          <w:trHeight w:val="255"/>
        </w:trPr>
        <w:tc>
          <w:tcPr>
            <w:tcW w:w="2520" w:type="dxa"/>
            <w:tcBorders>
              <w:top w:val="nil"/>
              <w:left w:val="nil"/>
              <w:bottom w:val="nil"/>
              <w:right w:val="nil"/>
            </w:tcBorders>
            <w:vAlign w:val="center"/>
          </w:tcPr>
          <w:p w:rsidR="00385F70" w:rsidRPr="00765C97" w:rsidRDefault="00385F70" w:rsidP="00385F70">
            <w:pPr>
              <w:ind w:left="-108"/>
              <w:rPr>
                <w:rFonts w:ascii="Arial" w:hAnsi="Arial"/>
                <w:sz w:val="20"/>
                <w:lang w:val="pl-PL"/>
              </w:rPr>
            </w:pPr>
            <w:r w:rsidRPr="00765C97">
              <w:rPr>
                <w:rFonts w:ascii="Arial" w:hAnsi="Arial"/>
                <w:sz w:val="20"/>
                <w:lang w:val="pl-PL"/>
              </w:rPr>
              <w:t xml:space="preserve">Zobowiązania wobec pozostałych jednostek - krótkoterminowe </w:t>
            </w:r>
          </w:p>
        </w:tc>
        <w:tc>
          <w:tcPr>
            <w:tcW w:w="108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145 777</w:t>
            </w:r>
          </w:p>
        </w:tc>
        <w:tc>
          <w:tcPr>
            <w:tcW w:w="126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26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071"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134"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145 777</w:t>
            </w:r>
          </w:p>
        </w:tc>
      </w:tr>
      <w:tr w:rsidR="00385F70" w:rsidRPr="00765C97" w:rsidTr="00385F70">
        <w:trPr>
          <w:trHeight w:val="255"/>
        </w:trPr>
        <w:tc>
          <w:tcPr>
            <w:tcW w:w="2520" w:type="dxa"/>
            <w:tcBorders>
              <w:top w:val="nil"/>
              <w:left w:val="nil"/>
              <w:bottom w:val="nil"/>
              <w:right w:val="nil"/>
            </w:tcBorders>
            <w:vAlign w:val="center"/>
          </w:tcPr>
          <w:p w:rsidR="00385F70" w:rsidRPr="00765C97" w:rsidRDefault="00385F70" w:rsidP="00385F70">
            <w:pPr>
              <w:ind w:left="-108"/>
              <w:rPr>
                <w:rFonts w:ascii="Arial" w:hAnsi="Arial"/>
                <w:sz w:val="20"/>
                <w:lang w:val="pl-PL"/>
              </w:rPr>
            </w:pPr>
            <w:r w:rsidRPr="00765C97">
              <w:rPr>
                <w:rFonts w:ascii="Arial" w:hAnsi="Arial"/>
                <w:sz w:val="20"/>
                <w:lang w:val="pl-PL"/>
              </w:rPr>
              <w:t>Pochodne instrumenty finansowe</w:t>
            </w:r>
          </w:p>
        </w:tc>
        <w:tc>
          <w:tcPr>
            <w:tcW w:w="108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686</w:t>
            </w:r>
          </w:p>
        </w:tc>
        <w:tc>
          <w:tcPr>
            <w:tcW w:w="126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260"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071"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134" w:type="dxa"/>
            <w:tcBorders>
              <w:top w:val="nil"/>
              <w:left w:val="nil"/>
              <w:bottom w:val="nil"/>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686</w:t>
            </w:r>
          </w:p>
        </w:tc>
      </w:tr>
      <w:tr w:rsidR="00385F70" w:rsidRPr="00765C97" w:rsidTr="00385F70">
        <w:trPr>
          <w:trHeight w:val="255"/>
        </w:trPr>
        <w:tc>
          <w:tcPr>
            <w:tcW w:w="2520" w:type="dxa"/>
            <w:tcBorders>
              <w:top w:val="nil"/>
              <w:left w:val="nil"/>
              <w:bottom w:val="nil"/>
              <w:right w:val="nil"/>
            </w:tcBorders>
            <w:vAlign w:val="center"/>
          </w:tcPr>
          <w:p w:rsidR="00385F70" w:rsidRPr="00765C97" w:rsidRDefault="00385F70" w:rsidP="00385F70">
            <w:pPr>
              <w:ind w:left="-108"/>
              <w:rPr>
                <w:rFonts w:ascii="Arial" w:hAnsi="Arial"/>
                <w:sz w:val="20"/>
                <w:lang w:val="pl-PL"/>
              </w:rPr>
            </w:pPr>
            <w:r w:rsidRPr="00765C97">
              <w:rPr>
                <w:rFonts w:ascii="Arial" w:hAnsi="Arial"/>
                <w:sz w:val="20"/>
                <w:lang w:val="pl-PL"/>
              </w:rPr>
              <w:t xml:space="preserve">Zobowiązania z tytułu leasingu finansowego </w:t>
            </w:r>
          </w:p>
        </w:tc>
        <w:tc>
          <w:tcPr>
            <w:tcW w:w="1080" w:type="dxa"/>
            <w:tcBorders>
              <w:top w:val="nil"/>
              <w:left w:val="nil"/>
              <w:bottom w:val="single" w:sz="4" w:space="0" w:color="auto"/>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260" w:type="dxa"/>
            <w:tcBorders>
              <w:top w:val="nil"/>
              <w:left w:val="nil"/>
              <w:bottom w:val="single" w:sz="4" w:space="0" w:color="auto"/>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260" w:type="dxa"/>
            <w:tcBorders>
              <w:top w:val="nil"/>
              <w:left w:val="nil"/>
              <w:bottom w:val="single" w:sz="4" w:space="0" w:color="auto"/>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071" w:type="dxa"/>
            <w:tcBorders>
              <w:top w:val="nil"/>
              <w:left w:val="nil"/>
              <w:bottom w:val="single" w:sz="4" w:space="0" w:color="auto"/>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c>
          <w:tcPr>
            <w:tcW w:w="1134" w:type="dxa"/>
            <w:tcBorders>
              <w:top w:val="nil"/>
              <w:left w:val="nil"/>
              <w:bottom w:val="single" w:sz="4" w:space="0" w:color="auto"/>
              <w:right w:val="nil"/>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w:t>
            </w:r>
          </w:p>
        </w:tc>
      </w:tr>
      <w:tr w:rsidR="00385F70" w:rsidRPr="00765C97" w:rsidTr="00385F70">
        <w:trPr>
          <w:trHeight w:val="255"/>
        </w:trPr>
        <w:tc>
          <w:tcPr>
            <w:tcW w:w="2520" w:type="dxa"/>
            <w:tcBorders>
              <w:top w:val="nil"/>
              <w:left w:val="nil"/>
              <w:bottom w:val="nil"/>
              <w:right w:val="nil"/>
            </w:tcBorders>
            <w:vAlign w:val="center"/>
          </w:tcPr>
          <w:p w:rsidR="00385F70" w:rsidRPr="00765C97" w:rsidRDefault="00385F70" w:rsidP="00385F70">
            <w:pPr>
              <w:ind w:left="-108"/>
              <w:rPr>
                <w:rFonts w:ascii="Arial" w:hAnsi="Arial"/>
                <w:b/>
                <w:sz w:val="20"/>
                <w:lang w:val="pl-PL"/>
              </w:rPr>
            </w:pPr>
            <w:r w:rsidRPr="00765C97">
              <w:rPr>
                <w:rFonts w:ascii="Arial" w:hAnsi="Arial"/>
                <w:b/>
                <w:sz w:val="20"/>
                <w:lang w:val="pl-PL"/>
              </w:rPr>
              <w:t>Razem</w:t>
            </w:r>
          </w:p>
        </w:tc>
        <w:tc>
          <w:tcPr>
            <w:tcW w:w="1080" w:type="dxa"/>
            <w:tcBorders>
              <w:top w:val="single" w:sz="4" w:space="0" w:color="auto"/>
              <w:left w:val="nil"/>
              <w:bottom w:val="single" w:sz="2" w:space="0" w:color="auto"/>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174 454</w:t>
            </w:r>
          </w:p>
        </w:tc>
        <w:tc>
          <w:tcPr>
            <w:tcW w:w="1260" w:type="dxa"/>
            <w:tcBorders>
              <w:top w:val="single" w:sz="4" w:space="0" w:color="auto"/>
              <w:left w:val="nil"/>
              <w:bottom w:val="single" w:sz="2" w:space="0" w:color="auto"/>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11 389</w:t>
            </w:r>
          </w:p>
        </w:tc>
        <w:tc>
          <w:tcPr>
            <w:tcW w:w="1260" w:type="dxa"/>
            <w:tcBorders>
              <w:top w:val="single" w:sz="4" w:space="0" w:color="auto"/>
              <w:left w:val="nil"/>
              <w:bottom w:val="single" w:sz="2" w:space="0" w:color="auto"/>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30 873</w:t>
            </w:r>
          </w:p>
        </w:tc>
        <w:tc>
          <w:tcPr>
            <w:tcW w:w="1071" w:type="dxa"/>
            <w:tcBorders>
              <w:top w:val="single" w:sz="4" w:space="0" w:color="auto"/>
              <w:left w:val="nil"/>
              <w:bottom w:val="single" w:sz="2" w:space="0" w:color="auto"/>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46 632</w:t>
            </w:r>
          </w:p>
        </w:tc>
        <w:tc>
          <w:tcPr>
            <w:tcW w:w="1134" w:type="dxa"/>
            <w:tcBorders>
              <w:top w:val="single" w:sz="4" w:space="0" w:color="auto"/>
              <w:left w:val="nil"/>
              <w:bottom w:val="single" w:sz="2" w:space="0" w:color="auto"/>
              <w:right w:val="nil"/>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263 348</w:t>
            </w:r>
          </w:p>
        </w:tc>
      </w:tr>
    </w:tbl>
    <w:p w:rsidR="006C5B07" w:rsidRPr="00765C97" w:rsidRDefault="006C5B07" w:rsidP="00A77CCC">
      <w:pPr>
        <w:pStyle w:val="Tekstpodstawowy"/>
        <w:ind w:left="180"/>
        <w:rPr>
          <w:sz w:val="18"/>
        </w:rPr>
      </w:pPr>
    </w:p>
    <w:p w:rsidR="00A77CCC" w:rsidRPr="00765C97" w:rsidRDefault="00A77CCC">
      <w:pPr>
        <w:pStyle w:val="Tekstpodstawowy"/>
        <w:ind w:left="180"/>
        <w:rPr>
          <w:b w:val="0"/>
          <w:sz w:val="20"/>
        </w:rPr>
      </w:pPr>
    </w:p>
    <w:p w:rsidR="00B24DA9" w:rsidRPr="00765C97" w:rsidRDefault="00B24DA9">
      <w:pPr>
        <w:pStyle w:val="Tekstpodstawowy"/>
        <w:ind w:left="180"/>
        <w:rPr>
          <w:b w:val="0"/>
          <w:sz w:val="20"/>
        </w:rPr>
      </w:pPr>
      <w:r w:rsidRPr="00765C97">
        <w:rPr>
          <w:b w:val="0"/>
          <w:sz w:val="20"/>
        </w:rPr>
        <w:t>Okres wymagalności poszczególnych klas zobowiązań finansowych na dzień 31 grudnia 20</w:t>
      </w:r>
      <w:r w:rsidR="00B0017E" w:rsidRPr="00765C97">
        <w:rPr>
          <w:b w:val="0"/>
          <w:sz w:val="20"/>
        </w:rPr>
        <w:t>1</w:t>
      </w:r>
      <w:r w:rsidR="00385F70" w:rsidRPr="00765C97">
        <w:rPr>
          <w:b w:val="0"/>
          <w:sz w:val="20"/>
        </w:rPr>
        <w:t>2</w:t>
      </w:r>
      <w:r w:rsidRPr="00765C97">
        <w:rPr>
          <w:b w:val="0"/>
          <w:sz w:val="20"/>
        </w:rPr>
        <w:t xml:space="preserve"> roku przedstawia się następująco:</w:t>
      </w:r>
    </w:p>
    <w:tbl>
      <w:tblPr>
        <w:tblW w:w="0" w:type="auto"/>
        <w:tblInd w:w="288" w:type="dxa"/>
        <w:tblLayout w:type="fixed"/>
        <w:tblLook w:val="0000"/>
      </w:tblPr>
      <w:tblGrid>
        <w:gridCol w:w="2520"/>
        <w:gridCol w:w="1080"/>
        <w:gridCol w:w="1260"/>
        <w:gridCol w:w="1260"/>
        <w:gridCol w:w="1071"/>
        <w:gridCol w:w="1134"/>
      </w:tblGrid>
      <w:tr w:rsidR="00B24DA9" w:rsidRPr="00765C97">
        <w:trPr>
          <w:trHeight w:val="255"/>
        </w:trPr>
        <w:tc>
          <w:tcPr>
            <w:tcW w:w="2520" w:type="dxa"/>
            <w:tcBorders>
              <w:top w:val="nil"/>
              <w:left w:val="nil"/>
              <w:bottom w:val="nil"/>
              <w:right w:val="nil"/>
            </w:tcBorders>
            <w:vAlign w:val="bottom"/>
          </w:tcPr>
          <w:p w:rsidR="00B24DA9" w:rsidRPr="00765C97" w:rsidRDefault="00B24DA9">
            <w:pPr>
              <w:jc w:val="right"/>
              <w:rPr>
                <w:rFonts w:ascii="Arial" w:hAnsi="Arial"/>
                <w:sz w:val="20"/>
                <w:lang w:val="pl-PL"/>
              </w:rPr>
            </w:pPr>
          </w:p>
        </w:tc>
        <w:tc>
          <w:tcPr>
            <w:tcW w:w="1080" w:type="dxa"/>
            <w:tcBorders>
              <w:top w:val="nil"/>
              <w:left w:val="nil"/>
              <w:bottom w:val="nil"/>
              <w:right w:val="nil"/>
            </w:tcBorders>
            <w:vAlign w:val="center"/>
          </w:tcPr>
          <w:p w:rsidR="00B24DA9" w:rsidRPr="00765C97" w:rsidRDefault="00B24DA9">
            <w:pPr>
              <w:jc w:val="right"/>
              <w:rPr>
                <w:rFonts w:ascii="Arial" w:hAnsi="Arial"/>
                <w:b/>
                <w:sz w:val="20"/>
                <w:lang w:val="pl-PL"/>
              </w:rPr>
            </w:pPr>
            <w:r w:rsidRPr="00765C97">
              <w:rPr>
                <w:rFonts w:ascii="Arial" w:hAnsi="Arial"/>
                <w:b/>
                <w:sz w:val="20"/>
                <w:lang w:val="pl-PL"/>
              </w:rPr>
              <w:t xml:space="preserve">Do </w:t>
            </w:r>
          </w:p>
          <w:p w:rsidR="00B24DA9" w:rsidRPr="00765C97" w:rsidRDefault="00B24DA9">
            <w:pPr>
              <w:jc w:val="right"/>
              <w:rPr>
                <w:rFonts w:ascii="Arial" w:hAnsi="Arial"/>
                <w:b/>
                <w:sz w:val="20"/>
                <w:lang w:val="pl-PL"/>
              </w:rPr>
            </w:pPr>
            <w:r w:rsidRPr="00765C97">
              <w:rPr>
                <w:rFonts w:ascii="Arial" w:hAnsi="Arial"/>
                <w:b/>
                <w:sz w:val="20"/>
                <w:lang w:val="pl-PL"/>
              </w:rPr>
              <w:t>1 roku</w:t>
            </w:r>
          </w:p>
        </w:tc>
        <w:tc>
          <w:tcPr>
            <w:tcW w:w="1260" w:type="dxa"/>
            <w:tcBorders>
              <w:top w:val="nil"/>
              <w:left w:val="nil"/>
              <w:bottom w:val="nil"/>
              <w:right w:val="nil"/>
            </w:tcBorders>
            <w:vAlign w:val="center"/>
          </w:tcPr>
          <w:p w:rsidR="00B24DA9" w:rsidRPr="00765C97" w:rsidRDefault="00B24DA9">
            <w:pPr>
              <w:ind w:left="-108"/>
              <w:jc w:val="right"/>
              <w:rPr>
                <w:rFonts w:ascii="Arial" w:hAnsi="Arial"/>
                <w:b/>
                <w:sz w:val="20"/>
                <w:lang w:val="pl-PL"/>
              </w:rPr>
            </w:pPr>
            <w:r w:rsidRPr="00765C97">
              <w:rPr>
                <w:rFonts w:ascii="Arial" w:hAnsi="Arial"/>
                <w:b/>
                <w:sz w:val="20"/>
                <w:lang w:val="pl-PL"/>
              </w:rPr>
              <w:t xml:space="preserve">Od 1 roku </w:t>
            </w:r>
          </w:p>
          <w:p w:rsidR="00B24DA9" w:rsidRPr="00765C97" w:rsidRDefault="00B24DA9">
            <w:pPr>
              <w:ind w:left="-108"/>
              <w:jc w:val="right"/>
              <w:rPr>
                <w:rFonts w:ascii="Arial" w:hAnsi="Arial"/>
                <w:b/>
                <w:sz w:val="20"/>
                <w:lang w:val="pl-PL"/>
              </w:rPr>
            </w:pPr>
            <w:r w:rsidRPr="00765C97">
              <w:rPr>
                <w:rFonts w:ascii="Arial" w:hAnsi="Arial"/>
                <w:b/>
                <w:sz w:val="20"/>
                <w:lang w:val="pl-PL"/>
              </w:rPr>
              <w:t>do 2 lat</w:t>
            </w:r>
          </w:p>
        </w:tc>
        <w:tc>
          <w:tcPr>
            <w:tcW w:w="1260" w:type="dxa"/>
            <w:tcBorders>
              <w:top w:val="nil"/>
              <w:left w:val="nil"/>
              <w:bottom w:val="nil"/>
              <w:right w:val="nil"/>
            </w:tcBorders>
            <w:vAlign w:val="center"/>
          </w:tcPr>
          <w:p w:rsidR="00B24DA9" w:rsidRPr="00765C97" w:rsidRDefault="00B24DA9">
            <w:pPr>
              <w:jc w:val="right"/>
              <w:rPr>
                <w:rFonts w:ascii="Arial" w:hAnsi="Arial"/>
                <w:b/>
                <w:sz w:val="20"/>
                <w:lang w:val="pl-PL"/>
              </w:rPr>
            </w:pPr>
            <w:r w:rsidRPr="00765C97">
              <w:rPr>
                <w:rFonts w:ascii="Arial" w:hAnsi="Arial"/>
                <w:b/>
                <w:sz w:val="20"/>
                <w:lang w:val="pl-PL"/>
              </w:rPr>
              <w:t xml:space="preserve">Od 2 </w:t>
            </w:r>
          </w:p>
          <w:p w:rsidR="00B24DA9" w:rsidRPr="00765C97" w:rsidRDefault="00B24DA9">
            <w:pPr>
              <w:jc w:val="right"/>
              <w:rPr>
                <w:rFonts w:ascii="Arial" w:hAnsi="Arial"/>
                <w:b/>
                <w:sz w:val="20"/>
                <w:lang w:val="pl-PL"/>
              </w:rPr>
            </w:pPr>
            <w:r w:rsidRPr="00765C97">
              <w:rPr>
                <w:rFonts w:ascii="Arial" w:hAnsi="Arial"/>
                <w:b/>
                <w:sz w:val="20"/>
                <w:lang w:val="pl-PL"/>
              </w:rPr>
              <w:t>do 5 lat</w:t>
            </w:r>
          </w:p>
        </w:tc>
        <w:tc>
          <w:tcPr>
            <w:tcW w:w="1071" w:type="dxa"/>
            <w:tcBorders>
              <w:top w:val="nil"/>
              <w:left w:val="nil"/>
              <w:bottom w:val="nil"/>
              <w:right w:val="nil"/>
            </w:tcBorders>
            <w:vAlign w:val="center"/>
          </w:tcPr>
          <w:p w:rsidR="00B24DA9" w:rsidRPr="00765C97" w:rsidRDefault="00B24DA9">
            <w:pPr>
              <w:jc w:val="right"/>
              <w:rPr>
                <w:rFonts w:ascii="Arial" w:hAnsi="Arial"/>
                <w:b/>
                <w:sz w:val="20"/>
                <w:lang w:val="pl-PL"/>
              </w:rPr>
            </w:pPr>
            <w:r w:rsidRPr="00765C97">
              <w:rPr>
                <w:rFonts w:ascii="Arial" w:hAnsi="Arial"/>
                <w:b/>
                <w:sz w:val="20"/>
                <w:lang w:val="pl-PL"/>
              </w:rPr>
              <w:t xml:space="preserve">Powyżej </w:t>
            </w:r>
          </w:p>
          <w:p w:rsidR="00B24DA9" w:rsidRPr="00765C97" w:rsidRDefault="00B24DA9">
            <w:pPr>
              <w:jc w:val="right"/>
              <w:rPr>
                <w:rFonts w:ascii="Arial" w:hAnsi="Arial"/>
                <w:b/>
                <w:sz w:val="20"/>
                <w:lang w:val="pl-PL"/>
              </w:rPr>
            </w:pPr>
            <w:r w:rsidRPr="00765C97">
              <w:rPr>
                <w:rFonts w:ascii="Arial" w:hAnsi="Arial"/>
                <w:b/>
                <w:sz w:val="20"/>
                <w:lang w:val="pl-PL"/>
              </w:rPr>
              <w:t>5 lat</w:t>
            </w:r>
          </w:p>
        </w:tc>
        <w:tc>
          <w:tcPr>
            <w:tcW w:w="1134" w:type="dxa"/>
            <w:tcBorders>
              <w:top w:val="nil"/>
              <w:left w:val="nil"/>
              <w:bottom w:val="nil"/>
              <w:right w:val="nil"/>
            </w:tcBorders>
            <w:vAlign w:val="center"/>
          </w:tcPr>
          <w:p w:rsidR="00B24DA9" w:rsidRPr="00765C97" w:rsidRDefault="00B24DA9">
            <w:pPr>
              <w:jc w:val="right"/>
              <w:rPr>
                <w:rFonts w:ascii="Arial" w:hAnsi="Arial"/>
                <w:b/>
                <w:sz w:val="20"/>
                <w:lang w:val="pl-PL"/>
              </w:rPr>
            </w:pPr>
            <w:r w:rsidRPr="00765C97">
              <w:rPr>
                <w:rFonts w:ascii="Arial" w:hAnsi="Arial"/>
                <w:b/>
                <w:sz w:val="20"/>
                <w:lang w:val="pl-PL"/>
              </w:rPr>
              <w:t>Razem</w:t>
            </w:r>
          </w:p>
        </w:tc>
      </w:tr>
      <w:tr w:rsidR="00B24DA9" w:rsidRPr="00765C97">
        <w:trPr>
          <w:trHeight w:val="255"/>
        </w:trPr>
        <w:tc>
          <w:tcPr>
            <w:tcW w:w="2520" w:type="dxa"/>
            <w:tcBorders>
              <w:top w:val="nil"/>
              <w:left w:val="nil"/>
              <w:bottom w:val="nil"/>
              <w:right w:val="nil"/>
            </w:tcBorders>
            <w:vAlign w:val="center"/>
          </w:tcPr>
          <w:p w:rsidR="00B24DA9" w:rsidRPr="00765C97" w:rsidRDefault="00B24DA9" w:rsidP="008B4C6B">
            <w:pPr>
              <w:ind w:left="-108"/>
              <w:rPr>
                <w:rFonts w:ascii="Arial" w:hAnsi="Arial"/>
                <w:sz w:val="20"/>
                <w:lang w:val="pl-PL"/>
              </w:rPr>
            </w:pPr>
            <w:r w:rsidRPr="00765C97">
              <w:rPr>
                <w:rFonts w:ascii="Arial" w:hAnsi="Arial"/>
                <w:sz w:val="20"/>
                <w:lang w:val="pl-PL"/>
              </w:rPr>
              <w:t>Zobowiązania z tytułu kredytów (nota 3.1</w:t>
            </w:r>
            <w:r w:rsidR="008B4C6B" w:rsidRPr="00765C97">
              <w:rPr>
                <w:rFonts w:ascii="Arial" w:hAnsi="Arial"/>
                <w:sz w:val="20"/>
                <w:lang w:val="pl-PL"/>
              </w:rPr>
              <w:t>8</w:t>
            </w:r>
            <w:r w:rsidRPr="00765C97">
              <w:rPr>
                <w:rFonts w:ascii="Arial" w:hAnsi="Arial"/>
                <w:sz w:val="20"/>
                <w:lang w:val="pl-PL"/>
              </w:rPr>
              <w:t>)</w:t>
            </w:r>
          </w:p>
        </w:tc>
        <w:tc>
          <w:tcPr>
            <w:tcW w:w="1080" w:type="dxa"/>
            <w:tcBorders>
              <w:top w:val="nil"/>
              <w:left w:val="nil"/>
              <w:bottom w:val="nil"/>
              <w:right w:val="nil"/>
            </w:tcBorders>
            <w:vAlign w:val="center"/>
          </w:tcPr>
          <w:p w:rsidR="00B24DA9" w:rsidRPr="00765C97" w:rsidRDefault="00602A54" w:rsidP="004868E2">
            <w:pPr>
              <w:jc w:val="right"/>
              <w:rPr>
                <w:rFonts w:ascii="Arial" w:hAnsi="Arial"/>
                <w:sz w:val="20"/>
                <w:lang w:val="pl-PL"/>
              </w:rPr>
            </w:pPr>
            <w:r w:rsidRPr="00765C97">
              <w:rPr>
                <w:rFonts w:ascii="Arial" w:hAnsi="Arial"/>
                <w:sz w:val="20"/>
                <w:lang w:val="pl-PL"/>
              </w:rPr>
              <w:t>36 325</w:t>
            </w:r>
          </w:p>
        </w:tc>
        <w:tc>
          <w:tcPr>
            <w:tcW w:w="1260" w:type="dxa"/>
            <w:tcBorders>
              <w:top w:val="nil"/>
              <w:left w:val="nil"/>
              <w:bottom w:val="nil"/>
              <w:right w:val="nil"/>
            </w:tcBorders>
            <w:vAlign w:val="center"/>
          </w:tcPr>
          <w:p w:rsidR="00B24DA9" w:rsidRPr="00765C97" w:rsidRDefault="00602A54">
            <w:pPr>
              <w:jc w:val="right"/>
              <w:rPr>
                <w:rFonts w:ascii="Arial" w:hAnsi="Arial"/>
                <w:sz w:val="20"/>
                <w:lang w:val="pl-PL"/>
              </w:rPr>
            </w:pPr>
            <w:r w:rsidRPr="00765C97">
              <w:rPr>
                <w:rFonts w:ascii="Arial" w:hAnsi="Arial"/>
                <w:sz w:val="20"/>
                <w:lang w:val="pl-PL"/>
              </w:rPr>
              <w:t>13 527</w:t>
            </w:r>
          </w:p>
        </w:tc>
        <w:tc>
          <w:tcPr>
            <w:tcW w:w="1260" w:type="dxa"/>
            <w:tcBorders>
              <w:top w:val="nil"/>
              <w:left w:val="nil"/>
              <w:bottom w:val="nil"/>
              <w:right w:val="nil"/>
            </w:tcBorders>
            <w:vAlign w:val="center"/>
          </w:tcPr>
          <w:p w:rsidR="00B24DA9" w:rsidRPr="00765C97" w:rsidRDefault="00602A54">
            <w:pPr>
              <w:jc w:val="right"/>
              <w:rPr>
                <w:rFonts w:ascii="Arial" w:hAnsi="Arial"/>
                <w:sz w:val="20"/>
                <w:lang w:val="pl-PL"/>
              </w:rPr>
            </w:pPr>
            <w:r w:rsidRPr="00765C97">
              <w:rPr>
                <w:rFonts w:ascii="Arial" w:hAnsi="Arial"/>
                <w:sz w:val="20"/>
                <w:lang w:val="pl-PL"/>
              </w:rPr>
              <w:t>46 112</w:t>
            </w:r>
          </w:p>
        </w:tc>
        <w:tc>
          <w:tcPr>
            <w:tcW w:w="1071" w:type="dxa"/>
            <w:tcBorders>
              <w:top w:val="nil"/>
              <w:left w:val="nil"/>
              <w:bottom w:val="nil"/>
              <w:right w:val="nil"/>
            </w:tcBorders>
            <w:vAlign w:val="center"/>
          </w:tcPr>
          <w:p w:rsidR="00B24DA9" w:rsidRPr="00765C97" w:rsidRDefault="00602A54" w:rsidP="00740C30">
            <w:pPr>
              <w:jc w:val="right"/>
              <w:rPr>
                <w:rFonts w:ascii="Arial" w:hAnsi="Arial"/>
                <w:sz w:val="20"/>
                <w:lang w:val="pl-PL"/>
              </w:rPr>
            </w:pPr>
            <w:r w:rsidRPr="00765C97">
              <w:rPr>
                <w:rFonts w:ascii="Arial" w:hAnsi="Arial"/>
                <w:sz w:val="20"/>
                <w:lang w:val="pl-PL"/>
              </w:rPr>
              <w:t>35 253</w:t>
            </w:r>
          </w:p>
        </w:tc>
        <w:tc>
          <w:tcPr>
            <w:tcW w:w="1134" w:type="dxa"/>
            <w:tcBorders>
              <w:top w:val="nil"/>
              <w:left w:val="nil"/>
              <w:bottom w:val="nil"/>
              <w:right w:val="nil"/>
            </w:tcBorders>
            <w:vAlign w:val="center"/>
          </w:tcPr>
          <w:p w:rsidR="00B24DA9" w:rsidRPr="00765C97" w:rsidRDefault="00602A54" w:rsidP="004868E2">
            <w:pPr>
              <w:jc w:val="right"/>
              <w:rPr>
                <w:rFonts w:ascii="Arial" w:hAnsi="Arial"/>
                <w:sz w:val="20"/>
                <w:lang w:val="pl-PL"/>
              </w:rPr>
            </w:pPr>
            <w:r w:rsidRPr="00765C97">
              <w:rPr>
                <w:rFonts w:ascii="Arial" w:hAnsi="Arial"/>
                <w:sz w:val="20"/>
                <w:lang w:val="pl-PL"/>
              </w:rPr>
              <w:t>131 217</w:t>
            </w:r>
          </w:p>
        </w:tc>
      </w:tr>
      <w:tr w:rsidR="00B24DA9" w:rsidRPr="00765C97">
        <w:trPr>
          <w:trHeight w:val="255"/>
        </w:trPr>
        <w:tc>
          <w:tcPr>
            <w:tcW w:w="2520" w:type="dxa"/>
            <w:tcBorders>
              <w:top w:val="nil"/>
              <w:left w:val="nil"/>
              <w:bottom w:val="nil"/>
              <w:right w:val="nil"/>
            </w:tcBorders>
            <w:vAlign w:val="center"/>
          </w:tcPr>
          <w:p w:rsidR="00B24DA9" w:rsidRPr="00765C97" w:rsidRDefault="00B24DA9">
            <w:pPr>
              <w:ind w:left="-108"/>
              <w:rPr>
                <w:rFonts w:ascii="Arial" w:hAnsi="Arial"/>
                <w:sz w:val="20"/>
                <w:lang w:val="pl-PL"/>
              </w:rPr>
            </w:pPr>
            <w:r w:rsidRPr="00765C97">
              <w:rPr>
                <w:rFonts w:ascii="Arial" w:hAnsi="Arial"/>
                <w:sz w:val="20"/>
                <w:lang w:val="pl-PL"/>
              </w:rPr>
              <w:t xml:space="preserve">Zobowiązania wobec jednostek powiązanych </w:t>
            </w:r>
          </w:p>
        </w:tc>
        <w:tc>
          <w:tcPr>
            <w:tcW w:w="1080" w:type="dxa"/>
            <w:tcBorders>
              <w:top w:val="nil"/>
              <w:left w:val="nil"/>
              <w:bottom w:val="nil"/>
              <w:right w:val="nil"/>
            </w:tcBorders>
            <w:vAlign w:val="center"/>
          </w:tcPr>
          <w:p w:rsidR="00B24DA9" w:rsidRPr="00765C97" w:rsidRDefault="00602A54">
            <w:pPr>
              <w:jc w:val="right"/>
              <w:rPr>
                <w:rFonts w:ascii="Arial" w:hAnsi="Arial"/>
                <w:sz w:val="20"/>
                <w:lang w:val="pl-PL"/>
              </w:rPr>
            </w:pPr>
            <w:r w:rsidRPr="00765C97">
              <w:rPr>
                <w:rFonts w:ascii="Arial" w:hAnsi="Arial"/>
                <w:sz w:val="20"/>
                <w:lang w:val="pl-PL"/>
              </w:rPr>
              <w:t>1 120</w:t>
            </w:r>
          </w:p>
        </w:tc>
        <w:tc>
          <w:tcPr>
            <w:tcW w:w="1260" w:type="dxa"/>
            <w:tcBorders>
              <w:top w:val="nil"/>
              <w:left w:val="nil"/>
              <w:bottom w:val="nil"/>
              <w:right w:val="nil"/>
            </w:tcBorders>
            <w:vAlign w:val="center"/>
          </w:tcPr>
          <w:p w:rsidR="00B24DA9" w:rsidRPr="00765C97" w:rsidRDefault="00602A54">
            <w:pPr>
              <w:jc w:val="right"/>
              <w:rPr>
                <w:rFonts w:ascii="Arial" w:hAnsi="Arial"/>
                <w:sz w:val="20"/>
                <w:lang w:val="pl-PL"/>
              </w:rPr>
            </w:pPr>
            <w:r w:rsidRPr="00765C97">
              <w:rPr>
                <w:rFonts w:ascii="Arial" w:hAnsi="Arial"/>
                <w:sz w:val="20"/>
                <w:lang w:val="pl-PL"/>
              </w:rPr>
              <w:t>-</w:t>
            </w:r>
          </w:p>
        </w:tc>
        <w:tc>
          <w:tcPr>
            <w:tcW w:w="1260" w:type="dxa"/>
            <w:tcBorders>
              <w:top w:val="nil"/>
              <w:left w:val="nil"/>
              <w:bottom w:val="nil"/>
              <w:right w:val="nil"/>
            </w:tcBorders>
            <w:vAlign w:val="center"/>
          </w:tcPr>
          <w:p w:rsidR="00B24DA9" w:rsidRPr="00765C97" w:rsidRDefault="00602A54">
            <w:pPr>
              <w:jc w:val="right"/>
              <w:rPr>
                <w:rFonts w:ascii="Arial" w:hAnsi="Arial"/>
                <w:sz w:val="20"/>
                <w:lang w:val="pl-PL"/>
              </w:rPr>
            </w:pPr>
            <w:r w:rsidRPr="00765C97">
              <w:rPr>
                <w:rFonts w:ascii="Arial" w:hAnsi="Arial"/>
                <w:sz w:val="20"/>
                <w:lang w:val="pl-PL"/>
              </w:rPr>
              <w:t>-</w:t>
            </w:r>
          </w:p>
        </w:tc>
        <w:tc>
          <w:tcPr>
            <w:tcW w:w="1071" w:type="dxa"/>
            <w:tcBorders>
              <w:top w:val="nil"/>
              <w:left w:val="nil"/>
              <w:bottom w:val="nil"/>
              <w:right w:val="nil"/>
            </w:tcBorders>
            <w:vAlign w:val="center"/>
          </w:tcPr>
          <w:p w:rsidR="00B24DA9" w:rsidRPr="00765C97" w:rsidRDefault="00602A54">
            <w:pPr>
              <w:jc w:val="right"/>
              <w:rPr>
                <w:rFonts w:ascii="Arial" w:hAnsi="Arial"/>
                <w:sz w:val="20"/>
                <w:lang w:val="pl-PL"/>
              </w:rPr>
            </w:pPr>
            <w:r w:rsidRPr="00765C97">
              <w:rPr>
                <w:rFonts w:ascii="Arial" w:hAnsi="Arial"/>
                <w:sz w:val="20"/>
                <w:lang w:val="pl-PL"/>
              </w:rPr>
              <w:t>-</w:t>
            </w:r>
          </w:p>
        </w:tc>
        <w:tc>
          <w:tcPr>
            <w:tcW w:w="1134" w:type="dxa"/>
            <w:tcBorders>
              <w:top w:val="nil"/>
              <w:left w:val="nil"/>
              <w:bottom w:val="nil"/>
              <w:right w:val="nil"/>
            </w:tcBorders>
            <w:vAlign w:val="center"/>
          </w:tcPr>
          <w:p w:rsidR="00B24DA9" w:rsidRPr="00765C97" w:rsidRDefault="00602A54">
            <w:pPr>
              <w:jc w:val="right"/>
              <w:rPr>
                <w:rFonts w:ascii="Arial" w:hAnsi="Arial"/>
                <w:sz w:val="20"/>
                <w:lang w:val="pl-PL"/>
              </w:rPr>
            </w:pPr>
            <w:r w:rsidRPr="00765C97">
              <w:rPr>
                <w:rFonts w:ascii="Arial" w:hAnsi="Arial"/>
                <w:sz w:val="20"/>
                <w:lang w:val="pl-PL"/>
              </w:rPr>
              <w:t>1 120</w:t>
            </w:r>
          </w:p>
        </w:tc>
      </w:tr>
      <w:tr w:rsidR="00B24DA9" w:rsidRPr="00765C97">
        <w:trPr>
          <w:trHeight w:val="255"/>
        </w:trPr>
        <w:tc>
          <w:tcPr>
            <w:tcW w:w="2520" w:type="dxa"/>
            <w:tcBorders>
              <w:top w:val="nil"/>
              <w:left w:val="nil"/>
              <w:bottom w:val="nil"/>
              <w:right w:val="nil"/>
            </w:tcBorders>
            <w:vAlign w:val="center"/>
          </w:tcPr>
          <w:p w:rsidR="00B24DA9" w:rsidRPr="00765C97" w:rsidRDefault="00B24DA9">
            <w:pPr>
              <w:ind w:left="-108"/>
              <w:rPr>
                <w:rFonts w:ascii="Arial" w:hAnsi="Arial"/>
                <w:sz w:val="20"/>
                <w:lang w:val="pl-PL"/>
              </w:rPr>
            </w:pPr>
            <w:r w:rsidRPr="00765C97">
              <w:rPr>
                <w:rFonts w:ascii="Arial" w:hAnsi="Arial"/>
                <w:sz w:val="20"/>
                <w:lang w:val="pl-PL"/>
              </w:rPr>
              <w:t xml:space="preserve">Zobowiązania wobec pozostałych jednostek - krótkoterminowe </w:t>
            </w:r>
          </w:p>
        </w:tc>
        <w:tc>
          <w:tcPr>
            <w:tcW w:w="1080" w:type="dxa"/>
            <w:tcBorders>
              <w:top w:val="nil"/>
              <w:left w:val="nil"/>
              <w:bottom w:val="nil"/>
              <w:right w:val="nil"/>
            </w:tcBorders>
            <w:vAlign w:val="center"/>
          </w:tcPr>
          <w:p w:rsidR="00B24DA9" w:rsidRPr="00765C97" w:rsidRDefault="00602A54" w:rsidP="004868E2">
            <w:pPr>
              <w:jc w:val="right"/>
              <w:rPr>
                <w:rFonts w:ascii="Arial" w:hAnsi="Arial"/>
                <w:sz w:val="20"/>
                <w:lang w:val="pl-PL"/>
              </w:rPr>
            </w:pPr>
            <w:r w:rsidRPr="00765C97">
              <w:rPr>
                <w:rFonts w:ascii="Arial" w:hAnsi="Arial"/>
                <w:sz w:val="20"/>
                <w:lang w:val="pl-PL"/>
              </w:rPr>
              <w:t>231 190</w:t>
            </w:r>
          </w:p>
        </w:tc>
        <w:tc>
          <w:tcPr>
            <w:tcW w:w="1260" w:type="dxa"/>
            <w:tcBorders>
              <w:top w:val="nil"/>
              <w:left w:val="nil"/>
              <w:bottom w:val="nil"/>
              <w:right w:val="nil"/>
            </w:tcBorders>
            <w:vAlign w:val="center"/>
          </w:tcPr>
          <w:p w:rsidR="00B24DA9" w:rsidRPr="00765C97" w:rsidRDefault="00602A54">
            <w:pPr>
              <w:jc w:val="right"/>
              <w:rPr>
                <w:rFonts w:ascii="Arial" w:hAnsi="Arial"/>
                <w:sz w:val="20"/>
                <w:lang w:val="pl-PL"/>
              </w:rPr>
            </w:pPr>
            <w:r w:rsidRPr="00765C97">
              <w:rPr>
                <w:rFonts w:ascii="Arial" w:hAnsi="Arial"/>
                <w:sz w:val="20"/>
                <w:lang w:val="pl-PL"/>
              </w:rPr>
              <w:t>6</w:t>
            </w:r>
          </w:p>
        </w:tc>
        <w:tc>
          <w:tcPr>
            <w:tcW w:w="1260" w:type="dxa"/>
            <w:tcBorders>
              <w:top w:val="nil"/>
              <w:left w:val="nil"/>
              <w:bottom w:val="nil"/>
              <w:right w:val="nil"/>
            </w:tcBorders>
            <w:vAlign w:val="center"/>
          </w:tcPr>
          <w:p w:rsidR="00B24DA9" w:rsidRPr="00765C97" w:rsidRDefault="00602A54">
            <w:pPr>
              <w:jc w:val="right"/>
              <w:rPr>
                <w:rFonts w:ascii="Arial" w:hAnsi="Arial"/>
                <w:sz w:val="20"/>
                <w:lang w:val="pl-PL"/>
              </w:rPr>
            </w:pPr>
            <w:r w:rsidRPr="00765C97">
              <w:rPr>
                <w:rFonts w:ascii="Arial" w:hAnsi="Arial"/>
                <w:sz w:val="20"/>
                <w:lang w:val="pl-PL"/>
              </w:rPr>
              <w:t>-</w:t>
            </w:r>
          </w:p>
        </w:tc>
        <w:tc>
          <w:tcPr>
            <w:tcW w:w="1071" w:type="dxa"/>
            <w:tcBorders>
              <w:top w:val="nil"/>
              <w:left w:val="nil"/>
              <w:bottom w:val="nil"/>
              <w:right w:val="nil"/>
            </w:tcBorders>
            <w:vAlign w:val="center"/>
          </w:tcPr>
          <w:p w:rsidR="00B24DA9" w:rsidRPr="00765C97" w:rsidRDefault="00602A54">
            <w:pPr>
              <w:jc w:val="right"/>
              <w:rPr>
                <w:rFonts w:ascii="Arial" w:hAnsi="Arial"/>
                <w:sz w:val="20"/>
                <w:lang w:val="pl-PL"/>
              </w:rPr>
            </w:pPr>
            <w:r w:rsidRPr="00765C97">
              <w:rPr>
                <w:rFonts w:ascii="Arial" w:hAnsi="Arial"/>
                <w:sz w:val="20"/>
                <w:lang w:val="pl-PL"/>
              </w:rPr>
              <w:t>-</w:t>
            </w:r>
          </w:p>
        </w:tc>
        <w:tc>
          <w:tcPr>
            <w:tcW w:w="1134" w:type="dxa"/>
            <w:tcBorders>
              <w:top w:val="nil"/>
              <w:left w:val="nil"/>
              <w:bottom w:val="nil"/>
              <w:right w:val="nil"/>
            </w:tcBorders>
            <w:vAlign w:val="center"/>
          </w:tcPr>
          <w:p w:rsidR="00B24DA9" w:rsidRPr="00765C97" w:rsidRDefault="00602A54" w:rsidP="004868E2">
            <w:pPr>
              <w:jc w:val="right"/>
              <w:rPr>
                <w:rFonts w:ascii="Arial" w:hAnsi="Arial"/>
                <w:sz w:val="20"/>
                <w:lang w:val="pl-PL"/>
              </w:rPr>
            </w:pPr>
            <w:r w:rsidRPr="00765C97">
              <w:rPr>
                <w:rFonts w:ascii="Arial" w:hAnsi="Arial"/>
                <w:sz w:val="20"/>
                <w:lang w:val="pl-PL"/>
              </w:rPr>
              <w:t>231 196</w:t>
            </w:r>
          </w:p>
        </w:tc>
      </w:tr>
      <w:tr w:rsidR="00602750" w:rsidRPr="00765C97">
        <w:trPr>
          <w:trHeight w:val="255"/>
        </w:trPr>
        <w:tc>
          <w:tcPr>
            <w:tcW w:w="2520" w:type="dxa"/>
            <w:tcBorders>
              <w:top w:val="nil"/>
              <w:left w:val="nil"/>
              <w:bottom w:val="nil"/>
              <w:right w:val="nil"/>
            </w:tcBorders>
            <w:vAlign w:val="center"/>
          </w:tcPr>
          <w:p w:rsidR="00602750" w:rsidRPr="00765C97" w:rsidRDefault="00602750" w:rsidP="00602750">
            <w:pPr>
              <w:ind w:left="-108"/>
              <w:rPr>
                <w:rFonts w:ascii="Arial" w:hAnsi="Arial"/>
                <w:sz w:val="20"/>
                <w:lang w:val="pl-PL"/>
              </w:rPr>
            </w:pPr>
            <w:r w:rsidRPr="00765C97">
              <w:rPr>
                <w:rFonts w:ascii="Arial" w:hAnsi="Arial"/>
                <w:sz w:val="20"/>
                <w:lang w:val="pl-PL"/>
              </w:rPr>
              <w:t>Pochodne instrumenty finansowe</w:t>
            </w:r>
          </w:p>
        </w:tc>
        <w:tc>
          <w:tcPr>
            <w:tcW w:w="1080" w:type="dxa"/>
            <w:tcBorders>
              <w:top w:val="nil"/>
              <w:left w:val="nil"/>
              <w:bottom w:val="nil"/>
              <w:right w:val="nil"/>
            </w:tcBorders>
            <w:vAlign w:val="center"/>
          </w:tcPr>
          <w:p w:rsidR="00602750" w:rsidRPr="00765C97" w:rsidRDefault="00602A54" w:rsidP="00602750">
            <w:pPr>
              <w:jc w:val="right"/>
              <w:rPr>
                <w:rFonts w:ascii="Arial" w:hAnsi="Arial"/>
                <w:sz w:val="20"/>
                <w:lang w:val="pl-PL"/>
              </w:rPr>
            </w:pPr>
            <w:r w:rsidRPr="00765C97">
              <w:rPr>
                <w:rFonts w:ascii="Arial" w:hAnsi="Arial"/>
                <w:sz w:val="20"/>
                <w:lang w:val="pl-PL"/>
              </w:rPr>
              <w:t>-</w:t>
            </w:r>
          </w:p>
        </w:tc>
        <w:tc>
          <w:tcPr>
            <w:tcW w:w="1260" w:type="dxa"/>
            <w:tcBorders>
              <w:top w:val="nil"/>
              <w:left w:val="nil"/>
              <w:bottom w:val="nil"/>
              <w:right w:val="nil"/>
            </w:tcBorders>
            <w:vAlign w:val="center"/>
          </w:tcPr>
          <w:p w:rsidR="00602750" w:rsidRPr="00765C97" w:rsidRDefault="00602A54" w:rsidP="00602750">
            <w:pPr>
              <w:jc w:val="right"/>
              <w:rPr>
                <w:rFonts w:ascii="Arial" w:hAnsi="Arial"/>
                <w:sz w:val="20"/>
                <w:lang w:val="pl-PL"/>
              </w:rPr>
            </w:pPr>
            <w:r w:rsidRPr="00765C97">
              <w:rPr>
                <w:rFonts w:ascii="Arial" w:hAnsi="Arial"/>
                <w:sz w:val="20"/>
                <w:lang w:val="pl-PL"/>
              </w:rPr>
              <w:t>-</w:t>
            </w:r>
          </w:p>
        </w:tc>
        <w:tc>
          <w:tcPr>
            <w:tcW w:w="1260" w:type="dxa"/>
            <w:tcBorders>
              <w:top w:val="nil"/>
              <w:left w:val="nil"/>
              <w:bottom w:val="nil"/>
              <w:right w:val="nil"/>
            </w:tcBorders>
            <w:vAlign w:val="center"/>
          </w:tcPr>
          <w:p w:rsidR="00602750" w:rsidRPr="00765C97" w:rsidRDefault="00602A54" w:rsidP="00602750">
            <w:pPr>
              <w:jc w:val="right"/>
              <w:rPr>
                <w:rFonts w:ascii="Arial" w:hAnsi="Arial"/>
                <w:sz w:val="20"/>
                <w:lang w:val="pl-PL"/>
              </w:rPr>
            </w:pPr>
            <w:r w:rsidRPr="00765C97">
              <w:rPr>
                <w:rFonts w:ascii="Arial" w:hAnsi="Arial"/>
                <w:sz w:val="20"/>
                <w:lang w:val="pl-PL"/>
              </w:rPr>
              <w:t>-</w:t>
            </w:r>
          </w:p>
        </w:tc>
        <w:tc>
          <w:tcPr>
            <w:tcW w:w="1071" w:type="dxa"/>
            <w:tcBorders>
              <w:top w:val="nil"/>
              <w:left w:val="nil"/>
              <w:bottom w:val="nil"/>
              <w:right w:val="nil"/>
            </w:tcBorders>
            <w:vAlign w:val="center"/>
          </w:tcPr>
          <w:p w:rsidR="00602750" w:rsidRPr="00765C97" w:rsidRDefault="00602A54" w:rsidP="00602750">
            <w:pPr>
              <w:jc w:val="right"/>
              <w:rPr>
                <w:rFonts w:ascii="Arial" w:hAnsi="Arial"/>
                <w:sz w:val="20"/>
                <w:lang w:val="pl-PL"/>
              </w:rPr>
            </w:pPr>
            <w:r w:rsidRPr="00765C97">
              <w:rPr>
                <w:rFonts w:ascii="Arial" w:hAnsi="Arial"/>
                <w:sz w:val="20"/>
                <w:lang w:val="pl-PL"/>
              </w:rPr>
              <w:t>-</w:t>
            </w:r>
          </w:p>
        </w:tc>
        <w:tc>
          <w:tcPr>
            <w:tcW w:w="1134" w:type="dxa"/>
            <w:tcBorders>
              <w:top w:val="nil"/>
              <w:left w:val="nil"/>
              <w:bottom w:val="nil"/>
              <w:right w:val="nil"/>
            </w:tcBorders>
            <w:vAlign w:val="center"/>
          </w:tcPr>
          <w:p w:rsidR="00602750" w:rsidRPr="00765C97" w:rsidRDefault="00602A54" w:rsidP="00602750">
            <w:pPr>
              <w:jc w:val="right"/>
              <w:rPr>
                <w:rFonts w:ascii="Arial" w:hAnsi="Arial"/>
                <w:sz w:val="20"/>
                <w:lang w:val="pl-PL"/>
              </w:rPr>
            </w:pPr>
            <w:r w:rsidRPr="00765C97">
              <w:rPr>
                <w:rFonts w:ascii="Arial" w:hAnsi="Arial"/>
                <w:sz w:val="20"/>
                <w:lang w:val="pl-PL"/>
              </w:rPr>
              <w:t>-</w:t>
            </w:r>
          </w:p>
        </w:tc>
      </w:tr>
      <w:tr w:rsidR="00B24DA9" w:rsidRPr="00765C97">
        <w:trPr>
          <w:trHeight w:val="255"/>
        </w:trPr>
        <w:tc>
          <w:tcPr>
            <w:tcW w:w="2520" w:type="dxa"/>
            <w:tcBorders>
              <w:top w:val="nil"/>
              <w:left w:val="nil"/>
              <w:bottom w:val="nil"/>
              <w:right w:val="nil"/>
            </w:tcBorders>
            <w:vAlign w:val="center"/>
          </w:tcPr>
          <w:p w:rsidR="00B24DA9" w:rsidRPr="00765C97" w:rsidRDefault="00B24DA9">
            <w:pPr>
              <w:ind w:left="-108"/>
              <w:rPr>
                <w:rFonts w:ascii="Arial" w:hAnsi="Arial"/>
                <w:sz w:val="20"/>
                <w:lang w:val="pl-PL"/>
              </w:rPr>
            </w:pPr>
            <w:r w:rsidRPr="00765C97">
              <w:rPr>
                <w:rFonts w:ascii="Arial" w:hAnsi="Arial"/>
                <w:sz w:val="20"/>
                <w:lang w:val="pl-PL"/>
              </w:rPr>
              <w:t xml:space="preserve">Zobowiązania z tytułu leasingu finansowego </w:t>
            </w:r>
          </w:p>
          <w:p w:rsidR="00DC146B" w:rsidRPr="00765C97" w:rsidRDefault="00DC146B">
            <w:pPr>
              <w:ind w:left="-108"/>
              <w:rPr>
                <w:rFonts w:ascii="Arial" w:hAnsi="Arial"/>
                <w:sz w:val="20"/>
                <w:lang w:val="pl-PL"/>
              </w:rPr>
            </w:pPr>
            <w:r w:rsidRPr="00765C97">
              <w:rPr>
                <w:rFonts w:ascii="Arial" w:hAnsi="Arial"/>
                <w:sz w:val="20"/>
                <w:lang w:val="pl-PL"/>
              </w:rPr>
              <w:t>Inne zobowiązania finansowe</w:t>
            </w:r>
          </w:p>
        </w:tc>
        <w:tc>
          <w:tcPr>
            <w:tcW w:w="1080" w:type="dxa"/>
            <w:tcBorders>
              <w:top w:val="nil"/>
              <w:left w:val="nil"/>
              <w:bottom w:val="single" w:sz="4" w:space="0" w:color="auto"/>
              <w:right w:val="nil"/>
            </w:tcBorders>
            <w:vAlign w:val="center"/>
          </w:tcPr>
          <w:p w:rsidR="00B24DA9" w:rsidRPr="00765C97" w:rsidRDefault="00602A54">
            <w:pPr>
              <w:jc w:val="right"/>
              <w:rPr>
                <w:rFonts w:ascii="Arial" w:hAnsi="Arial"/>
                <w:sz w:val="20"/>
                <w:lang w:val="pl-PL"/>
              </w:rPr>
            </w:pPr>
            <w:r w:rsidRPr="00765C97">
              <w:rPr>
                <w:rFonts w:ascii="Arial" w:hAnsi="Arial"/>
                <w:sz w:val="20"/>
                <w:lang w:val="pl-PL"/>
              </w:rPr>
              <w:t>-</w:t>
            </w:r>
          </w:p>
          <w:p w:rsidR="00DC146B" w:rsidRPr="00765C97" w:rsidRDefault="00DC146B">
            <w:pPr>
              <w:jc w:val="right"/>
              <w:rPr>
                <w:rFonts w:ascii="Arial" w:hAnsi="Arial"/>
                <w:sz w:val="20"/>
                <w:lang w:val="pl-PL"/>
              </w:rPr>
            </w:pPr>
          </w:p>
          <w:p w:rsidR="00DC146B" w:rsidRPr="00765C97" w:rsidRDefault="00DC146B">
            <w:pPr>
              <w:jc w:val="right"/>
              <w:rPr>
                <w:rFonts w:ascii="Arial" w:hAnsi="Arial"/>
                <w:sz w:val="20"/>
                <w:lang w:val="pl-PL"/>
              </w:rPr>
            </w:pPr>
            <w:r w:rsidRPr="00765C97">
              <w:rPr>
                <w:rFonts w:ascii="Arial" w:hAnsi="Arial"/>
                <w:sz w:val="20"/>
                <w:lang w:val="pl-PL"/>
              </w:rPr>
              <w:t>180</w:t>
            </w:r>
          </w:p>
        </w:tc>
        <w:tc>
          <w:tcPr>
            <w:tcW w:w="1260" w:type="dxa"/>
            <w:tcBorders>
              <w:top w:val="nil"/>
              <w:left w:val="nil"/>
              <w:bottom w:val="single" w:sz="4" w:space="0" w:color="auto"/>
              <w:right w:val="nil"/>
            </w:tcBorders>
            <w:vAlign w:val="center"/>
          </w:tcPr>
          <w:p w:rsidR="00B24DA9" w:rsidRPr="00765C97" w:rsidRDefault="00602A54">
            <w:pPr>
              <w:jc w:val="right"/>
              <w:rPr>
                <w:rFonts w:ascii="Arial" w:hAnsi="Arial"/>
                <w:sz w:val="20"/>
                <w:lang w:val="pl-PL"/>
              </w:rPr>
            </w:pPr>
            <w:r w:rsidRPr="00765C97">
              <w:rPr>
                <w:rFonts w:ascii="Arial" w:hAnsi="Arial"/>
                <w:sz w:val="20"/>
                <w:lang w:val="pl-PL"/>
              </w:rPr>
              <w:t>-</w:t>
            </w:r>
          </w:p>
          <w:p w:rsidR="00DC146B" w:rsidRPr="00765C97" w:rsidRDefault="00DC146B">
            <w:pPr>
              <w:jc w:val="right"/>
              <w:rPr>
                <w:rFonts w:ascii="Arial" w:hAnsi="Arial"/>
                <w:sz w:val="20"/>
                <w:lang w:val="pl-PL"/>
              </w:rPr>
            </w:pPr>
          </w:p>
          <w:p w:rsidR="00DC146B" w:rsidRPr="00765C97" w:rsidRDefault="00DC146B">
            <w:pPr>
              <w:jc w:val="right"/>
              <w:rPr>
                <w:rFonts w:ascii="Arial" w:hAnsi="Arial"/>
                <w:sz w:val="20"/>
                <w:lang w:val="pl-PL"/>
              </w:rPr>
            </w:pPr>
            <w:r w:rsidRPr="00765C97">
              <w:rPr>
                <w:rFonts w:ascii="Arial" w:hAnsi="Arial"/>
                <w:sz w:val="20"/>
                <w:lang w:val="pl-PL"/>
              </w:rPr>
              <w:t>-</w:t>
            </w:r>
          </w:p>
        </w:tc>
        <w:tc>
          <w:tcPr>
            <w:tcW w:w="1260" w:type="dxa"/>
            <w:tcBorders>
              <w:top w:val="nil"/>
              <w:left w:val="nil"/>
              <w:bottom w:val="single" w:sz="4" w:space="0" w:color="auto"/>
              <w:right w:val="nil"/>
            </w:tcBorders>
            <w:vAlign w:val="center"/>
          </w:tcPr>
          <w:p w:rsidR="00B24DA9" w:rsidRPr="00765C97" w:rsidRDefault="00602A54">
            <w:pPr>
              <w:jc w:val="right"/>
              <w:rPr>
                <w:rFonts w:ascii="Arial" w:hAnsi="Arial"/>
                <w:sz w:val="20"/>
                <w:lang w:val="pl-PL"/>
              </w:rPr>
            </w:pPr>
            <w:r w:rsidRPr="00765C97">
              <w:rPr>
                <w:rFonts w:ascii="Arial" w:hAnsi="Arial"/>
                <w:sz w:val="20"/>
                <w:lang w:val="pl-PL"/>
              </w:rPr>
              <w:t>-</w:t>
            </w:r>
          </w:p>
          <w:p w:rsidR="00DC146B" w:rsidRPr="00765C97" w:rsidRDefault="00DC146B">
            <w:pPr>
              <w:jc w:val="right"/>
              <w:rPr>
                <w:rFonts w:ascii="Arial" w:hAnsi="Arial"/>
                <w:sz w:val="20"/>
                <w:lang w:val="pl-PL"/>
              </w:rPr>
            </w:pPr>
          </w:p>
          <w:p w:rsidR="00DC146B" w:rsidRPr="00765C97" w:rsidRDefault="00DC146B">
            <w:pPr>
              <w:jc w:val="right"/>
              <w:rPr>
                <w:rFonts w:ascii="Arial" w:hAnsi="Arial"/>
                <w:sz w:val="20"/>
                <w:lang w:val="pl-PL"/>
              </w:rPr>
            </w:pPr>
            <w:r w:rsidRPr="00765C97">
              <w:rPr>
                <w:rFonts w:ascii="Arial" w:hAnsi="Arial"/>
                <w:sz w:val="20"/>
                <w:lang w:val="pl-PL"/>
              </w:rPr>
              <w:t>-</w:t>
            </w:r>
          </w:p>
        </w:tc>
        <w:tc>
          <w:tcPr>
            <w:tcW w:w="1071" w:type="dxa"/>
            <w:tcBorders>
              <w:top w:val="nil"/>
              <w:left w:val="nil"/>
              <w:bottom w:val="single" w:sz="4" w:space="0" w:color="auto"/>
              <w:right w:val="nil"/>
            </w:tcBorders>
            <w:vAlign w:val="center"/>
          </w:tcPr>
          <w:p w:rsidR="00B24DA9" w:rsidRPr="00765C97" w:rsidRDefault="00602A54">
            <w:pPr>
              <w:jc w:val="right"/>
              <w:rPr>
                <w:rFonts w:ascii="Arial" w:hAnsi="Arial"/>
                <w:sz w:val="20"/>
                <w:lang w:val="pl-PL"/>
              </w:rPr>
            </w:pPr>
            <w:r w:rsidRPr="00765C97">
              <w:rPr>
                <w:rFonts w:ascii="Arial" w:hAnsi="Arial"/>
                <w:sz w:val="20"/>
                <w:lang w:val="pl-PL"/>
              </w:rPr>
              <w:t>-</w:t>
            </w:r>
          </w:p>
          <w:p w:rsidR="00DC146B" w:rsidRPr="00765C97" w:rsidRDefault="00DC146B">
            <w:pPr>
              <w:jc w:val="right"/>
              <w:rPr>
                <w:rFonts w:ascii="Arial" w:hAnsi="Arial"/>
                <w:sz w:val="20"/>
                <w:lang w:val="pl-PL"/>
              </w:rPr>
            </w:pPr>
          </w:p>
          <w:p w:rsidR="00DC146B" w:rsidRPr="00765C97" w:rsidRDefault="00DC146B">
            <w:pPr>
              <w:jc w:val="right"/>
              <w:rPr>
                <w:rFonts w:ascii="Arial" w:hAnsi="Arial"/>
                <w:sz w:val="20"/>
                <w:lang w:val="pl-PL"/>
              </w:rPr>
            </w:pPr>
            <w:r w:rsidRPr="00765C97">
              <w:rPr>
                <w:rFonts w:ascii="Arial" w:hAnsi="Arial"/>
                <w:sz w:val="20"/>
                <w:lang w:val="pl-PL"/>
              </w:rPr>
              <w:t>-</w:t>
            </w:r>
          </w:p>
        </w:tc>
        <w:tc>
          <w:tcPr>
            <w:tcW w:w="1134" w:type="dxa"/>
            <w:tcBorders>
              <w:top w:val="nil"/>
              <w:left w:val="nil"/>
              <w:bottom w:val="single" w:sz="4" w:space="0" w:color="auto"/>
              <w:right w:val="nil"/>
            </w:tcBorders>
            <w:vAlign w:val="center"/>
          </w:tcPr>
          <w:p w:rsidR="00B24DA9" w:rsidRPr="00765C97" w:rsidRDefault="00602A54">
            <w:pPr>
              <w:jc w:val="right"/>
              <w:rPr>
                <w:rFonts w:ascii="Arial" w:hAnsi="Arial"/>
                <w:sz w:val="20"/>
                <w:lang w:val="pl-PL"/>
              </w:rPr>
            </w:pPr>
            <w:r w:rsidRPr="00765C97">
              <w:rPr>
                <w:rFonts w:ascii="Arial" w:hAnsi="Arial"/>
                <w:sz w:val="20"/>
                <w:lang w:val="pl-PL"/>
              </w:rPr>
              <w:t>-</w:t>
            </w:r>
          </w:p>
          <w:p w:rsidR="00DC146B" w:rsidRPr="00765C97" w:rsidRDefault="00DC146B">
            <w:pPr>
              <w:jc w:val="right"/>
              <w:rPr>
                <w:rFonts w:ascii="Arial" w:hAnsi="Arial"/>
                <w:sz w:val="20"/>
                <w:lang w:val="pl-PL"/>
              </w:rPr>
            </w:pPr>
          </w:p>
          <w:p w:rsidR="00DC146B" w:rsidRPr="00765C97" w:rsidRDefault="00DC146B">
            <w:pPr>
              <w:jc w:val="right"/>
              <w:rPr>
                <w:rFonts w:ascii="Arial" w:hAnsi="Arial"/>
                <w:sz w:val="20"/>
                <w:lang w:val="pl-PL"/>
              </w:rPr>
            </w:pPr>
            <w:r w:rsidRPr="00765C97">
              <w:rPr>
                <w:rFonts w:ascii="Arial" w:hAnsi="Arial"/>
                <w:sz w:val="20"/>
                <w:lang w:val="pl-PL"/>
              </w:rPr>
              <w:t>180</w:t>
            </w:r>
          </w:p>
        </w:tc>
      </w:tr>
      <w:tr w:rsidR="00B24DA9" w:rsidRPr="00765C97">
        <w:trPr>
          <w:trHeight w:val="255"/>
        </w:trPr>
        <w:tc>
          <w:tcPr>
            <w:tcW w:w="2520" w:type="dxa"/>
            <w:tcBorders>
              <w:top w:val="nil"/>
              <w:left w:val="nil"/>
              <w:bottom w:val="nil"/>
              <w:right w:val="nil"/>
            </w:tcBorders>
            <w:vAlign w:val="center"/>
          </w:tcPr>
          <w:p w:rsidR="00B24DA9" w:rsidRPr="00765C97" w:rsidRDefault="00B24DA9">
            <w:pPr>
              <w:ind w:left="-108"/>
              <w:rPr>
                <w:rFonts w:ascii="Arial" w:hAnsi="Arial"/>
                <w:b/>
                <w:sz w:val="20"/>
                <w:lang w:val="pl-PL"/>
              </w:rPr>
            </w:pPr>
            <w:r w:rsidRPr="00765C97">
              <w:rPr>
                <w:rFonts w:ascii="Arial" w:hAnsi="Arial"/>
                <w:b/>
                <w:sz w:val="20"/>
                <w:lang w:val="pl-PL"/>
              </w:rPr>
              <w:t>Razem</w:t>
            </w:r>
          </w:p>
        </w:tc>
        <w:tc>
          <w:tcPr>
            <w:tcW w:w="1080" w:type="dxa"/>
            <w:tcBorders>
              <w:top w:val="single" w:sz="4" w:space="0" w:color="auto"/>
              <w:left w:val="nil"/>
              <w:bottom w:val="single" w:sz="2" w:space="0" w:color="auto"/>
              <w:right w:val="nil"/>
            </w:tcBorders>
            <w:vAlign w:val="center"/>
          </w:tcPr>
          <w:p w:rsidR="00B24DA9" w:rsidRPr="00765C97" w:rsidRDefault="00FF55DA">
            <w:pPr>
              <w:jc w:val="right"/>
              <w:rPr>
                <w:rFonts w:ascii="Arial" w:hAnsi="Arial"/>
                <w:b/>
                <w:sz w:val="20"/>
                <w:lang w:val="pl-PL"/>
              </w:rPr>
            </w:pPr>
            <w:r w:rsidRPr="00765C97">
              <w:rPr>
                <w:rFonts w:ascii="Arial" w:hAnsi="Arial"/>
                <w:b/>
                <w:sz w:val="20"/>
                <w:lang w:val="pl-PL"/>
              </w:rPr>
              <w:t>268 815</w:t>
            </w:r>
          </w:p>
        </w:tc>
        <w:tc>
          <w:tcPr>
            <w:tcW w:w="1260" w:type="dxa"/>
            <w:tcBorders>
              <w:top w:val="single" w:sz="4" w:space="0" w:color="auto"/>
              <w:left w:val="nil"/>
              <w:bottom w:val="single" w:sz="2" w:space="0" w:color="auto"/>
              <w:right w:val="nil"/>
            </w:tcBorders>
            <w:vAlign w:val="center"/>
          </w:tcPr>
          <w:p w:rsidR="00B24DA9" w:rsidRPr="00765C97" w:rsidRDefault="00FF55DA">
            <w:pPr>
              <w:jc w:val="right"/>
              <w:rPr>
                <w:rFonts w:ascii="Arial" w:hAnsi="Arial"/>
                <w:b/>
                <w:sz w:val="20"/>
                <w:lang w:val="pl-PL"/>
              </w:rPr>
            </w:pPr>
            <w:r w:rsidRPr="00765C97">
              <w:rPr>
                <w:rFonts w:ascii="Arial" w:hAnsi="Arial"/>
                <w:b/>
                <w:sz w:val="20"/>
                <w:lang w:val="pl-PL"/>
              </w:rPr>
              <w:t>13 533</w:t>
            </w:r>
          </w:p>
        </w:tc>
        <w:tc>
          <w:tcPr>
            <w:tcW w:w="1260" w:type="dxa"/>
            <w:tcBorders>
              <w:top w:val="single" w:sz="4" w:space="0" w:color="auto"/>
              <w:left w:val="nil"/>
              <w:bottom w:val="single" w:sz="2" w:space="0" w:color="auto"/>
              <w:right w:val="nil"/>
            </w:tcBorders>
            <w:vAlign w:val="center"/>
          </w:tcPr>
          <w:p w:rsidR="00B24DA9" w:rsidRPr="00765C97" w:rsidRDefault="00FF55DA">
            <w:pPr>
              <w:jc w:val="right"/>
              <w:rPr>
                <w:rFonts w:ascii="Arial" w:hAnsi="Arial"/>
                <w:b/>
                <w:sz w:val="20"/>
                <w:lang w:val="pl-PL"/>
              </w:rPr>
            </w:pPr>
            <w:r w:rsidRPr="00765C97">
              <w:rPr>
                <w:rFonts w:ascii="Arial" w:hAnsi="Arial"/>
                <w:b/>
                <w:sz w:val="20"/>
                <w:lang w:val="pl-PL"/>
              </w:rPr>
              <w:t>46 112</w:t>
            </w:r>
          </w:p>
        </w:tc>
        <w:tc>
          <w:tcPr>
            <w:tcW w:w="1071" w:type="dxa"/>
            <w:tcBorders>
              <w:top w:val="single" w:sz="4" w:space="0" w:color="auto"/>
              <w:left w:val="nil"/>
              <w:bottom w:val="single" w:sz="2" w:space="0" w:color="auto"/>
              <w:right w:val="nil"/>
            </w:tcBorders>
            <w:vAlign w:val="center"/>
          </w:tcPr>
          <w:p w:rsidR="00B24DA9" w:rsidRPr="00765C97" w:rsidRDefault="00FF55DA" w:rsidP="00740C30">
            <w:pPr>
              <w:jc w:val="right"/>
              <w:rPr>
                <w:rFonts w:ascii="Arial" w:hAnsi="Arial"/>
                <w:b/>
                <w:sz w:val="20"/>
                <w:lang w:val="pl-PL"/>
              </w:rPr>
            </w:pPr>
            <w:r w:rsidRPr="00765C97">
              <w:rPr>
                <w:rFonts w:ascii="Arial" w:hAnsi="Arial"/>
                <w:b/>
                <w:sz w:val="20"/>
                <w:lang w:val="pl-PL"/>
              </w:rPr>
              <w:t>35 253</w:t>
            </w:r>
          </w:p>
        </w:tc>
        <w:tc>
          <w:tcPr>
            <w:tcW w:w="1134" w:type="dxa"/>
            <w:tcBorders>
              <w:top w:val="single" w:sz="4" w:space="0" w:color="auto"/>
              <w:left w:val="nil"/>
              <w:bottom w:val="single" w:sz="2" w:space="0" w:color="auto"/>
              <w:right w:val="nil"/>
            </w:tcBorders>
            <w:vAlign w:val="center"/>
          </w:tcPr>
          <w:p w:rsidR="00B24DA9" w:rsidRPr="00765C97" w:rsidRDefault="00FF55DA" w:rsidP="00740C30">
            <w:pPr>
              <w:jc w:val="right"/>
              <w:rPr>
                <w:rFonts w:ascii="Arial" w:hAnsi="Arial"/>
                <w:b/>
                <w:sz w:val="20"/>
                <w:lang w:val="pl-PL"/>
              </w:rPr>
            </w:pPr>
            <w:r w:rsidRPr="00765C97">
              <w:rPr>
                <w:rFonts w:ascii="Arial" w:hAnsi="Arial"/>
                <w:b/>
                <w:sz w:val="20"/>
                <w:lang w:val="pl-PL"/>
              </w:rPr>
              <w:t>363 713</w:t>
            </w:r>
          </w:p>
        </w:tc>
      </w:tr>
    </w:tbl>
    <w:p w:rsidR="00B24DA9" w:rsidRPr="00765C97" w:rsidRDefault="00B24DA9">
      <w:pPr>
        <w:pStyle w:val="Tekstpodstawowy"/>
        <w:ind w:left="180"/>
        <w:rPr>
          <w:b w:val="0"/>
          <w:sz w:val="18"/>
        </w:rPr>
      </w:pPr>
    </w:p>
    <w:p w:rsidR="00B24DA9" w:rsidRPr="00765C97" w:rsidRDefault="00734AB3">
      <w:pPr>
        <w:ind w:left="142"/>
        <w:rPr>
          <w:rFonts w:ascii="Arial" w:hAnsi="Arial"/>
          <w:sz w:val="20"/>
          <w:lang w:val="pl-PL"/>
        </w:rPr>
      </w:pPr>
      <w:r w:rsidRPr="00765C97">
        <w:rPr>
          <w:rFonts w:ascii="Arial" w:hAnsi="Arial"/>
          <w:sz w:val="20"/>
          <w:lang w:val="pl-PL"/>
        </w:rPr>
        <w:br w:type="page"/>
      </w:r>
      <w:r w:rsidR="00B24DA9" w:rsidRPr="00765C97">
        <w:rPr>
          <w:rFonts w:ascii="Arial" w:hAnsi="Arial"/>
          <w:sz w:val="20"/>
          <w:lang w:val="pl-PL"/>
        </w:rPr>
        <w:t>Grupa stosuje następujące metody wyceny poszczególnych klas instrumentów finansowych:</w:t>
      </w:r>
    </w:p>
    <w:p w:rsidR="00B24DA9" w:rsidRPr="00765C97" w:rsidRDefault="00B24DA9">
      <w:pPr>
        <w:ind w:left="142"/>
        <w:rPr>
          <w:rFonts w:ascii="Arial" w:hAnsi="Arial"/>
          <w:sz w:val="18"/>
          <w:lang w:val="pl-PL"/>
        </w:rPr>
      </w:pPr>
    </w:p>
    <w:tbl>
      <w:tblPr>
        <w:tblW w:w="0" w:type="auto"/>
        <w:tblInd w:w="288" w:type="dxa"/>
        <w:tblLayout w:type="fixed"/>
        <w:tblLook w:val="0000"/>
      </w:tblPr>
      <w:tblGrid>
        <w:gridCol w:w="5040"/>
        <w:gridCol w:w="3265"/>
      </w:tblGrid>
      <w:tr w:rsidR="00B24DA9" w:rsidRPr="00765C97">
        <w:trPr>
          <w:trHeight w:val="255"/>
        </w:trPr>
        <w:tc>
          <w:tcPr>
            <w:tcW w:w="5040" w:type="dxa"/>
            <w:tcBorders>
              <w:top w:val="nil"/>
              <w:left w:val="nil"/>
              <w:bottom w:val="nil"/>
              <w:right w:val="nil"/>
            </w:tcBorders>
            <w:vAlign w:val="center"/>
          </w:tcPr>
          <w:p w:rsidR="00B24DA9" w:rsidRPr="00765C97" w:rsidRDefault="00B24DA9">
            <w:pPr>
              <w:ind w:left="-108"/>
              <w:rPr>
                <w:rFonts w:ascii="Arial" w:hAnsi="Arial"/>
                <w:b/>
                <w:sz w:val="20"/>
                <w:lang w:val="pl-PL"/>
              </w:rPr>
            </w:pPr>
            <w:r w:rsidRPr="00765C97">
              <w:rPr>
                <w:rFonts w:ascii="Arial" w:hAnsi="Arial"/>
                <w:b/>
                <w:sz w:val="20"/>
                <w:lang w:val="pl-PL"/>
              </w:rPr>
              <w:t>Należności własne</w:t>
            </w:r>
          </w:p>
        </w:tc>
        <w:tc>
          <w:tcPr>
            <w:tcW w:w="3265" w:type="dxa"/>
            <w:tcBorders>
              <w:top w:val="nil"/>
              <w:left w:val="nil"/>
              <w:bottom w:val="nil"/>
              <w:right w:val="nil"/>
            </w:tcBorders>
            <w:vAlign w:val="center"/>
          </w:tcPr>
          <w:p w:rsidR="00B24DA9" w:rsidRPr="00765C97" w:rsidRDefault="00B24DA9">
            <w:pPr>
              <w:ind w:left="-108"/>
              <w:jc w:val="right"/>
              <w:rPr>
                <w:rFonts w:ascii="Arial" w:hAnsi="Arial"/>
                <w:b/>
                <w:sz w:val="20"/>
                <w:lang w:val="pl-PL"/>
              </w:rPr>
            </w:pPr>
            <w:r w:rsidRPr="00765C97">
              <w:rPr>
                <w:rFonts w:ascii="Arial" w:hAnsi="Arial"/>
                <w:b/>
                <w:sz w:val="20"/>
                <w:lang w:val="pl-PL"/>
              </w:rPr>
              <w:t>Metoda wyceny</w:t>
            </w:r>
          </w:p>
        </w:tc>
      </w:tr>
      <w:tr w:rsidR="00B24DA9" w:rsidRPr="00765C97">
        <w:trPr>
          <w:trHeight w:val="255"/>
        </w:trPr>
        <w:tc>
          <w:tcPr>
            <w:tcW w:w="5040" w:type="dxa"/>
            <w:tcBorders>
              <w:top w:val="nil"/>
              <w:left w:val="nil"/>
              <w:bottom w:val="nil"/>
              <w:right w:val="nil"/>
            </w:tcBorders>
            <w:vAlign w:val="center"/>
          </w:tcPr>
          <w:p w:rsidR="00B24DA9" w:rsidRPr="00765C97" w:rsidRDefault="00B24DA9">
            <w:pPr>
              <w:ind w:left="-108"/>
              <w:rPr>
                <w:rFonts w:ascii="Arial" w:hAnsi="Arial"/>
                <w:sz w:val="20"/>
                <w:lang w:val="pl-PL"/>
              </w:rPr>
            </w:pPr>
            <w:r w:rsidRPr="00765C97">
              <w:rPr>
                <w:rFonts w:ascii="Arial" w:hAnsi="Arial"/>
                <w:sz w:val="20"/>
                <w:lang w:val="pl-PL"/>
              </w:rPr>
              <w:t>Należności od jednostek powiązanych (nota 3.12)</w:t>
            </w:r>
          </w:p>
        </w:tc>
        <w:tc>
          <w:tcPr>
            <w:tcW w:w="3265" w:type="dxa"/>
            <w:tcBorders>
              <w:top w:val="nil"/>
              <w:left w:val="nil"/>
              <w:bottom w:val="nil"/>
              <w:right w:val="nil"/>
            </w:tcBorders>
            <w:vAlign w:val="center"/>
          </w:tcPr>
          <w:p w:rsidR="00B24DA9" w:rsidRPr="00765C97" w:rsidRDefault="00B24DA9">
            <w:pPr>
              <w:ind w:left="-108"/>
              <w:jc w:val="right"/>
              <w:rPr>
                <w:rFonts w:ascii="Arial" w:hAnsi="Arial"/>
                <w:sz w:val="20"/>
                <w:lang w:val="pl-PL"/>
              </w:rPr>
            </w:pPr>
            <w:r w:rsidRPr="00765C97">
              <w:rPr>
                <w:rFonts w:ascii="Arial" w:hAnsi="Arial"/>
                <w:sz w:val="20"/>
                <w:lang w:val="pl-PL"/>
              </w:rPr>
              <w:t>według skorygowanej ceny nabycia</w:t>
            </w:r>
          </w:p>
        </w:tc>
      </w:tr>
      <w:tr w:rsidR="00B24DA9" w:rsidRPr="00765C97">
        <w:trPr>
          <w:trHeight w:val="255"/>
        </w:trPr>
        <w:tc>
          <w:tcPr>
            <w:tcW w:w="5040" w:type="dxa"/>
            <w:tcBorders>
              <w:top w:val="nil"/>
              <w:left w:val="nil"/>
              <w:bottom w:val="nil"/>
              <w:right w:val="nil"/>
            </w:tcBorders>
            <w:vAlign w:val="center"/>
          </w:tcPr>
          <w:p w:rsidR="00B24DA9" w:rsidRPr="00765C97" w:rsidRDefault="00B24DA9">
            <w:pPr>
              <w:ind w:left="-108"/>
              <w:rPr>
                <w:rFonts w:ascii="Arial" w:hAnsi="Arial"/>
                <w:sz w:val="20"/>
                <w:lang w:val="pl-PL"/>
              </w:rPr>
            </w:pPr>
            <w:r w:rsidRPr="00765C97">
              <w:rPr>
                <w:rFonts w:ascii="Arial" w:hAnsi="Arial"/>
                <w:sz w:val="20"/>
                <w:lang w:val="pl-PL"/>
              </w:rPr>
              <w:t>Należności od pozostałych jednostek - krótkoterminowe (nota 3.12)</w:t>
            </w:r>
          </w:p>
        </w:tc>
        <w:tc>
          <w:tcPr>
            <w:tcW w:w="3265" w:type="dxa"/>
            <w:tcBorders>
              <w:top w:val="nil"/>
              <w:left w:val="nil"/>
              <w:bottom w:val="nil"/>
              <w:right w:val="nil"/>
            </w:tcBorders>
            <w:vAlign w:val="center"/>
          </w:tcPr>
          <w:p w:rsidR="00B24DA9" w:rsidRPr="00765C97" w:rsidRDefault="00B24DA9">
            <w:pPr>
              <w:ind w:left="-108"/>
              <w:jc w:val="right"/>
              <w:rPr>
                <w:rFonts w:ascii="Arial" w:hAnsi="Arial"/>
                <w:sz w:val="20"/>
                <w:lang w:val="pl-PL"/>
              </w:rPr>
            </w:pPr>
            <w:r w:rsidRPr="00765C97">
              <w:rPr>
                <w:rFonts w:ascii="Arial" w:hAnsi="Arial"/>
                <w:sz w:val="20"/>
                <w:lang w:val="pl-PL"/>
              </w:rPr>
              <w:t>według skorygowanej ceny nabycia</w:t>
            </w:r>
          </w:p>
        </w:tc>
      </w:tr>
      <w:tr w:rsidR="00B24DA9" w:rsidRPr="00765C97">
        <w:trPr>
          <w:trHeight w:val="255"/>
        </w:trPr>
        <w:tc>
          <w:tcPr>
            <w:tcW w:w="5040" w:type="dxa"/>
            <w:tcBorders>
              <w:top w:val="nil"/>
              <w:left w:val="nil"/>
              <w:bottom w:val="nil"/>
              <w:right w:val="nil"/>
            </w:tcBorders>
            <w:vAlign w:val="center"/>
          </w:tcPr>
          <w:p w:rsidR="00B24DA9" w:rsidRPr="00765C97" w:rsidRDefault="00B24DA9">
            <w:pPr>
              <w:ind w:left="-108"/>
              <w:rPr>
                <w:rFonts w:ascii="Arial" w:hAnsi="Arial"/>
                <w:sz w:val="20"/>
                <w:lang w:val="pl-PL"/>
              </w:rPr>
            </w:pPr>
            <w:r w:rsidRPr="00765C97">
              <w:rPr>
                <w:rFonts w:ascii="Arial" w:hAnsi="Arial"/>
                <w:sz w:val="20"/>
                <w:lang w:val="pl-PL"/>
              </w:rPr>
              <w:t xml:space="preserve">Należności od pozostałych jednostek - długoterminowe </w:t>
            </w:r>
          </w:p>
        </w:tc>
        <w:tc>
          <w:tcPr>
            <w:tcW w:w="3265" w:type="dxa"/>
            <w:tcBorders>
              <w:top w:val="nil"/>
              <w:left w:val="nil"/>
              <w:bottom w:val="nil"/>
              <w:right w:val="nil"/>
            </w:tcBorders>
            <w:vAlign w:val="center"/>
          </w:tcPr>
          <w:p w:rsidR="00B24DA9" w:rsidRPr="00765C97" w:rsidRDefault="00B24DA9">
            <w:pPr>
              <w:ind w:left="-108"/>
              <w:jc w:val="right"/>
              <w:rPr>
                <w:rFonts w:ascii="Arial" w:hAnsi="Arial"/>
                <w:sz w:val="20"/>
                <w:lang w:val="pl-PL"/>
              </w:rPr>
            </w:pPr>
            <w:r w:rsidRPr="00765C97">
              <w:rPr>
                <w:rFonts w:ascii="Arial" w:hAnsi="Arial"/>
                <w:sz w:val="20"/>
                <w:lang w:val="pl-PL"/>
              </w:rPr>
              <w:t>według skorygowanej ceny nabycia</w:t>
            </w:r>
          </w:p>
        </w:tc>
      </w:tr>
      <w:tr w:rsidR="00B24DA9" w:rsidRPr="00765C97">
        <w:trPr>
          <w:trHeight w:val="255"/>
        </w:trPr>
        <w:tc>
          <w:tcPr>
            <w:tcW w:w="5040" w:type="dxa"/>
            <w:tcBorders>
              <w:top w:val="nil"/>
              <w:left w:val="nil"/>
              <w:bottom w:val="nil"/>
              <w:right w:val="nil"/>
            </w:tcBorders>
            <w:vAlign w:val="center"/>
          </w:tcPr>
          <w:p w:rsidR="00B24DA9" w:rsidRPr="00765C97" w:rsidRDefault="00B24DA9">
            <w:pPr>
              <w:ind w:left="-108"/>
              <w:rPr>
                <w:rFonts w:ascii="Arial" w:hAnsi="Arial"/>
                <w:sz w:val="20"/>
                <w:lang w:val="pl-PL"/>
              </w:rPr>
            </w:pPr>
            <w:r w:rsidRPr="00765C97">
              <w:rPr>
                <w:rFonts w:ascii="Arial" w:hAnsi="Arial"/>
                <w:sz w:val="20"/>
                <w:lang w:val="pl-PL"/>
              </w:rPr>
              <w:t>Środki pieniężne i ich ekwiwalenty (nota 3.13)</w:t>
            </w:r>
          </w:p>
        </w:tc>
        <w:tc>
          <w:tcPr>
            <w:tcW w:w="3265" w:type="dxa"/>
            <w:tcBorders>
              <w:top w:val="nil"/>
              <w:left w:val="nil"/>
              <w:bottom w:val="nil"/>
              <w:right w:val="nil"/>
            </w:tcBorders>
            <w:vAlign w:val="center"/>
          </w:tcPr>
          <w:p w:rsidR="00B24DA9" w:rsidRPr="00765C97" w:rsidRDefault="00B24DA9">
            <w:pPr>
              <w:ind w:left="-108"/>
              <w:jc w:val="right"/>
              <w:rPr>
                <w:rFonts w:ascii="Arial" w:hAnsi="Arial"/>
                <w:sz w:val="20"/>
                <w:lang w:val="pl-PL"/>
              </w:rPr>
            </w:pPr>
            <w:r w:rsidRPr="00765C97">
              <w:rPr>
                <w:rFonts w:ascii="Arial" w:hAnsi="Arial"/>
                <w:sz w:val="20"/>
                <w:lang w:val="pl-PL"/>
              </w:rPr>
              <w:t>według wartości godziwej</w:t>
            </w:r>
          </w:p>
        </w:tc>
      </w:tr>
    </w:tbl>
    <w:p w:rsidR="00B24DA9" w:rsidRPr="00765C97" w:rsidRDefault="00B24DA9">
      <w:pPr>
        <w:pStyle w:val="Tekstpodstawowy"/>
        <w:ind w:firstLine="709"/>
        <w:rPr>
          <w:b w:val="0"/>
          <w:color w:val="auto"/>
          <w:sz w:val="20"/>
        </w:rPr>
      </w:pPr>
    </w:p>
    <w:tbl>
      <w:tblPr>
        <w:tblW w:w="0" w:type="auto"/>
        <w:tblInd w:w="288" w:type="dxa"/>
        <w:tblLayout w:type="fixed"/>
        <w:tblLook w:val="0000"/>
      </w:tblPr>
      <w:tblGrid>
        <w:gridCol w:w="5040"/>
        <w:gridCol w:w="3265"/>
      </w:tblGrid>
      <w:tr w:rsidR="00B24DA9" w:rsidRPr="00765C97">
        <w:trPr>
          <w:trHeight w:val="255"/>
        </w:trPr>
        <w:tc>
          <w:tcPr>
            <w:tcW w:w="5040" w:type="dxa"/>
            <w:tcBorders>
              <w:top w:val="nil"/>
              <w:left w:val="nil"/>
              <w:bottom w:val="nil"/>
              <w:right w:val="nil"/>
            </w:tcBorders>
            <w:vAlign w:val="center"/>
          </w:tcPr>
          <w:p w:rsidR="00B24DA9" w:rsidRPr="00765C97" w:rsidRDefault="00B24DA9">
            <w:pPr>
              <w:ind w:left="-108"/>
              <w:rPr>
                <w:rFonts w:ascii="Arial" w:hAnsi="Arial"/>
                <w:b/>
                <w:sz w:val="20"/>
                <w:lang w:val="pl-PL"/>
              </w:rPr>
            </w:pPr>
            <w:r w:rsidRPr="00765C97">
              <w:rPr>
                <w:rFonts w:ascii="Arial" w:hAnsi="Arial"/>
                <w:b/>
                <w:sz w:val="20"/>
                <w:lang w:val="pl-PL"/>
              </w:rPr>
              <w:t>Zobowiązania finansowe</w:t>
            </w:r>
          </w:p>
        </w:tc>
        <w:tc>
          <w:tcPr>
            <w:tcW w:w="3265" w:type="dxa"/>
            <w:tcBorders>
              <w:top w:val="nil"/>
              <w:left w:val="nil"/>
              <w:bottom w:val="nil"/>
              <w:right w:val="nil"/>
            </w:tcBorders>
            <w:vAlign w:val="center"/>
          </w:tcPr>
          <w:p w:rsidR="00B24DA9" w:rsidRPr="00765C97" w:rsidRDefault="00B24DA9">
            <w:pPr>
              <w:ind w:left="-108"/>
              <w:jc w:val="right"/>
              <w:rPr>
                <w:rFonts w:ascii="Arial" w:hAnsi="Arial"/>
                <w:b/>
                <w:sz w:val="20"/>
                <w:lang w:val="pl-PL"/>
              </w:rPr>
            </w:pPr>
            <w:r w:rsidRPr="00765C97">
              <w:rPr>
                <w:rFonts w:ascii="Arial" w:hAnsi="Arial"/>
                <w:b/>
                <w:sz w:val="20"/>
                <w:lang w:val="pl-PL"/>
              </w:rPr>
              <w:t>Metoda wyceny</w:t>
            </w:r>
          </w:p>
        </w:tc>
      </w:tr>
      <w:tr w:rsidR="00B24DA9" w:rsidRPr="00765C97">
        <w:trPr>
          <w:trHeight w:val="255"/>
        </w:trPr>
        <w:tc>
          <w:tcPr>
            <w:tcW w:w="5040" w:type="dxa"/>
            <w:tcBorders>
              <w:top w:val="nil"/>
              <w:left w:val="nil"/>
              <w:bottom w:val="nil"/>
              <w:right w:val="nil"/>
            </w:tcBorders>
            <w:vAlign w:val="center"/>
          </w:tcPr>
          <w:p w:rsidR="00B24DA9" w:rsidRPr="00765C97" w:rsidRDefault="00B24DA9" w:rsidP="008B4C6B">
            <w:pPr>
              <w:ind w:left="-108"/>
              <w:rPr>
                <w:rFonts w:ascii="Arial" w:hAnsi="Arial"/>
                <w:sz w:val="20"/>
                <w:lang w:val="pl-PL"/>
              </w:rPr>
            </w:pPr>
            <w:r w:rsidRPr="00765C97">
              <w:rPr>
                <w:rFonts w:ascii="Arial" w:hAnsi="Arial"/>
                <w:sz w:val="20"/>
                <w:lang w:val="pl-PL"/>
              </w:rPr>
              <w:t>Zobowiązania z tytułu kredytów (nota 3.1</w:t>
            </w:r>
            <w:r w:rsidR="008B4C6B" w:rsidRPr="00765C97">
              <w:rPr>
                <w:rFonts w:ascii="Arial" w:hAnsi="Arial"/>
                <w:sz w:val="20"/>
                <w:lang w:val="pl-PL"/>
              </w:rPr>
              <w:t>8</w:t>
            </w:r>
            <w:r w:rsidRPr="00765C97">
              <w:rPr>
                <w:rFonts w:ascii="Arial" w:hAnsi="Arial"/>
                <w:sz w:val="20"/>
                <w:lang w:val="pl-PL"/>
              </w:rPr>
              <w:t>)</w:t>
            </w:r>
          </w:p>
        </w:tc>
        <w:tc>
          <w:tcPr>
            <w:tcW w:w="3265" w:type="dxa"/>
            <w:tcBorders>
              <w:top w:val="nil"/>
              <w:left w:val="nil"/>
              <w:bottom w:val="nil"/>
              <w:right w:val="nil"/>
            </w:tcBorders>
            <w:vAlign w:val="center"/>
          </w:tcPr>
          <w:p w:rsidR="00B24DA9" w:rsidRPr="00765C97" w:rsidRDefault="00B24DA9">
            <w:pPr>
              <w:ind w:left="-108"/>
              <w:jc w:val="right"/>
              <w:rPr>
                <w:rFonts w:ascii="Arial" w:hAnsi="Arial"/>
                <w:sz w:val="20"/>
                <w:lang w:val="pl-PL"/>
              </w:rPr>
            </w:pPr>
            <w:r w:rsidRPr="00765C97">
              <w:rPr>
                <w:rFonts w:ascii="Arial" w:hAnsi="Arial"/>
                <w:sz w:val="20"/>
                <w:lang w:val="pl-PL"/>
              </w:rPr>
              <w:t>według skorygowanej ceny nabycia</w:t>
            </w:r>
          </w:p>
        </w:tc>
      </w:tr>
      <w:tr w:rsidR="00B24DA9" w:rsidRPr="00765C97">
        <w:trPr>
          <w:trHeight w:val="255"/>
        </w:trPr>
        <w:tc>
          <w:tcPr>
            <w:tcW w:w="5040" w:type="dxa"/>
            <w:tcBorders>
              <w:top w:val="nil"/>
              <w:left w:val="nil"/>
              <w:bottom w:val="nil"/>
              <w:right w:val="nil"/>
            </w:tcBorders>
            <w:vAlign w:val="center"/>
          </w:tcPr>
          <w:p w:rsidR="00B24DA9" w:rsidRPr="00765C97" w:rsidRDefault="00B24DA9" w:rsidP="008B4C6B">
            <w:pPr>
              <w:ind w:left="-108" w:right="-108"/>
              <w:rPr>
                <w:rFonts w:ascii="Arial" w:hAnsi="Arial"/>
                <w:sz w:val="20"/>
                <w:lang w:val="pl-PL"/>
              </w:rPr>
            </w:pPr>
            <w:r w:rsidRPr="00765C97">
              <w:rPr>
                <w:rFonts w:ascii="Arial" w:hAnsi="Arial"/>
                <w:sz w:val="20"/>
                <w:lang w:val="pl-PL"/>
              </w:rPr>
              <w:t>Zobowiązania wobec jednostek powiązanych (nota 3.1</w:t>
            </w:r>
            <w:r w:rsidR="008B4C6B" w:rsidRPr="00765C97">
              <w:rPr>
                <w:rFonts w:ascii="Arial" w:hAnsi="Arial"/>
                <w:sz w:val="20"/>
                <w:lang w:val="pl-PL"/>
              </w:rPr>
              <w:t>6</w:t>
            </w:r>
            <w:r w:rsidRPr="00765C97">
              <w:rPr>
                <w:rFonts w:ascii="Arial" w:hAnsi="Arial"/>
                <w:sz w:val="20"/>
                <w:lang w:val="pl-PL"/>
              </w:rPr>
              <w:t>)</w:t>
            </w:r>
          </w:p>
        </w:tc>
        <w:tc>
          <w:tcPr>
            <w:tcW w:w="3265" w:type="dxa"/>
            <w:tcBorders>
              <w:top w:val="nil"/>
              <w:left w:val="nil"/>
              <w:bottom w:val="nil"/>
              <w:right w:val="nil"/>
            </w:tcBorders>
            <w:vAlign w:val="center"/>
          </w:tcPr>
          <w:p w:rsidR="00B24DA9" w:rsidRPr="00765C97" w:rsidRDefault="00B24DA9">
            <w:pPr>
              <w:ind w:left="-108"/>
              <w:jc w:val="right"/>
              <w:rPr>
                <w:rFonts w:ascii="Arial" w:hAnsi="Arial"/>
                <w:sz w:val="20"/>
                <w:lang w:val="pl-PL"/>
              </w:rPr>
            </w:pPr>
            <w:r w:rsidRPr="00765C97">
              <w:rPr>
                <w:rFonts w:ascii="Arial" w:hAnsi="Arial"/>
                <w:sz w:val="20"/>
                <w:lang w:val="pl-PL"/>
              </w:rPr>
              <w:t>według skorygowanej ceny nabycia</w:t>
            </w:r>
          </w:p>
        </w:tc>
      </w:tr>
      <w:tr w:rsidR="00B24DA9" w:rsidRPr="00765C97">
        <w:trPr>
          <w:trHeight w:val="255"/>
        </w:trPr>
        <w:tc>
          <w:tcPr>
            <w:tcW w:w="5040" w:type="dxa"/>
            <w:tcBorders>
              <w:top w:val="nil"/>
              <w:left w:val="nil"/>
              <w:bottom w:val="nil"/>
              <w:right w:val="nil"/>
            </w:tcBorders>
            <w:vAlign w:val="center"/>
          </w:tcPr>
          <w:p w:rsidR="00B24DA9" w:rsidRPr="00765C97" w:rsidRDefault="00B24DA9" w:rsidP="008B4C6B">
            <w:pPr>
              <w:ind w:left="-108"/>
              <w:rPr>
                <w:rFonts w:ascii="Arial" w:hAnsi="Arial"/>
                <w:sz w:val="20"/>
                <w:lang w:val="pl-PL"/>
              </w:rPr>
            </w:pPr>
            <w:r w:rsidRPr="00765C97">
              <w:rPr>
                <w:rFonts w:ascii="Arial" w:hAnsi="Arial"/>
                <w:sz w:val="20"/>
                <w:lang w:val="pl-PL"/>
              </w:rPr>
              <w:t>Zobowiązania wobec pozostałych jednostek - krótkoterminowe (nota 3.1</w:t>
            </w:r>
            <w:r w:rsidR="008B4C6B" w:rsidRPr="00765C97">
              <w:rPr>
                <w:rFonts w:ascii="Arial" w:hAnsi="Arial"/>
                <w:sz w:val="20"/>
                <w:lang w:val="pl-PL"/>
              </w:rPr>
              <w:t>6</w:t>
            </w:r>
            <w:r w:rsidRPr="00765C97">
              <w:rPr>
                <w:rFonts w:ascii="Arial" w:hAnsi="Arial"/>
                <w:sz w:val="20"/>
                <w:lang w:val="pl-PL"/>
              </w:rPr>
              <w:t>)</w:t>
            </w:r>
          </w:p>
        </w:tc>
        <w:tc>
          <w:tcPr>
            <w:tcW w:w="3265" w:type="dxa"/>
            <w:tcBorders>
              <w:top w:val="nil"/>
              <w:left w:val="nil"/>
              <w:bottom w:val="nil"/>
              <w:right w:val="nil"/>
            </w:tcBorders>
            <w:vAlign w:val="center"/>
          </w:tcPr>
          <w:p w:rsidR="00B24DA9" w:rsidRPr="00765C97" w:rsidRDefault="00B24DA9">
            <w:pPr>
              <w:ind w:left="-108"/>
              <w:jc w:val="right"/>
              <w:rPr>
                <w:rFonts w:ascii="Arial" w:hAnsi="Arial"/>
                <w:sz w:val="20"/>
                <w:lang w:val="pl-PL"/>
              </w:rPr>
            </w:pPr>
            <w:r w:rsidRPr="00765C97">
              <w:rPr>
                <w:rFonts w:ascii="Arial" w:hAnsi="Arial"/>
                <w:sz w:val="20"/>
                <w:lang w:val="pl-PL"/>
              </w:rPr>
              <w:t>według skorygowanej ceny nabycia</w:t>
            </w:r>
          </w:p>
        </w:tc>
      </w:tr>
      <w:tr w:rsidR="00B24DA9" w:rsidRPr="00765C97">
        <w:trPr>
          <w:trHeight w:val="255"/>
        </w:trPr>
        <w:tc>
          <w:tcPr>
            <w:tcW w:w="5040" w:type="dxa"/>
            <w:tcBorders>
              <w:top w:val="nil"/>
              <w:left w:val="nil"/>
              <w:bottom w:val="nil"/>
              <w:right w:val="nil"/>
            </w:tcBorders>
            <w:vAlign w:val="center"/>
          </w:tcPr>
          <w:p w:rsidR="00B24DA9" w:rsidRPr="00765C97" w:rsidRDefault="00B24DA9">
            <w:pPr>
              <w:ind w:left="-108"/>
              <w:rPr>
                <w:rFonts w:ascii="Arial" w:hAnsi="Arial"/>
                <w:sz w:val="20"/>
                <w:lang w:val="pl-PL"/>
              </w:rPr>
            </w:pPr>
            <w:r w:rsidRPr="00765C97">
              <w:rPr>
                <w:rFonts w:ascii="Arial" w:hAnsi="Arial"/>
                <w:sz w:val="20"/>
                <w:lang w:val="pl-PL"/>
              </w:rPr>
              <w:t xml:space="preserve">Zobowiązania wobec pozostałych jednostek - długoterminowe </w:t>
            </w:r>
          </w:p>
        </w:tc>
        <w:tc>
          <w:tcPr>
            <w:tcW w:w="3265" w:type="dxa"/>
            <w:tcBorders>
              <w:top w:val="nil"/>
              <w:left w:val="nil"/>
              <w:bottom w:val="nil"/>
              <w:right w:val="nil"/>
            </w:tcBorders>
            <w:vAlign w:val="center"/>
          </w:tcPr>
          <w:p w:rsidR="00B24DA9" w:rsidRPr="00765C97" w:rsidRDefault="00B24DA9">
            <w:pPr>
              <w:ind w:left="-108"/>
              <w:jc w:val="right"/>
              <w:rPr>
                <w:rFonts w:ascii="Arial" w:hAnsi="Arial"/>
                <w:sz w:val="20"/>
                <w:lang w:val="pl-PL"/>
              </w:rPr>
            </w:pPr>
            <w:r w:rsidRPr="00765C97">
              <w:rPr>
                <w:rFonts w:ascii="Arial" w:hAnsi="Arial"/>
                <w:sz w:val="20"/>
                <w:lang w:val="pl-PL"/>
              </w:rPr>
              <w:t>według skorygowanej ceny nabycia</w:t>
            </w:r>
          </w:p>
        </w:tc>
      </w:tr>
      <w:tr w:rsidR="00B24DA9" w:rsidRPr="00765C97">
        <w:trPr>
          <w:trHeight w:val="255"/>
        </w:trPr>
        <w:tc>
          <w:tcPr>
            <w:tcW w:w="5040" w:type="dxa"/>
            <w:tcBorders>
              <w:top w:val="nil"/>
              <w:left w:val="nil"/>
              <w:bottom w:val="nil"/>
              <w:right w:val="nil"/>
            </w:tcBorders>
            <w:vAlign w:val="center"/>
          </w:tcPr>
          <w:p w:rsidR="00B24DA9" w:rsidRPr="00765C97" w:rsidRDefault="00B24DA9" w:rsidP="008B4C6B">
            <w:pPr>
              <w:ind w:left="-108"/>
              <w:rPr>
                <w:rFonts w:ascii="Arial" w:hAnsi="Arial"/>
                <w:sz w:val="20"/>
                <w:lang w:val="pl-PL"/>
              </w:rPr>
            </w:pPr>
            <w:r w:rsidRPr="00765C97">
              <w:rPr>
                <w:rFonts w:ascii="Arial" w:hAnsi="Arial"/>
                <w:sz w:val="20"/>
                <w:lang w:val="pl-PL"/>
              </w:rPr>
              <w:t>Zobowiązania z tytułu leasingu finansowego (nota 3.1</w:t>
            </w:r>
            <w:r w:rsidR="008B4C6B" w:rsidRPr="00765C97">
              <w:rPr>
                <w:rFonts w:ascii="Arial" w:hAnsi="Arial"/>
                <w:sz w:val="20"/>
                <w:lang w:val="pl-PL"/>
              </w:rPr>
              <w:t>6</w:t>
            </w:r>
            <w:r w:rsidRPr="00765C97">
              <w:rPr>
                <w:rFonts w:ascii="Arial" w:hAnsi="Arial"/>
                <w:sz w:val="20"/>
                <w:lang w:val="pl-PL"/>
              </w:rPr>
              <w:t>)</w:t>
            </w:r>
          </w:p>
        </w:tc>
        <w:tc>
          <w:tcPr>
            <w:tcW w:w="3265" w:type="dxa"/>
            <w:tcBorders>
              <w:top w:val="nil"/>
              <w:left w:val="nil"/>
              <w:bottom w:val="nil"/>
              <w:right w:val="nil"/>
            </w:tcBorders>
            <w:vAlign w:val="center"/>
          </w:tcPr>
          <w:p w:rsidR="00B24DA9" w:rsidRPr="00765C97" w:rsidRDefault="00B24DA9">
            <w:pPr>
              <w:ind w:left="-108"/>
              <w:jc w:val="right"/>
              <w:rPr>
                <w:rFonts w:ascii="Arial" w:hAnsi="Arial"/>
                <w:sz w:val="20"/>
                <w:lang w:val="pl-PL"/>
              </w:rPr>
            </w:pPr>
            <w:r w:rsidRPr="00765C97">
              <w:rPr>
                <w:rFonts w:ascii="Arial" w:hAnsi="Arial"/>
                <w:sz w:val="20"/>
                <w:lang w:val="pl-PL"/>
              </w:rPr>
              <w:t>według skorygowanej ceny nabycia</w:t>
            </w:r>
          </w:p>
        </w:tc>
      </w:tr>
    </w:tbl>
    <w:p w:rsidR="00B24DA9" w:rsidRPr="00765C97" w:rsidRDefault="00B24DA9">
      <w:pPr>
        <w:ind w:left="142"/>
        <w:rPr>
          <w:rFonts w:ascii="Arial" w:hAnsi="Arial"/>
          <w:sz w:val="20"/>
          <w:lang w:val="pl-PL"/>
        </w:rPr>
      </w:pPr>
    </w:p>
    <w:p w:rsidR="00B24DA9" w:rsidRPr="00765C97" w:rsidRDefault="00B24DA9" w:rsidP="00C404B6">
      <w:pPr>
        <w:ind w:left="142"/>
        <w:jc w:val="both"/>
        <w:rPr>
          <w:rFonts w:ascii="Arial" w:hAnsi="Arial"/>
          <w:sz w:val="20"/>
          <w:lang w:val="pl-PL"/>
        </w:rPr>
      </w:pPr>
      <w:r w:rsidRPr="00765C97">
        <w:rPr>
          <w:rFonts w:ascii="Arial" w:hAnsi="Arial"/>
          <w:sz w:val="20"/>
          <w:lang w:val="pl-PL"/>
        </w:rPr>
        <w:t>W okresie sprawozdawczym Spółka nie dokonywała przekwalifikowań składników aktywów finansowych na wyceniany wg kosztu, skorygowanego kosztu nabycia lub wartości godziwej.</w:t>
      </w:r>
    </w:p>
    <w:p w:rsidR="00B24DA9" w:rsidRPr="00765C97" w:rsidRDefault="00B24DA9" w:rsidP="00C404B6">
      <w:pPr>
        <w:ind w:left="142"/>
        <w:rPr>
          <w:rFonts w:ascii="Arial" w:hAnsi="Arial"/>
          <w:b/>
          <w:sz w:val="20"/>
          <w:lang w:val="pl-PL"/>
        </w:rPr>
      </w:pPr>
      <w:r w:rsidRPr="00765C97">
        <w:rPr>
          <w:rFonts w:ascii="Arial" w:hAnsi="Arial"/>
          <w:sz w:val="20"/>
          <w:lang w:val="pl-PL"/>
        </w:rPr>
        <w:t>Grupa nie ustanawiała zabezpieczeń na posiadanych aktywach finansowych</w:t>
      </w:r>
      <w:r w:rsidRPr="00765C97">
        <w:rPr>
          <w:rFonts w:ascii="Arial" w:hAnsi="Arial"/>
          <w:b/>
          <w:sz w:val="20"/>
          <w:lang w:val="pl-PL"/>
        </w:rPr>
        <w:t>.</w:t>
      </w:r>
    </w:p>
    <w:p w:rsidR="00B24DA9" w:rsidRPr="00765C97" w:rsidRDefault="00B24DA9" w:rsidP="00135A9A">
      <w:pPr>
        <w:pStyle w:val="Nagwek3"/>
        <w:numPr>
          <w:ilvl w:val="1"/>
          <w:numId w:val="22"/>
        </w:numPr>
        <w:spacing w:after="240"/>
        <w:ind w:left="709" w:hanging="567"/>
        <w:rPr>
          <w:sz w:val="20"/>
          <w:lang w:val="pl-PL"/>
        </w:rPr>
      </w:pPr>
      <w:bookmarkStart w:id="53" w:name="_Toc353973218"/>
      <w:r w:rsidRPr="00765C97">
        <w:rPr>
          <w:sz w:val="20"/>
          <w:lang w:val="pl-PL"/>
        </w:rPr>
        <w:t>Aktywa finansowe dostępne do sprzedaży</w:t>
      </w:r>
      <w:bookmarkEnd w:id="53"/>
    </w:p>
    <w:tbl>
      <w:tblPr>
        <w:tblW w:w="0" w:type="auto"/>
        <w:tblInd w:w="180" w:type="dxa"/>
        <w:tblLayout w:type="fixed"/>
        <w:tblCellMar>
          <w:left w:w="0" w:type="dxa"/>
          <w:right w:w="0" w:type="dxa"/>
        </w:tblCellMar>
        <w:tblLook w:val="0000"/>
      </w:tblPr>
      <w:tblGrid>
        <w:gridCol w:w="2220"/>
        <w:gridCol w:w="1995"/>
        <w:gridCol w:w="1995"/>
      </w:tblGrid>
      <w:tr w:rsidR="00B24DA9" w:rsidRPr="00765C97">
        <w:trPr>
          <w:trHeight w:hRule="exact" w:val="255"/>
        </w:trPr>
        <w:tc>
          <w:tcPr>
            <w:tcW w:w="2220" w:type="dxa"/>
            <w:tcBorders>
              <w:top w:val="nil"/>
              <w:left w:val="nil"/>
              <w:bottom w:val="nil"/>
              <w:right w:val="nil"/>
            </w:tcBorders>
            <w:vAlign w:val="center"/>
          </w:tcPr>
          <w:p w:rsidR="00B24DA9" w:rsidRPr="00765C97" w:rsidRDefault="00B24DA9">
            <w:pPr>
              <w:ind w:right="157"/>
              <w:jc w:val="right"/>
              <w:rPr>
                <w:rFonts w:ascii="Arial" w:hAnsi="Arial"/>
                <w:b/>
                <w:sz w:val="20"/>
                <w:lang w:val="pl-PL"/>
              </w:rPr>
            </w:pPr>
          </w:p>
        </w:tc>
        <w:tc>
          <w:tcPr>
            <w:tcW w:w="1995" w:type="dxa"/>
            <w:tcBorders>
              <w:top w:val="nil"/>
              <w:left w:val="nil"/>
              <w:right w:val="nil"/>
            </w:tcBorders>
            <w:vAlign w:val="center"/>
          </w:tcPr>
          <w:p w:rsidR="00B24DA9" w:rsidRPr="00765C97" w:rsidRDefault="00B24DA9" w:rsidP="006C5B07">
            <w:pPr>
              <w:ind w:right="81"/>
              <w:jc w:val="right"/>
              <w:rPr>
                <w:rFonts w:ascii="Arial" w:hAnsi="Arial"/>
                <w:b/>
                <w:sz w:val="20"/>
                <w:lang w:val="pl-PL"/>
              </w:rPr>
            </w:pPr>
            <w:r w:rsidRPr="00765C97">
              <w:rPr>
                <w:rFonts w:ascii="Arial" w:hAnsi="Arial"/>
                <w:b/>
                <w:sz w:val="20"/>
                <w:lang w:val="pl-PL"/>
              </w:rPr>
              <w:t>12 miesięcy 20</w:t>
            </w:r>
            <w:r w:rsidR="00B0017E" w:rsidRPr="00765C97">
              <w:rPr>
                <w:rFonts w:ascii="Arial" w:hAnsi="Arial"/>
                <w:b/>
                <w:sz w:val="20"/>
                <w:lang w:val="pl-PL"/>
              </w:rPr>
              <w:t>1</w:t>
            </w:r>
            <w:r w:rsidR="00385F70" w:rsidRPr="00765C97">
              <w:rPr>
                <w:rFonts w:ascii="Arial" w:hAnsi="Arial"/>
                <w:b/>
                <w:sz w:val="20"/>
                <w:lang w:val="pl-PL"/>
              </w:rPr>
              <w:t>2</w:t>
            </w:r>
          </w:p>
        </w:tc>
        <w:tc>
          <w:tcPr>
            <w:tcW w:w="1995" w:type="dxa"/>
            <w:tcBorders>
              <w:top w:val="nil"/>
              <w:left w:val="nil"/>
              <w:right w:val="nil"/>
            </w:tcBorders>
            <w:vAlign w:val="center"/>
          </w:tcPr>
          <w:p w:rsidR="00B24DA9" w:rsidRPr="00765C97" w:rsidRDefault="00B24DA9" w:rsidP="00385F70">
            <w:pPr>
              <w:ind w:right="81"/>
              <w:jc w:val="right"/>
              <w:rPr>
                <w:rFonts w:ascii="Arial" w:hAnsi="Arial"/>
                <w:b/>
                <w:sz w:val="20"/>
                <w:lang w:val="pl-PL"/>
              </w:rPr>
            </w:pPr>
            <w:r w:rsidRPr="00765C97">
              <w:rPr>
                <w:rFonts w:ascii="Arial" w:hAnsi="Arial"/>
                <w:b/>
                <w:sz w:val="20"/>
                <w:lang w:val="pl-PL"/>
              </w:rPr>
              <w:t>12 miesięcy 20</w:t>
            </w:r>
            <w:r w:rsidR="006C5B07" w:rsidRPr="00765C97">
              <w:rPr>
                <w:rFonts w:ascii="Arial" w:hAnsi="Arial"/>
                <w:b/>
                <w:sz w:val="20"/>
                <w:lang w:val="pl-PL"/>
              </w:rPr>
              <w:t>1</w:t>
            </w:r>
            <w:r w:rsidR="00385F70" w:rsidRPr="00765C97">
              <w:rPr>
                <w:rFonts w:ascii="Arial" w:hAnsi="Arial"/>
                <w:b/>
                <w:sz w:val="20"/>
                <w:lang w:val="pl-PL"/>
              </w:rPr>
              <w:t>1</w:t>
            </w:r>
          </w:p>
        </w:tc>
      </w:tr>
      <w:tr w:rsidR="003F3E3A" w:rsidRPr="00765C97">
        <w:trPr>
          <w:trHeight w:hRule="exact" w:val="255"/>
        </w:trPr>
        <w:tc>
          <w:tcPr>
            <w:tcW w:w="2220" w:type="dxa"/>
            <w:tcBorders>
              <w:top w:val="nil"/>
              <w:left w:val="nil"/>
              <w:bottom w:val="nil"/>
              <w:right w:val="nil"/>
            </w:tcBorders>
            <w:vAlign w:val="center"/>
          </w:tcPr>
          <w:p w:rsidR="003F3E3A" w:rsidRPr="00765C97" w:rsidRDefault="003F3E3A">
            <w:pPr>
              <w:ind w:right="91"/>
              <w:rPr>
                <w:rFonts w:ascii="Arial" w:hAnsi="Arial"/>
                <w:b/>
                <w:sz w:val="20"/>
                <w:lang w:val="pl-PL"/>
              </w:rPr>
            </w:pPr>
            <w:r w:rsidRPr="00765C97">
              <w:rPr>
                <w:rFonts w:ascii="Arial" w:hAnsi="Arial"/>
                <w:b/>
                <w:sz w:val="20"/>
                <w:lang w:val="pl-PL"/>
              </w:rPr>
              <w:t>Stan na początek roku</w:t>
            </w:r>
          </w:p>
        </w:tc>
        <w:tc>
          <w:tcPr>
            <w:tcW w:w="1995" w:type="dxa"/>
            <w:tcBorders>
              <w:top w:val="nil"/>
              <w:left w:val="nil"/>
              <w:bottom w:val="nil"/>
              <w:right w:val="nil"/>
            </w:tcBorders>
            <w:vAlign w:val="center"/>
          </w:tcPr>
          <w:p w:rsidR="003F3E3A" w:rsidRPr="00765C97" w:rsidRDefault="003F3E3A" w:rsidP="00734BDD">
            <w:pPr>
              <w:ind w:right="81"/>
              <w:jc w:val="right"/>
              <w:rPr>
                <w:rFonts w:ascii="Arial" w:hAnsi="Arial" w:cs="Arial"/>
                <w:b/>
                <w:sz w:val="20"/>
                <w:szCs w:val="20"/>
                <w:lang w:val="pl-PL"/>
              </w:rPr>
            </w:pPr>
            <w:r w:rsidRPr="00765C97">
              <w:rPr>
                <w:rFonts w:ascii="Arial" w:hAnsi="Arial" w:cs="Arial"/>
                <w:b/>
                <w:sz w:val="20"/>
                <w:szCs w:val="20"/>
                <w:lang w:val="pl-PL"/>
              </w:rPr>
              <w:t>1 521</w:t>
            </w:r>
          </w:p>
        </w:tc>
        <w:tc>
          <w:tcPr>
            <w:tcW w:w="1995" w:type="dxa"/>
            <w:tcBorders>
              <w:top w:val="nil"/>
              <w:left w:val="nil"/>
              <w:bottom w:val="nil"/>
              <w:right w:val="nil"/>
            </w:tcBorders>
            <w:vAlign w:val="center"/>
          </w:tcPr>
          <w:p w:rsidR="003F3E3A" w:rsidRPr="00765C97" w:rsidRDefault="003F3E3A" w:rsidP="00385F70">
            <w:pPr>
              <w:ind w:right="81"/>
              <w:jc w:val="right"/>
              <w:rPr>
                <w:rFonts w:ascii="Arial" w:eastAsia="Calibri" w:hAnsi="Arial" w:cs="Arial"/>
                <w:b/>
                <w:bCs/>
                <w:sz w:val="20"/>
                <w:szCs w:val="20"/>
              </w:rPr>
            </w:pPr>
            <w:r w:rsidRPr="00765C97">
              <w:rPr>
                <w:rFonts w:ascii="Arial" w:hAnsi="Arial" w:cs="Arial"/>
                <w:b/>
                <w:bCs/>
                <w:sz w:val="20"/>
                <w:szCs w:val="20"/>
              </w:rPr>
              <w:t>2 491</w:t>
            </w:r>
          </w:p>
        </w:tc>
      </w:tr>
      <w:tr w:rsidR="003F3E3A" w:rsidRPr="00765C97">
        <w:trPr>
          <w:trHeight w:hRule="exact" w:val="255"/>
        </w:trPr>
        <w:tc>
          <w:tcPr>
            <w:tcW w:w="2220" w:type="dxa"/>
            <w:tcBorders>
              <w:top w:val="nil"/>
              <w:left w:val="nil"/>
              <w:bottom w:val="nil"/>
              <w:right w:val="nil"/>
            </w:tcBorders>
            <w:vAlign w:val="center"/>
          </w:tcPr>
          <w:p w:rsidR="003F3E3A" w:rsidRPr="00765C97" w:rsidRDefault="003F3E3A">
            <w:pPr>
              <w:ind w:right="91"/>
              <w:rPr>
                <w:rFonts w:ascii="Arial" w:hAnsi="Arial"/>
                <w:sz w:val="20"/>
                <w:lang w:val="pl-PL"/>
              </w:rPr>
            </w:pPr>
            <w:r w:rsidRPr="00765C97">
              <w:rPr>
                <w:rFonts w:ascii="Arial" w:hAnsi="Arial"/>
                <w:sz w:val="20"/>
                <w:lang w:val="pl-PL"/>
              </w:rPr>
              <w:t xml:space="preserve">zwiększenia </w:t>
            </w:r>
          </w:p>
        </w:tc>
        <w:tc>
          <w:tcPr>
            <w:tcW w:w="1995" w:type="dxa"/>
            <w:tcBorders>
              <w:top w:val="nil"/>
              <w:left w:val="nil"/>
              <w:right w:val="nil"/>
            </w:tcBorders>
            <w:vAlign w:val="center"/>
          </w:tcPr>
          <w:p w:rsidR="003F3E3A" w:rsidRPr="00765C97" w:rsidRDefault="003F3E3A" w:rsidP="00734BDD">
            <w:pPr>
              <w:ind w:right="81"/>
              <w:jc w:val="right"/>
              <w:rPr>
                <w:rFonts w:ascii="Arial" w:hAnsi="Arial" w:cs="Arial"/>
                <w:sz w:val="20"/>
                <w:szCs w:val="20"/>
                <w:lang w:val="pl-PL"/>
              </w:rPr>
            </w:pPr>
            <w:r w:rsidRPr="00765C97">
              <w:rPr>
                <w:rFonts w:ascii="Arial" w:hAnsi="Arial" w:cs="Arial"/>
                <w:sz w:val="20"/>
                <w:szCs w:val="20"/>
                <w:lang w:val="pl-PL"/>
              </w:rPr>
              <w:t>95</w:t>
            </w:r>
          </w:p>
        </w:tc>
        <w:tc>
          <w:tcPr>
            <w:tcW w:w="1995" w:type="dxa"/>
            <w:tcBorders>
              <w:top w:val="nil"/>
              <w:left w:val="nil"/>
              <w:right w:val="nil"/>
            </w:tcBorders>
            <w:vAlign w:val="center"/>
          </w:tcPr>
          <w:p w:rsidR="003F3E3A" w:rsidRPr="00765C97" w:rsidRDefault="003F3E3A" w:rsidP="00385F70">
            <w:pPr>
              <w:ind w:right="81"/>
              <w:jc w:val="right"/>
              <w:rPr>
                <w:rFonts w:ascii="Arial" w:eastAsia="Calibri" w:hAnsi="Arial" w:cs="Arial"/>
                <w:sz w:val="20"/>
                <w:szCs w:val="20"/>
              </w:rPr>
            </w:pPr>
            <w:r w:rsidRPr="00765C97">
              <w:rPr>
                <w:rFonts w:ascii="Arial" w:hAnsi="Arial" w:cs="Arial"/>
                <w:sz w:val="20"/>
                <w:szCs w:val="20"/>
              </w:rPr>
              <w:t>93</w:t>
            </w:r>
          </w:p>
        </w:tc>
      </w:tr>
      <w:tr w:rsidR="003F3E3A" w:rsidRPr="00765C97">
        <w:trPr>
          <w:trHeight w:hRule="exact" w:val="255"/>
        </w:trPr>
        <w:tc>
          <w:tcPr>
            <w:tcW w:w="2220" w:type="dxa"/>
            <w:tcBorders>
              <w:top w:val="nil"/>
              <w:left w:val="nil"/>
              <w:right w:val="nil"/>
            </w:tcBorders>
            <w:vAlign w:val="center"/>
          </w:tcPr>
          <w:p w:rsidR="003F3E3A" w:rsidRPr="00765C97" w:rsidRDefault="003F3E3A">
            <w:pPr>
              <w:ind w:right="91"/>
              <w:rPr>
                <w:rFonts w:ascii="Arial" w:hAnsi="Arial"/>
                <w:sz w:val="20"/>
                <w:lang w:val="pl-PL"/>
              </w:rPr>
            </w:pPr>
            <w:r w:rsidRPr="00765C97">
              <w:rPr>
                <w:rFonts w:ascii="Arial" w:hAnsi="Arial"/>
                <w:sz w:val="20"/>
                <w:lang w:val="pl-PL"/>
              </w:rPr>
              <w:t>zbycie</w:t>
            </w:r>
          </w:p>
        </w:tc>
        <w:tc>
          <w:tcPr>
            <w:tcW w:w="1995" w:type="dxa"/>
            <w:tcBorders>
              <w:top w:val="nil"/>
              <w:left w:val="nil"/>
              <w:right w:val="nil"/>
            </w:tcBorders>
            <w:vAlign w:val="center"/>
          </w:tcPr>
          <w:p w:rsidR="003F3E3A" w:rsidRPr="00765C97" w:rsidRDefault="003F3E3A" w:rsidP="00734BDD">
            <w:pPr>
              <w:ind w:right="81"/>
              <w:jc w:val="right"/>
              <w:rPr>
                <w:rFonts w:ascii="Arial" w:hAnsi="Arial" w:cs="Arial"/>
                <w:sz w:val="20"/>
                <w:szCs w:val="20"/>
                <w:lang w:val="pl-PL"/>
              </w:rPr>
            </w:pPr>
            <w:r w:rsidRPr="00765C97">
              <w:rPr>
                <w:rFonts w:ascii="Arial" w:hAnsi="Arial" w:cs="Arial"/>
                <w:sz w:val="20"/>
                <w:szCs w:val="20"/>
                <w:lang w:val="pl-PL"/>
              </w:rPr>
              <w:t>-</w:t>
            </w:r>
          </w:p>
        </w:tc>
        <w:tc>
          <w:tcPr>
            <w:tcW w:w="1995" w:type="dxa"/>
            <w:tcBorders>
              <w:top w:val="nil"/>
              <w:left w:val="nil"/>
              <w:right w:val="nil"/>
            </w:tcBorders>
            <w:vAlign w:val="center"/>
          </w:tcPr>
          <w:p w:rsidR="003F3E3A" w:rsidRPr="00765C97" w:rsidRDefault="003F3E3A" w:rsidP="00385F70">
            <w:pPr>
              <w:ind w:right="81"/>
              <w:jc w:val="right"/>
              <w:rPr>
                <w:rFonts w:ascii="Arial" w:eastAsia="Calibri" w:hAnsi="Arial" w:cs="Arial"/>
                <w:sz w:val="20"/>
                <w:szCs w:val="20"/>
              </w:rPr>
            </w:pPr>
            <w:r w:rsidRPr="00765C97">
              <w:rPr>
                <w:rFonts w:ascii="Arial" w:hAnsi="Arial" w:cs="Arial"/>
                <w:sz w:val="20"/>
                <w:szCs w:val="20"/>
              </w:rPr>
              <w:t>(1 063)</w:t>
            </w:r>
          </w:p>
        </w:tc>
      </w:tr>
      <w:tr w:rsidR="003F3E3A" w:rsidRPr="00765C97">
        <w:trPr>
          <w:trHeight w:hRule="exact" w:val="255"/>
        </w:trPr>
        <w:tc>
          <w:tcPr>
            <w:tcW w:w="2220" w:type="dxa"/>
            <w:tcBorders>
              <w:left w:val="nil"/>
              <w:bottom w:val="nil"/>
              <w:right w:val="nil"/>
            </w:tcBorders>
            <w:vAlign w:val="center"/>
          </w:tcPr>
          <w:p w:rsidR="003F3E3A" w:rsidRPr="00765C97" w:rsidRDefault="003F3E3A">
            <w:pPr>
              <w:ind w:right="91"/>
              <w:rPr>
                <w:rFonts w:ascii="Arial" w:hAnsi="Arial"/>
                <w:b/>
                <w:sz w:val="20"/>
                <w:lang w:val="pl-PL"/>
              </w:rPr>
            </w:pPr>
            <w:r w:rsidRPr="00765C97">
              <w:rPr>
                <w:rFonts w:ascii="Arial" w:hAnsi="Arial"/>
                <w:b/>
                <w:sz w:val="20"/>
                <w:lang w:val="pl-PL"/>
              </w:rPr>
              <w:t xml:space="preserve">Stan na koniec roku </w:t>
            </w:r>
          </w:p>
        </w:tc>
        <w:tc>
          <w:tcPr>
            <w:tcW w:w="1995" w:type="dxa"/>
            <w:tcBorders>
              <w:left w:val="nil"/>
              <w:right w:val="nil"/>
            </w:tcBorders>
            <w:vAlign w:val="center"/>
          </w:tcPr>
          <w:p w:rsidR="003F3E3A" w:rsidRPr="00765C97" w:rsidRDefault="003F3E3A" w:rsidP="00734BDD">
            <w:pPr>
              <w:ind w:right="81"/>
              <w:jc w:val="right"/>
              <w:rPr>
                <w:rFonts w:ascii="Arial" w:hAnsi="Arial" w:cs="Arial"/>
                <w:b/>
                <w:sz w:val="20"/>
                <w:szCs w:val="20"/>
                <w:lang w:val="pl-PL"/>
              </w:rPr>
            </w:pPr>
            <w:r w:rsidRPr="00765C97">
              <w:rPr>
                <w:rFonts w:ascii="Arial" w:hAnsi="Arial" w:cs="Arial"/>
                <w:b/>
                <w:sz w:val="20"/>
                <w:szCs w:val="20"/>
                <w:lang w:val="pl-PL"/>
              </w:rPr>
              <w:t>1 616</w:t>
            </w:r>
          </w:p>
        </w:tc>
        <w:tc>
          <w:tcPr>
            <w:tcW w:w="1995" w:type="dxa"/>
            <w:tcBorders>
              <w:left w:val="nil"/>
              <w:right w:val="nil"/>
            </w:tcBorders>
            <w:vAlign w:val="center"/>
          </w:tcPr>
          <w:p w:rsidR="003F3E3A" w:rsidRPr="00765C97" w:rsidRDefault="003F3E3A" w:rsidP="00385F70">
            <w:pPr>
              <w:ind w:right="81"/>
              <w:jc w:val="right"/>
              <w:rPr>
                <w:rFonts w:ascii="Arial" w:eastAsia="Calibri" w:hAnsi="Arial" w:cs="Arial"/>
                <w:b/>
                <w:bCs/>
                <w:sz w:val="20"/>
                <w:szCs w:val="20"/>
              </w:rPr>
            </w:pPr>
            <w:r w:rsidRPr="00765C97">
              <w:rPr>
                <w:rFonts w:ascii="Arial" w:hAnsi="Arial" w:cs="Arial"/>
                <w:b/>
                <w:bCs/>
                <w:sz w:val="20"/>
                <w:szCs w:val="20"/>
              </w:rPr>
              <w:t>1 521</w:t>
            </w:r>
          </w:p>
        </w:tc>
      </w:tr>
    </w:tbl>
    <w:p w:rsidR="00B24DA9" w:rsidRPr="00765C97" w:rsidRDefault="00B24DA9">
      <w:pPr>
        <w:tabs>
          <w:tab w:val="left" w:pos="8505"/>
        </w:tabs>
        <w:rPr>
          <w:rFonts w:ascii="Arial" w:hAnsi="Arial"/>
          <w:spacing w:val="-8"/>
          <w:sz w:val="20"/>
          <w:lang w:val="pl-PL"/>
        </w:rPr>
      </w:pPr>
    </w:p>
    <w:p w:rsidR="003F3E3A" w:rsidRPr="00765C97" w:rsidRDefault="003F3E3A" w:rsidP="003F3E3A">
      <w:pPr>
        <w:tabs>
          <w:tab w:val="left" w:pos="8505"/>
        </w:tabs>
        <w:jc w:val="both"/>
        <w:rPr>
          <w:rFonts w:ascii="Arial" w:hAnsi="Arial" w:cs="Arial"/>
          <w:sz w:val="20"/>
          <w:szCs w:val="20"/>
          <w:lang w:val="pl-PL"/>
        </w:rPr>
      </w:pPr>
      <w:r w:rsidRPr="00765C97">
        <w:rPr>
          <w:rFonts w:ascii="Arial" w:hAnsi="Arial" w:cs="Arial"/>
          <w:sz w:val="20"/>
          <w:szCs w:val="20"/>
          <w:lang w:val="pl-PL"/>
        </w:rPr>
        <w:t xml:space="preserve">W okresach objętych niniejszym raportem nie dokonywano odpisów z tytułu utraty wartości aktywów dostępnych do sprzedaży. </w:t>
      </w:r>
    </w:p>
    <w:p w:rsidR="003F3E3A" w:rsidRPr="00765C97" w:rsidRDefault="003F3E3A" w:rsidP="003F3E3A">
      <w:pPr>
        <w:tabs>
          <w:tab w:val="left" w:pos="8505"/>
        </w:tabs>
        <w:jc w:val="both"/>
        <w:rPr>
          <w:rFonts w:ascii="Arial" w:hAnsi="Arial" w:cs="Arial"/>
          <w:sz w:val="20"/>
          <w:szCs w:val="20"/>
          <w:lang w:val="pl-PL"/>
        </w:rPr>
      </w:pPr>
      <w:r w:rsidRPr="00765C97">
        <w:rPr>
          <w:rFonts w:ascii="Arial" w:hAnsi="Arial" w:cs="Arial"/>
          <w:sz w:val="20"/>
          <w:szCs w:val="20"/>
          <w:lang w:val="pl-PL"/>
        </w:rPr>
        <w:t>W dniu 31 grudnia 2012 r. na aktywa finansowe dostępne do sprzedaży składały się posiadane przez spółkę Comarch Management Sp. z o.o. Spółka Komandytowo-Akcyjna jednostki uczestnictwa w funduszu rynku pieniężnego i papierów dłużnych, nabyte jako lokata wolnych środków pieniężnych. Obrót jednostkami uczestnictwa odbywa się poza rynkiem regulowanym. Cena nabycia jednostek uczestnictwa wynosiła 1 403 tys. zł, wycena wg wartości godziwej na 31 grudnia 2012 r. wynosiła 1 616 tys. zł.</w:t>
      </w:r>
    </w:p>
    <w:p w:rsidR="00B24DA9" w:rsidRPr="00765C97" w:rsidRDefault="003F3E3A" w:rsidP="003F3E3A">
      <w:pPr>
        <w:tabs>
          <w:tab w:val="left" w:pos="8505"/>
        </w:tabs>
        <w:jc w:val="both"/>
        <w:rPr>
          <w:rFonts w:ascii="Arial" w:hAnsi="Arial"/>
          <w:sz w:val="20"/>
          <w:lang w:val="pl-PL"/>
        </w:rPr>
      </w:pPr>
      <w:r w:rsidRPr="00765C97">
        <w:rPr>
          <w:rFonts w:ascii="Arial" w:hAnsi="Arial"/>
          <w:spacing w:val="-2"/>
          <w:sz w:val="20"/>
          <w:lang w:val="pl-PL"/>
        </w:rPr>
        <w:t>Informacja na temat zamiaru zbycia aktywów finansowych dostępnych do sprzedaży: spółka Comarch Management Sp. z o.o. Spółka Komandytowo-Akcyjna zamierza zbyć posiadane aktywa finansowe dostępne do sprzedaży w ciągu 6 miesięcy od dnia bilansowego.</w:t>
      </w:r>
    </w:p>
    <w:p w:rsidR="00B24DA9" w:rsidRPr="00765C97" w:rsidRDefault="00B24DA9" w:rsidP="00135A9A">
      <w:pPr>
        <w:pStyle w:val="Nagwek3"/>
        <w:numPr>
          <w:ilvl w:val="1"/>
          <w:numId w:val="22"/>
        </w:numPr>
        <w:spacing w:after="240"/>
        <w:ind w:left="709" w:hanging="567"/>
        <w:rPr>
          <w:sz w:val="20"/>
          <w:lang w:val="pl-PL"/>
        </w:rPr>
      </w:pPr>
      <w:bookmarkStart w:id="54" w:name="_Toc353973219"/>
      <w:r w:rsidRPr="00765C97">
        <w:rPr>
          <w:sz w:val="20"/>
          <w:lang w:val="pl-PL"/>
        </w:rPr>
        <w:t>Pochodne instrumenty finansowe</w:t>
      </w:r>
      <w:bookmarkEnd w:id="54"/>
    </w:p>
    <w:tbl>
      <w:tblPr>
        <w:tblW w:w="8340" w:type="dxa"/>
        <w:tblInd w:w="180" w:type="dxa"/>
        <w:tblLayout w:type="fixed"/>
        <w:tblCellMar>
          <w:left w:w="0" w:type="dxa"/>
          <w:right w:w="0" w:type="dxa"/>
        </w:tblCellMar>
        <w:tblLook w:val="0000"/>
      </w:tblPr>
      <w:tblGrid>
        <w:gridCol w:w="2939"/>
        <w:gridCol w:w="992"/>
        <w:gridCol w:w="1701"/>
        <w:gridCol w:w="1134"/>
        <w:gridCol w:w="1574"/>
      </w:tblGrid>
      <w:tr w:rsidR="002D20FE" w:rsidRPr="00765C97" w:rsidTr="005D7C6A">
        <w:trPr>
          <w:trHeight w:val="255"/>
        </w:trPr>
        <w:tc>
          <w:tcPr>
            <w:tcW w:w="2939" w:type="dxa"/>
            <w:tcBorders>
              <w:top w:val="nil"/>
              <w:left w:val="nil"/>
              <w:bottom w:val="nil"/>
              <w:right w:val="nil"/>
            </w:tcBorders>
            <w:vAlign w:val="center"/>
          </w:tcPr>
          <w:p w:rsidR="002D20FE" w:rsidRPr="00765C97" w:rsidRDefault="002D20FE" w:rsidP="005D7C6A">
            <w:pPr>
              <w:spacing w:before="20" w:after="20"/>
              <w:ind w:left="1134"/>
              <w:rPr>
                <w:rFonts w:ascii="Arial" w:hAnsi="Arial"/>
                <w:sz w:val="20"/>
                <w:lang w:val="pl-PL"/>
              </w:rPr>
            </w:pPr>
          </w:p>
        </w:tc>
        <w:tc>
          <w:tcPr>
            <w:tcW w:w="2693" w:type="dxa"/>
            <w:gridSpan w:val="2"/>
            <w:tcBorders>
              <w:top w:val="nil"/>
              <w:left w:val="nil"/>
              <w:bottom w:val="single" w:sz="2" w:space="0" w:color="auto"/>
              <w:right w:val="nil"/>
            </w:tcBorders>
            <w:vAlign w:val="center"/>
          </w:tcPr>
          <w:p w:rsidR="002D20FE" w:rsidRPr="00765C97" w:rsidRDefault="002D20FE" w:rsidP="005D7C6A">
            <w:pPr>
              <w:spacing w:before="20" w:after="20"/>
              <w:ind w:right="129"/>
              <w:jc w:val="right"/>
              <w:rPr>
                <w:rFonts w:ascii="Arial" w:hAnsi="Arial"/>
                <w:b/>
                <w:sz w:val="20"/>
                <w:lang w:val="pl-PL"/>
              </w:rPr>
            </w:pPr>
            <w:r w:rsidRPr="00765C97">
              <w:rPr>
                <w:rFonts w:ascii="Arial" w:hAnsi="Arial"/>
                <w:b/>
                <w:sz w:val="20"/>
                <w:lang w:val="pl-PL"/>
              </w:rPr>
              <w:t>31 grudnia 2012 r.</w:t>
            </w:r>
          </w:p>
        </w:tc>
        <w:tc>
          <w:tcPr>
            <w:tcW w:w="2708" w:type="dxa"/>
            <w:gridSpan w:val="2"/>
            <w:tcBorders>
              <w:top w:val="nil"/>
              <w:left w:val="nil"/>
              <w:bottom w:val="single" w:sz="2" w:space="0" w:color="auto"/>
              <w:right w:val="nil"/>
            </w:tcBorders>
            <w:vAlign w:val="center"/>
          </w:tcPr>
          <w:p w:rsidR="002D20FE" w:rsidRPr="00765C97" w:rsidRDefault="002D20FE" w:rsidP="005D7C6A">
            <w:pPr>
              <w:spacing w:before="20" w:after="20"/>
              <w:ind w:right="129"/>
              <w:jc w:val="right"/>
              <w:rPr>
                <w:rFonts w:ascii="Arial" w:hAnsi="Arial"/>
                <w:b/>
                <w:sz w:val="20"/>
                <w:lang w:val="pl-PL"/>
              </w:rPr>
            </w:pPr>
            <w:r w:rsidRPr="00765C97">
              <w:rPr>
                <w:rFonts w:ascii="Arial" w:hAnsi="Arial"/>
                <w:b/>
                <w:sz w:val="20"/>
                <w:lang w:val="pl-PL"/>
              </w:rPr>
              <w:t>31 grudnia 2011 r.</w:t>
            </w:r>
          </w:p>
        </w:tc>
      </w:tr>
      <w:tr w:rsidR="002D20FE" w:rsidRPr="00765C97" w:rsidTr="00D457C3">
        <w:trPr>
          <w:trHeight w:val="255"/>
        </w:trPr>
        <w:tc>
          <w:tcPr>
            <w:tcW w:w="2939" w:type="dxa"/>
            <w:tcBorders>
              <w:top w:val="nil"/>
              <w:left w:val="nil"/>
              <w:bottom w:val="nil"/>
              <w:right w:val="nil"/>
            </w:tcBorders>
            <w:vAlign w:val="center"/>
          </w:tcPr>
          <w:p w:rsidR="002D20FE" w:rsidRPr="00765C97" w:rsidRDefault="002D20FE" w:rsidP="005D7C6A">
            <w:pPr>
              <w:spacing w:before="20" w:after="20"/>
              <w:ind w:left="1134"/>
              <w:rPr>
                <w:rFonts w:ascii="Arial" w:hAnsi="Arial"/>
                <w:sz w:val="20"/>
                <w:lang w:val="pl-PL"/>
              </w:rPr>
            </w:pPr>
          </w:p>
        </w:tc>
        <w:tc>
          <w:tcPr>
            <w:tcW w:w="2693" w:type="dxa"/>
            <w:gridSpan w:val="2"/>
            <w:tcBorders>
              <w:top w:val="single" w:sz="2" w:space="0" w:color="auto"/>
              <w:left w:val="nil"/>
              <w:right w:val="nil"/>
            </w:tcBorders>
            <w:vAlign w:val="center"/>
          </w:tcPr>
          <w:p w:rsidR="002D20FE" w:rsidRPr="00765C97" w:rsidRDefault="002D20FE" w:rsidP="005D7C6A">
            <w:pPr>
              <w:spacing w:before="20" w:after="20"/>
              <w:jc w:val="center"/>
              <w:rPr>
                <w:rFonts w:ascii="Arial" w:hAnsi="Arial"/>
                <w:b/>
                <w:sz w:val="20"/>
                <w:lang w:val="pl-PL"/>
              </w:rPr>
            </w:pPr>
            <w:r w:rsidRPr="00765C97">
              <w:rPr>
                <w:rFonts w:ascii="Arial" w:hAnsi="Arial"/>
                <w:b/>
                <w:sz w:val="20"/>
                <w:lang w:val="pl-PL"/>
              </w:rPr>
              <w:t>Aktywa      Zobowiązania</w:t>
            </w:r>
          </w:p>
        </w:tc>
        <w:tc>
          <w:tcPr>
            <w:tcW w:w="2708" w:type="dxa"/>
            <w:gridSpan w:val="2"/>
            <w:tcBorders>
              <w:top w:val="single" w:sz="2" w:space="0" w:color="auto"/>
              <w:left w:val="nil"/>
              <w:right w:val="nil"/>
            </w:tcBorders>
            <w:vAlign w:val="center"/>
          </w:tcPr>
          <w:p w:rsidR="002D20FE" w:rsidRPr="00765C97" w:rsidRDefault="002D20FE" w:rsidP="005D7C6A">
            <w:pPr>
              <w:spacing w:before="20" w:after="20"/>
              <w:jc w:val="center"/>
              <w:rPr>
                <w:rFonts w:ascii="Arial" w:hAnsi="Arial"/>
                <w:b/>
                <w:sz w:val="20"/>
                <w:lang w:val="pl-PL"/>
              </w:rPr>
            </w:pPr>
            <w:r w:rsidRPr="00765C97">
              <w:rPr>
                <w:rFonts w:ascii="Arial" w:hAnsi="Arial"/>
                <w:b/>
                <w:sz w:val="20"/>
                <w:lang w:val="pl-PL"/>
              </w:rPr>
              <w:t xml:space="preserve"> Aktywa     Zobowiązania</w:t>
            </w:r>
          </w:p>
        </w:tc>
      </w:tr>
      <w:tr w:rsidR="002D20FE" w:rsidRPr="00765C97" w:rsidTr="00D457C3">
        <w:trPr>
          <w:trHeight w:val="255"/>
        </w:trPr>
        <w:tc>
          <w:tcPr>
            <w:tcW w:w="2939" w:type="dxa"/>
            <w:tcBorders>
              <w:top w:val="nil"/>
              <w:left w:val="nil"/>
              <w:right w:val="nil"/>
            </w:tcBorders>
            <w:vAlign w:val="center"/>
          </w:tcPr>
          <w:p w:rsidR="002D20FE" w:rsidRPr="00765C97" w:rsidRDefault="002D20FE" w:rsidP="005D7C6A">
            <w:pPr>
              <w:spacing w:before="20" w:after="20"/>
              <w:rPr>
                <w:rFonts w:ascii="Arial" w:hAnsi="Arial"/>
                <w:sz w:val="20"/>
                <w:lang w:val="pl-PL"/>
              </w:rPr>
            </w:pPr>
            <w:r w:rsidRPr="00765C97">
              <w:rPr>
                <w:rFonts w:ascii="Arial" w:hAnsi="Arial"/>
                <w:sz w:val="20"/>
                <w:lang w:val="pl-PL"/>
              </w:rPr>
              <w:t>Terminowe kontrakty walutowe – przeznaczone do obrotu</w:t>
            </w:r>
          </w:p>
        </w:tc>
        <w:tc>
          <w:tcPr>
            <w:tcW w:w="992" w:type="dxa"/>
            <w:tcBorders>
              <w:top w:val="nil"/>
              <w:left w:val="nil"/>
              <w:right w:val="nil"/>
            </w:tcBorders>
            <w:vAlign w:val="center"/>
          </w:tcPr>
          <w:p w:rsidR="002D20FE" w:rsidRPr="00765C97" w:rsidRDefault="002C008C" w:rsidP="005D7C6A">
            <w:pPr>
              <w:spacing w:before="20" w:after="20"/>
              <w:ind w:right="142"/>
              <w:jc w:val="right"/>
              <w:rPr>
                <w:rFonts w:ascii="Arial" w:hAnsi="Arial"/>
                <w:sz w:val="20"/>
                <w:lang w:val="pl-PL"/>
              </w:rPr>
            </w:pPr>
            <w:r w:rsidRPr="00765C97">
              <w:rPr>
                <w:rFonts w:ascii="Arial" w:hAnsi="Arial"/>
                <w:sz w:val="20"/>
                <w:lang w:val="pl-PL"/>
              </w:rPr>
              <w:t>1 059</w:t>
            </w:r>
          </w:p>
        </w:tc>
        <w:tc>
          <w:tcPr>
            <w:tcW w:w="1701" w:type="dxa"/>
            <w:tcBorders>
              <w:top w:val="nil"/>
              <w:left w:val="nil"/>
              <w:right w:val="nil"/>
            </w:tcBorders>
            <w:vAlign w:val="center"/>
          </w:tcPr>
          <w:p w:rsidR="002D20FE" w:rsidRPr="00765C97" w:rsidRDefault="002C008C" w:rsidP="005D7C6A">
            <w:pPr>
              <w:spacing w:before="20" w:after="20"/>
              <w:ind w:right="142"/>
              <w:jc w:val="right"/>
              <w:rPr>
                <w:rFonts w:ascii="Arial" w:hAnsi="Arial"/>
                <w:sz w:val="20"/>
                <w:lang w:val="pl-PL"/>
              </w:rPr>
            </w:pPr>
            <w:r w:rsidRPr="00765C97">
              <w:rPr>
                <w:rFonts w:ascii="Arial" w:hAnsi="Arial"/>
                <w:sz w:val="20"/>
                <w:lang w:val="pl-PL"/>
              </w:rPr>
              <w:t>-</w:t>
            </w:r>
          </w:p>
        </w:tc>
        <w:tc>
          <w:tcPr>
            <w:tcW w:w="1134" w:type="dxa"/>
            <w:tcBorders>
              <w:top w:val="nil"/>
              <w:left w:val="nil"/>
              <w:right w:val="nil"/>
            </w:tcBorders>
            <w:vAlign w:val="center"/>
          </w:tcPr>
          <w:p w:rsidR="002D20FE" w:rsidRPr="00765C97" w:rsidRDefault="002D20FE" w:rsidP="005D7C6A">
            <w:pPr>
              <w:spacing w:before="20" w:after="20"/>
              <w:ind w:right="142"/>
              <w:jc w:val="right"/>
              <w:rPr>
                <w:rFonts w:ascii="Arial" w:hAnsi="Arial"/>
                <w:sz w:val="20"/>
                <w:lang w:val="pl-PL"/>
              </w:rPr>
            </w:pPr>
            <w:r w:rsidRPr="00765C97">
              <w:rPr>
                <w:rFonts w:ascii="Arial" w:hAnsi="Arial"/>
                <w:sz w:val="20"/>
                <w:lang w:val="pl-PL"/>
              </w:rPr>
              <w:t>-</w:t>
            </w:r>
          </w:p>
        </w:tc>
        <w:tc>
          <w:tcPr>
            <w:tcW w:w="1574" w:type="dxa"/>
            <w:tcBorders>
              <w:top w:val="nil"/>
              <w:left w:val="nil"/>
              <w:right w:val="nil"/>
            </w:tcBorders>
            <w:vAlign w:val="center"/>
          </w:tcPr>
          <w:p w:rsidR="002D20FE" w:rsidRPr="00765C97" w:rsidRDefault="002D20FE" w:rsidP="005D7C6A">
            <w:pPr>
              <w:spacing w:before="20" w:after="20"/>
              <w:ind w:right="142"/>
              <w:jc w:val="right"/>
              <w:rPr>
                <w:rFonts w:ascii="Arial" w:hAnsi="Arial"/>
                <w:sz w:val="20"/>
                <w:lang w:val="pl-PL"/>
              </w:rPr>
            </w:pPr>
            <w:r w:rsidRPr="00765C97">
              <w:rPr>
                <w:rFonts w:ascii="Arial" w:hAnsi="Arial"/>
                <w:sz w:val="20"/>
                <w:lang w:val="pl-PL"/>
              </w:rPr>
              <w:t>686</w:t>
            </w:r>
          </w:p>
        </w:tc>
      </w:tr>
      <w:tr w:rsidR="002D20FE" w:rsidRPr="00765C97" w:rsidTr="005D7C6A">
        <w:trPr>
          <w:trHeight w:val="255"/>
        </w:trPr>
        <w:tc>
          <w:tcPr>
            <w:tcW w:w="2939" w:type="dxa"/>
            <w:tcBorders>
              <w:left w:val="nil"/>
              <w:right w:val="nil"/>
            </w:tcBorders>
            <w:vAlign w:val="center"/>
          </w:tcPr>
          <w:p w:rsidR="002D20FE" w:rsidRPr="00765C97" w:rsidRDefault="002D20FE" w:rsidP="005D7C6A">
            <w:pPr>
              <w:spacing w:before="20" w:after="20"/>
              <w:rPr>
                <w:rFonts w:ascii="Arial" w:hAnsi="Arial"/>
                <w:i/>
                <w:sz w:val="20"/>
                <w:lang w:val="pl-PL"/>
              </w:rPr>
            </w:pPr>
          </w:p>
        </w:tc>
        <w:tc>
          <w:tcPr>
            <w:tcW w:w="992" w:type="dxa"/>
            <w:tcBorders>
              <w:top w:val="single" w:sz="4" w:space="0" w:color="auto"/>
              <w:left w:val="nil"/>
              <w:bottom w:val="single" w:sz="4" w:space="0" w:color="auto"/>
              <w:right w:val="nil"/>
            </w:tcBorders>
            <w:vAlign w:val="center"/>
          </w:tcPr>
          <w:p w:rsidR="002D20FE" w:rsidRPr="00765C97" w:rsidRDefault="002C008C" w:rsidP="005D7C6A">
            <w:pPr>
              <w:spacing w:before="20" w:after="20"/>
              <w:ind w:right="142"/>
              <w:jc w:val="right"/>
              <w:rPr>
                <w:rFonts w:ascii="Arial" w:hAnsi="Arial"/>
                <w:b/>
                <w:sz w:val="20"/>
                <w:lang w:val="pl-PL"/>
              </w:rPr>
            </w:pPr>
            <w:r w:rsidRPr="00765C97">
              <w:rPr>
                <w:rFonts w:ascii="Arial" w:hAnsi="Arial"/>
                <w:b/>
                <w:sz w:val="20"/>
                <w:lang w:val="pl-PL"/>
              </w:rPr>
              <w:t>1 059</w:t>
            </w:r>
          </w:p>
        </w:tc>
        <w:tc>
          <w:tcPr>
            <w:tcW w:w="1701" w:type="dxa"/>
            <w:tcBorders>
              <w:top w:val="single" w:sz="4" w:space="0" w:color="auto"/>
              <w:left w:val="nil"/>
              <w:bottom w:val="single" w:sz="4" w:space="0" w:color="auto"/>
              <w:right w:val="nil"/>
            </w:tcBorders>
            <w:vAlign w:val="center"/>
          </w:tcPr>
          <w:p w:rsidR="002D20FE" w:rsidRPr="00765C97" w:rsidRDefault="004531EF" w:rsidP="005D7C6A">
            <w:pPr>
              <w:spacing w:before="20" w:after="20"/>
              <w:ind w:right="142"/>
              <w:jc w:val="right"/>
              <w:rPr>
                <w:rFonts w:ascii="Arial" w:hAnsi="Arial"/>
                <w:b/>
                <w:sz w:val="20"/>
                <w:lang w:val="pl-PL"/>
              </w:rPr>
            </w:pPr>
            <w:r w:rsidRPr="00765C97">
              <w:rPr>
                <w:rFonts w:ascii="Arial" w:hAnsi="Arial"/>
                <w:b/>
                <w:sz w:val="20"/>
                <w:lang w:val="pl-PL"/>
              </w:rPr>
              <w:t>-</w:t>
            </w:r>
          </w:p>
        </w:tc>
        <w:tc>
          <w:tcPr>
            <w:tcW w:w="1134" w:type="dxa"/>
            <w:tcBorders>
              <w:top w:val="single" w:sz="4" w:space="0" w:color="auto"/>
              <w:left w:val="nil"/>
              <w:bottom w:val="single" w:sz="4" w:space="0" w:color="auto"/>
              <w:right w:val="nil"/>
            </w:tcBorders>
            <w:vAlign w:val="center"/>
          </w:tcPr>
          <w:p w:rsidR="002D20FE" w:rsidRPr="00765C97" w:rsidRDefault="002D20FE" w:rsidP="005D7C6A">
            <w:pPr>
              <w:spacing w:before="20" w:after="20"/>
              <w:ind w:right="142"/>
              <w:jc w:val="right"/>
              <w:rPr>
                <w:rFonts w:ascii="Arial" w:hAnsi="Arial"/>
                <w:b/>
                <w:sz w:val="20"/>
                <w:lang w:val="pl-PL"/>
              </w:rPr>
            </w:pPr>
            <w:r w:rsidRPr="00765C97">
              <w:rPr>
                <w:rFonts w:ascii="Arial" w:hAnsi="Arial"/>
                <w:b/>
                <w:sz w:val="20"/>
                <w:lang w:val="pl-PL"/>
              </w:rPr>
              <w:t>-</w:t>
            </w:r>
          </w:p>
        </w:tc>
        <w:tc>
          <w:tcPr>
            <w:tcW w:w="1574" w:type="dxa"/>
            <w:tcBorders>
              <w:top w:val="single" w:sz="4" w:space="0" w:color="auto"/>
              <w:left w:val="nil"/>
              <w:bottom w:val="single" w:sz="4" w:space="0" w:color="auto"/>
              <w:right w:val="nil"/>
            </w:tcBorders>
            <w:vAlign w:val="center"/>
          </w:tcPr>
          <w:p w:rsidR="002D20FE" w:rsidRPr="00765C97" w:rsidRDefault="002D20FE" w:rsidP="005D7C6A">
            <w:pPr>
              <w:spacing w:before="20" w:after="20"/>
              <w:ind w:right="142"/>
              <w:jc w:val="right"/>
              <w:rPr>
                <w:rFonts w:ascii="Arial" w:hAnsi="Arial"/>
                <w:b/>
                <w:sz w:val="20"/>
                <w:lang w:val="pl-PL"/>
              </w:rPr>
            </w:pPr>
            <w:r w:rsidRPr="00765C97">
              <w:rPr>
                <w:rFonts w:ascii="Arial" w:hAnsi="Arial"/>
                <w:b/>
                <w:sz w:val="20"/>
                <w:lang w:val="pl-PL"/>
              </w:rPr>
              <w:t>686</w:t>
            </w:r>
          </w:p>
        </w:tc>
      </w:tr>
      <w:tr w:rsidR="002D20FE" w:rsidRPr="00765C97" w:rsidTr="005D7C6A">
        <w:trPr>
          <w:trHeight w:val="255"/>
        </w:trPr>
        <w:tc>
          <w:tcPr>
            <w:tcW w:w="2939" w:type="dxa"/>
            <w:tcBorders>
              <w:left w:val="nil"/>
              <w:right w:val="nil"/>
            </w:tcBorders>
            <w:vAlign w:val="center"/>
          </w:tcPr>
          <w:p w:rsidR="002D20FE" w:rsidRPr="00765C97" w:rsidRDefault="002D20FE" w:rsidP="005D7C6A">
            <w:pPr>
              <w:spacing w:before="20" w:after="20"/>
              <w:rPr>
                <w:rFonts w:ascii="Arial" w:hAnsi="Arial"/>
                <w:i/>
                <w:sz w:val="20"/>
                <w:lang w:val="pl-PL"/>
              </w:rPr>
            </w:pPr>
            <w:r w:rsidRPr="00765C97">
              <w:rPr>
                <w:rFonts w:ascii="Arial" w:hAnsi="Arial"/>
                <w:i/>
                <w:sz w:val="20"/>
                <w:lang w:val="pl-PL"/>
              </w:rPr>
              <w:t>Część krótkoterminowa</w:t>
            </w:r>
          </w:p>
        </w:tc>
        <w:tc>
          <w:tcPr>
            <w:tcW w:w="992" w:type="dxa"/>
            <w:tcBorders>
              <w:top w:val="single" w:sz="4" w:space="0" w:color="auto"/>
              <w:left w:val="nil"/>
              <w:right w:val="nil"/>
            </w:tcBorders>
            <w:vAlign w:val="center"/>
          </w:tcPr>
          <w:p w:rsidR="002D20FE" w:rsidRPr="00765C97" w:rsidRDefault="002C008C" w:rsidP="005D7C6A">
            <w:pPr>
              <w:spacing w:before="20" w:after="20"/>
              <w:ind w:right="142"/>
              <w:jc w:val="right"/>
              <w:rPr>
                <w:rFonts w:ascii="Arial" w:hAnsi="Arial"/>
                <w:i/>
                <w:sz w:val="20"/>
                <w:lang w:val="pl-PL"/>
              </w:rPr>
            </w:pPr>
            <w:r w:rsidRPr="00765C97">
              <w:rPr>
                <w:rFonts w:ascii="Arial" w:hAnsi="Arial"/>
                <w:i/>
                <w:sz w:val="20"/>
                <w:lang w:val="pl-PL"/>
              </w:rPr>
              <w:t>1 059</w:t>
            </w:r>
          </w:p>
        </w:tc>
        <w:tc>
          <w:tcPr>
            <w:tcW w:w="1701" w:type="dxa"/>
            <w:tcBorders>
              <w:top w:val="single" w:sz="4" w:space="0" w:color="auto"/>
              <w:left w:val="nil"/>
              <w:right w:val="nil"/>
            </w:tcBorders>
            <w:vAlign w:val="center"/>
          </w:tcPr>
          <w:p w:rsidR="002D20FE" w:rsidRPr="00765C97" w:rsidRDefault="004531EF" w:rsidP="002C008C">
            <w:pPr>
              <w:spacing w:before="20" w:after="20"/>
              <w:ind w:right="142"/>
              <w:jc w:val="right"/>
              <w:rPr>
                <w:rFonts w:ascii="Arial" w:hAnsi="Arial"/>
                <w:i/>
                <w:sz w:val="20"/>
                <w:lang w:val="pl-PL"/>
              </w:rPr>
            </w:pPr>
            <w:r w:rsidRPr="00765C97">
              <w:rPr>
                <w:rFonts w:ascii="Arial" w:hAnsi="Arial"/>
                <w:i/>
                <w:sz w:val="20"/>
                <w:lang w:val="pl-PL"/>
              </w:rPr>
              <w:t>-</w:t>
            </w:r>
          </w:p>
        </w:tc>
        <w:tc>
          <w:tcPr>
            <w:tcW w:w="1134" w:type="dxa"/>
            <w:tcBorders>
              <w:top w:val="single" w:sz="4" w:space="0" w:color="auto"/>
              <w:left w:val="nil"/>
              <w:right w:val="nil"/>
            </w:tcBorders>
            <w:vAlign w:val="center"/>
          </w:tcPr>
          <w:p w:rsidR="002D20FE" w:rsidRPr="00765C97" w:rsidRDefault="002D20FE" w:rsidP="005D7C6A">
            <w:pPr>
              <w:spacing w:before="20" w:after="20"/>
              <w:ind w:right="142"/>
              <w:jc w:val="right"/>
              <w:rPr>
                <w:rFonts w:ascii="Arial" w:hAnsi="Arial"/>
                <w:i/>
                <w:sz w:val="20"/>
                <w:lang w:val="pl-PL"/>
              </w:rPr>
            </w:pPr>
            <w:r w:rsidRPr="00765C97">
              <w:rPr>
                <w:rFonts w:ascii="Arial" w:hAnsi="Arial"/>
                <w:i/>
                <w:sz w:val="20"/>
                <w:lang w:val="pl-PL"/>
              </w:rPr>
              <w:t>-</w:t>
            </w:r>
          </w:p>
        </w:tc>
        <w:tc>
          <w:tcPr>
            <w:tcW w:w="1574" w:type="dxa"/>
            <w:tcBorders>
              <w:top w:val="single" w:sz="4" w:space="0" w:color="auto"/>
              <w:left w:val="nil"/>
              <w:right w:val="nil"/>
            </w:tcBorders>
            <w:vAlign w:val="center"/>
          </w:tcPr>
          <w:p w:rsidR="002D20FE" w:rsidRPr="00765C97" w:rsidRDefault="002D20FE" w:rsidP="005D7C6A">
            <w:pPr>
              <w:spacing w:before="20" w:after="20"/>
              <w:ind w:right="142"/>
              <w:jc w:val="right"/>
              <w:rPr>
                <w:rFonts w:ascii="Arial" w:hAnsi="Arial"/>
                <w:i/>
                <w:sz w:val="20"/>
                <w:lang w:val="pl-PL"/>
              </w:rPr>
            </w:pPr>
            <w:r w:rsidRPr="00765C97">
              <w:rPr>
                <w:rFonts w:ascii="Arial" w:hAnsi="Arial"/>
                <w:i/>
                <w:sz w:val="20"/>
                <w:lang w:val="pl-PL"/>
              </w:rPr>
              <w:t>686</w:t>
            </w:r>
          </w:p>
        </w:tc>
      </w:tr>
    </w:tbl>
    <w:p w:rsidR="00B24DA9" w:rsidRPr="00765C97" w:rsidRDefault="00B24DA9">
      <w:pPr>
        <w:ind w:left="180" w:right="21"/>
        <w:jc w:val="both"/>
        <w:rPr>
          <w:rFonts w:ascii="Arial" w:hAnsi="Arial"/>
          <w:sz w:val="20"/>
          <w:lang w:val="pl-PL"/>
        </w:rPr>
      </w:pPr>
    </w:p>
    <w:p w:rsidR="00B24DA9" w:rsidRPr="00765C97" w:rsidRDefault="00D340EE" w:rsidP="000428B8">
      <w:pPr>
        <w:pStyle w:val="Tekstpodstawowywcity3"/>
        <w:autoSpaceDE/>
        <w:autoSpaceDN/>
        <w:ind w:left="0" w:right="21"/>
        <w:jc w:val="both"/>
        <w:rPr>
          <w:rFonts w:ascii="Arial" w:hAnsi="Arial" w:cs="Arial"/>
          <w:sz w:val="20"/>
          <w:szCs w:val="20"/>
          <w:lang w:val="pl-PL"/>
        </w:rPr>
      </w:pPr>
      <w:r w:rsidRPr="00765C97">
        <w:rPr>
          <w:rFonts w:ascii="Arial" w:hAnsi="Arial" w:cs="Arial"/>
          <w:sz w:val="20"/>
          <w:szCs w:val="20"/>
          <w:lang w:val="pl-PL"/>
        </w:rPr>
        <w:t xml:space="preserve">Grupa posiadała kontrakty terminowe typu forward zawarte w celu ograniczenia wpływu na wynik finansowy zmian w przepływach pieniężnych związanych z uprawdopodobnionymi planowanymi transakcjami, wynikających z ryzyka zmiany kursów walut. Na dzień 31 grudnia 2012 r. ww. instrumenty zostały wycenione w wartości godziwej ustalonej wg ceny rynkowej a zmiany w wycenie zostały odniesione na wynik z operacji finansowych. Łączna wartość netto kontraktów forward otwartych na dzień 31 grudnia 2012 r. wyniosła 2 300 tys. EUR oraz </w:t>
      </w:r>
      <w:r w:rsidRPr="00765C97">
        <w:rPr>
          <w:rFonts w:ascii="Arial" w:hAnsi="Arial" w:cs="Arial"/>
          <w:sz w:val="20"/>
          <w:szCs w:val="20"/>
          <w:lang w:val="pl-PL"/>
        </w:rPr>
        <w:br/>
        <w:t>900 tys. USD. Po dacie bilansu Grupa Comarch zawarła kontrakty forward na sprzedaż 6 734 tys. EUR i 500 tys. USD oraz na kupno 1 600 tys. EUR.</w:t>
      </w:r>
    </w:p>
    <w:p w:rsidR="00582C28" w:rsidRPr="00765C97" w:rsidRDefault="00B24DA9" w:rsidP="00135A9A">
      <w:pPr>
        <w:pStyle w:val="Nagwek3"/>
        <w:numPr>
          <w:ilvl w:val="1"/>
          <w:numId w:val="22"/>
        </w:numPr>
        <w:spacing w:after="240"/>
        <w:ind w:left="709" w:hanging="567"/>
        <w:rPr>
          <w:spacing w:val="-1"/>
          <w:sz w:val="20"/>
          <w:lang w:val="pl-PL"/>
        </w:rPr>
      </w:pPr>
      <w:bookmarkStart w:id="55" w:name="_Toc353973220"/>
      <w:r w:rsidRPr="00765C97">
        <w:rPr>
          <w:sz w:val="20"/>
          <w:lang w:val="pl-PL"/>
        </w:rPr>
        <w:t>Należ</w:t>
      </w:r>
      <w:r w:rsidR="00582C28" w:rsidRPr="00765C97">
        <w:rPr>
          <w:sz w:val="20"/>
          <w:lang w:val="pl-PL"/>
        </w:rPr>
        <w:t>ności handlowe oraz pozostałe należności</w:t>
      </w:r>
      <w:bookmarkEnd w:id="55"/>
      <w:r w:rsidR="00582C28" w:rsidRPr="00765C97">
        <w:rPr>
          <w:sz w:val="20"/>
          <w:lang w:val="pl-PL"/>
        </w:rPr>
        <w:tab/>
      </w:r>
    </w:p>
    <w:tbl>
      <w:tblPr>
        <w:tblW w:w="0" w:type="auto"/>
        <w:tblInd w:w="288" w:type="dxa"/>
        <w:tblLayout w:type="fixed"/>
        <w:tblLook w:val="0000"/>
      </w:tblPr>
      <w:tblGrid>
        <w:gridCol w:w="4260"/>
        <w:gridCol w:w="2160"/>
        <w:gridCol w:w="1920"/>
      </w:tblGrid>
      <w:tr w:rsidR="00582C28" w:rsidRPr="00765C97">
        <w:trPr>
          <w:trHeight w:val="255"/>
        </w:trPr>
        <w:tc>
          <w:tcPr>
            <w:tcW w:w="4260" w:type="dxa"/>
            <w:vAlign w:val="center"/>
          </w:tcPr>
          <w:p w:rsidR="00582C28" w:rsidRPr="00765C97" w:rsidRDefault="00582C28" w:rsidP="001C7834">
            <w:pPr>
              <w:rPr>
                <w:rFonts w:ascii="Arial" w:hAnsi="Arial"/>
                <w:sz w:val="20"/>
                <w:lang w:val="pl-PL"/>
              </w:rPr>
            </w:pPr>
          </w:p>
        </w:tc>
        <w:tc>
          <w:tcPr>
            <w:tcW w:w="2160" w:type="dxa"/>
            <w:vAlign w:val="center"/>
          </w:tcPr>
          <w:p w:rsidR="00582C28" w:rsidRPr="00765C97" w:rsidRDefault="00582C28" w:rsidP="0071614D">
            <w:pPr>
              <w:jc w:val="right"/>
              <w:rPr>
                <w:rFonts w:ascii="Arial" w:hAnsi="Arial"/>
                <w:sz w:val="20"/>
                <w:lang w:val="pl-PL"/>
              </w:rPr>
            </w:pPr>
            <w:r w:rsidRPr="00765C97">
              <w:rPr>
                <w:rFonts w:ascii="Arial" w:hAnsi="Arial"/>
                <w:b/>
                <w:sz w:val="20"/>
                <w:lang w:val="pl-PL"/>
              </w:rPr>
              <w:t>31 grudnia 20</w:t>
            </w:r>
            <w:r w:rsidR="00B0017E" w:rsidRPr="00765C97">
              <w:rPr>
                <w:rFonts w:ascii="Arial" w:hAnsi="Arial"/>
                <w:b/>
                <w:sz w:val="20"/>
                <w:lang w:val="pl-PL"/>
              </w:rPr>
              <w:t>1</w:t>
            </w:r>
            <w:r w:rsidR="00385F70" w:rsidRPr="00765C97">
              <w:rPr>
                <w:rFonts w:ascii="Arial" w:hAnsi="Arial"/>
                <w:b/>
                <w:sz w:val="20"/>
                <w:lang w:val="pl-PL"/>
              </w:rPr>
              <w:t>2</w:t>
            </w:r>
            <w:r w:rsidRPr="00765C97">
              <w:rPr>
                <w:rFonts w:ascii="Arial" w:hAnsi="Arial"/>
                <w:b/>
                <w:sz w:val="20"/>
                <w:lang w:val="pl-PL"/>
              </w:rPr>
              <w:t xml:space="preserve"> r.</w:t>
            </w:r>
          </w:p>
        </w:tc>
        <w:tc>
          <w:tcPr>
            <w:tcW w:w="1920" w:type="dxa"/>
            <w:vAlign w:val="center"/>
          </w:tcPr>
          <w:p w:rsidR="00582C28" w:rsidRPr="00765C97" w:rsidRDefault="00582C28" w:rsidP="0071614D">
            <w:pPr>
              <w:spacing w:line="180" w:lineRule="atLeast"/>
              <w:jc w:val="right"/>
              <w:rPr>
                <w:rFonts w:ascii="Arial" w:hAnsi="Arial"/>
                <w:sz w:val="20"/>
                <w:lang w:val="pl-PL"/>
              </w:rPr>
            </w:pPr>
            <w:r w:rsidRPr="00765C97">
              <w:rPr>
                <w:rFonts w:ascii="Arial" w:hAnsi="Arial"/>
                <w:b/>
                <w:sz w:val="20"/>
                <w:lang w:val="pl-PL"/>
              </w:rPr>
              <w:t>31 grudnia 20</w:t>
            </w:r>
            <w:r w:rsidR="00385F70" w:rsidRPr="00765C97">
              <w:rPr>
                <w:rFonts w:ascii="Arial" w:hAnsi="Arial"/>
                <w:b/>
                <w:sz w:val="20"/>
                <w:lang w:val="pl-PL"/>
              </w:rPr>
              <w:t>11</w:t>
            </w:r>
            <w:r w:rsidRPr="00765C97">
              <w:rPr>
                <w:rFonts w:ascii="Arial" w:hAnsi="Arial"/>
                <w:b/>
                <w:sz w:val="20"/>
                <w:lang w:val="pl-PL"/>
              </w:rPr>
              <w:t xml:space="preserve"> r.</w:t>
            </w:r>
          </w:p>
        </w:tc>
      </w:tr>
      <w:tr w:rsidR="00385F70" w:rsidRPr="00765C97">
        <w:trPr>
          <w:trHeight w:val="255"/>
        </w:trPr>
        <w:tc>
          <w:tcPr>
            <w:tcW w:w="4260" w:type="dxa"/>
            <w:vAlign w:val="center"/>
          </w:tcPr>
          <w:p w:rsidR="00385F70" w:rsidRPr="00765C97" w:rsidRDefault="00385F70" w:rsidP="001C7834">
            <w:pPr>
              <w:rPr>
                <w:rFonts w:ascii="Arial" w:hAnsi="Arial"/>
                <w:sz w:val="20"/>
                <w:lang w:val="pl-PL"/>
              </w:rPr>
            </w:pPr>
            <w:r w:rsidRPr="00765C97">
              <w:rPr>
                <w:rFonts w:ascii="Arial" w:hAnsi="Arial"/>
                <w:sz w:val="20"/>
                <w:lang w:val="pl-PL"/>
              </w:rPr>
              <w:t>Należności handlowe</w:t>
            </w:r>
          </w:p>
        </w:tc>
        <w:tc>
          <w:tcPr>
            <w:tcW w:w="2160" w:type="dxa"/>
            <w:vAlign w:val="center"/>
          </w:tcPr>
          <w:p w:rsidR="00385F70" w:rsidRPr="00765C97" w:rsidRDefault="002C008C" w:rsidP="00BD7799">
            <w:pPr>
              <w:jc w:val="right"/>
              <w:rPr>
                <w:rFonts w:ascii="Arial" w:hAnsi="Arial"/>
                <w:sz w:val="20"/>
                <w:lang w:val="pl-PL"/>
              </w:rPr>
            </w:pPr>
            <w:r w:rsidRPr="00765C97">
              <w:rPr>
                <w:rFonts w:ascii="Arial" w:hAnsi="Arial"/>
                <w:sz w:val="20"/>
                <w:lang w:val="pl-PL"/>
              </w:rPr>
              <w:t>3</w:t>
            </w:r>
            <w:r w:rsidR="00EB2E8D" w:rsidRPr="00765C97">
              <w:rPr>
                <w:rFonts w:ascii="Arial" w:hAnsi="Arial"/>
                <w:sz w:val="20"/>
                <w:lang w:val="pl-PL"/>
              </w:rPr>
              <w:t>73 607</w:t>
            </w:r>
          </w:p>
        </w:tc>
        <w:tc>
          <w:tcPr>
            <w:tcW w:w="1920" w:type="dxa"/>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287 953</w:t>
            </w:r>
          </w:p>
        </w:tc>
      </w:tr>
      <w:tr w:rsidR="00385F70" w:rsidRPr="00765C97">
        <w:trPr>
          <w:trHeight w:val="255"/>
        </w:trPr>
        <w:tc>
          <w:tcPr>
            <w:tcW w:w="4260" w:type="dxa"/>
            <w:vAlign w:val="center"/>
          </w:tcPr>
          <w:p w:rsidR="00385F70" w:rsidRPr="00765C97" w:rsidRDefault="00385F70" w:rsidP="001C7834">
            <w:pPr>
              <w:rPr>
                <w:rFonts w:ascii="Arial" w:hAnsi="Arial"/>
                <w:sz w:val="20"/>
                <w:lang w:val="pl-PL"/>
              </w:rPr>
            </w:pPr>
            <w:r w:rsidRPr="00765C97">
              <w:rPr>
                <w:rFonts w:ascii="Arial" w:hAnsi="Arial"/>
                <w:sz w:val="20"/>
                <w:lang w:val="pl-PL"/>
              </w:rPr>
              <w:t>Minus odpis aktualizujący wartość należności</w:t>
            </w:r>
          </w:p>
        </w:tc>
        <w:tc>
          <w:tcPr>
            <w:tcW w:w="2160" w:type="dxa"/>
            <w:tcBorders>
              <w:bottom w:val="single" w:sz="4" w:space="0" w:color="auto"/>
            </w:tcBorders>
            <w:vAlign w:val="center"/>
          </w:tcPr>
          <w:p w:rsidR="00385F70" w:rsidRPr="00765C97" w:rsidRDefault="002C008C" w:rsidP="00BD7799">
            <w:pPr>
              <w:jc w:val="right"/>
              <w:rPr>
                <w:rFonts w:ascii="Arial" w:hAnsi="Arial"/>
                <w:sz w:val="20"/>
                <w:lang w:val="pl-PL"/>
              </w:rPr>
            </w:pPr>
            <w:r w:rsidRPr="00765C97">
              <w:rPr>
                <w:rFonts w:ascii="Arial" w:hAnsi="Arial"/>
                <w:sz w:val="20"/>
                <w:lang w:val="pl-PL"/>
              </w:rPr>
              <w:t>(10 163)</w:t>
            </w:r>
          </w:p>
        </w:tc>
        <w:tc>
          <w:tcPr>
            <w:tcW w:w="1920" w:type="dxa"/>
            <w:tcBorders>
              <w:bottom w:val="single" w:sz="4" w:space="0" w:color="auto"/>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(22 698)</w:t>
            </w:r>
          </w:p>
        </w:tc>
      </w:tr>
      <w:tr w:rsidR="00385F70" w:rsidRPr="00765C97">
        <w:trPr>
          <w:trHeight w:val="255"/>
        </w:trPr>
        <w:tc>
          <w:tcPr>
            <w:tcW w:w="4260" w:type="dxa"/>
            <w:vAlign w:val="center"/>
          </w:tcPr>
          <w:p w:rsidR="00385F70" w:rsidRPr="00765C97" w:rsidRDefault="00385F70" w:rsidP="001C7834">
            <w:pPr>
              <w:rPr>
                <w:rFonts w:ascii="Arial" w:hAnsi="Arial"/>
                <w:sz w:val="20"/>
                <w:lang w:val="pl-PL"/>
              </w:rPr>
            </w:pPr>
            <w:r w:rsidRPr="00765C97">
              <w:rPr>
                <w:rFonts w:ascii="Arial" w:hAnsi="Arial"/>
                <w:sz w:val="20"/>
                <w:lang w:val="pl-PL"/>
              </w:rPr>
              <w:t>Należności handlowe netto</w:t>
            </w:r>
          </w:p>
        </w:tc>
        <w:tc>
          <w:tcPr>
            <w:tcW w:w="2160" w:type="dxa"/>
            <w:tcBorders>
              <w:top w:val="single" w:sz="4" w:space="0" w:color="auto"/>
            </w:tcBorders>
            <w:vAlign w:val="center"/>
          </w:tcPr>
          <w:p w:rsidR="00385F70" w:rsidRPr="00765C97" w:rsidRDefault="002C008C" w:rsidP="00BD7799">
            <w:pPr>
              <w:jc w:val="right"/>
              <w:rPr>
                <w:rFonts w:ascii="Arial" w:hAnsi="Arial"/>
                <w:sz w:val="20"/>
                <w:lang w:val="pl-PL"/>
              </w:rPr>
            </w:pPr>
            <w:r w:rsidRPr="00765C97">
              <w:rPr>
                <w:rFonts w:ascii="Arial" w:hAnsi="Arial"/>
                <w:sz w:val="20"/>
                <w:lang w:val="pl-PL"/>
              </w:rPr>
              <w:t>36</w:t>
            </w:r>
            <w:r w:rsidR="00EB2E8D" w:rsidRPr="00765C97">
              <w:rPr>
                <w:rFonts w:ascii="Arial" w:hAnsi="Arial"/>
                <w:sz w:val="20"/>
                <w:lang w:val="pl-PL"/>
              </w:rPr>
              <w:t>3 444</w:t>
            </w:r>
          </w:p>
        </w:tc>
        <w:tc>
          <w:tcPr>
            <w:tcW w:w="1920" w:type="dxa"/>
            <w:tcBorders>
              <w:top w:val="single" w:sz="4" w:space="0" w:color="auto"/>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265 255</w:t>
            </w:r>
          </w:p>
        </w:tc>
      </w:tr>
      <w:tr w:rsidR="00385F70" w:rsidRPr="00765C97">
        <w:trPr>
          <w:trHeight w:val="255"/>
        </w:trPr>
        <w:tc>
          <w:tcPr>
            <w:tcW w:w="4260" w:type="dxa"/>
            <w:vAlign w:val="center"/>
          </w:tcPr>
          <w:p w:rsidR="00385F70" w:rsidRPr="00765C97" w:rsidRDefault="00385F70" w:rsidP="001C7834">
            <w:pPr>
              <w:rPr>
                <w:rFonts w:ascii="Arial" w:hAnsi="Arial"/>
                <w:sz w:val="20"/>
                <w:lang w:val="pl-PL"/>
              </w:rPr>
            </w:pPr>
            <w:r w:rsidRPr="00765C97">
              <w:rPr>
                <w:rFonts w:ascii="Arial" w:hAnsi="Arial"/>
                <w:sz w:val="20"/>
                <w:lang w:val="pl-PL"/>
              </w:rPr>
              <w:t>Należności pozostałe</w:t>
            </w:r>
          </w:p>
        </w:tc>
        <w:tc>
          <w:tcPr>
            <w:tcW w:w="2160" w:type="dxa"/>
            <w:vAlign w:val="center"/>
          </w:tcPr>
          <w:p w:rsidR="00385F70" w:rsidRPr="00765C97" w:rsidRDefault="00EB2E8D" w:rsidP="00EB2E8D">
            <w:pPr>
              <w:jc w:val="right"/>
              <w:rPr>
                <w:rFonts w:ascii="Arial" w:hAnsi="Arial"/>
                <w:sz w:val="20"/>
                <w:lang w:val="pl-PL"/>
              </w:rPr>
            </w:pPr>
            <w:r w:rsidRPr="00765C97">
              <w:rPr>
                <w:rFonts w:ascii="Arial" w:hAnsi="Arial"/>
                <w:sz w:val="20"/>
                <w:lang w:val="pl-PL"/>
              </w:rPr>
              <w:t>27 891</w:t>
            </w:r>
          </w:p>
        </w:tc>
        <w:tc>
          <w:tcPr>
            <w:tcW w:w="1920" w:type="dxa"/>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19 769</w:t>
            </w:r>
          </w:p>
        </w:tc>
      </w:tr>
      <w:tr w:rsidR="00385F70" w:rsidRPr="00765C97">
        <w:trPr>
          <w:trHeight w:val="255"/>
        </w:trPr>
        <w:tc>
          <w:tcPr>
            <w:tcW w:w="4260" w:type="dxa"/>
            <w:vAlign w:val="center"/>
          </w:tcPr>
          <w:p w:rsidR="00385F70" w:rsidRPr="00765C97" w:rsidRDefault="00385F70" w:rsidP="001C7834">
            <w:pPr>
              <w:rPr>
                <w:rFonts w:ascii="Arial" w:hAnsi="Arial"/>
                <w:sz w:val="20"/>
                <w:lang w:val="pl-PL"/>
              </w:rPr>
            </w:pPr>
            <w:r w:rsidRPr="00765C97">
              <w:rPr>
                <w:rFonts w:ascii="Arial" w:hAnsi="Arial"/>
                <w:sz w:val="20"/>
                <w:lang w:val="pl-PL"/>
              </w:rPr>
              <w:t>Rozliczenia międzyokresowe czynne</w:t>
            </w:r>
          </w:p>
        </w:tc>
        <w:tc>
          <w:tcPr>
            <w:tcW w:w="2160" w:type="dxa"/>
            <w:vAlign w:val="center"/>
          </w:tcPr>
          <w:p w:rsidR="00385F70" w:rsidRPr="00765C97" w:rsidRDefault="002C008C" w:rsidP="00BD7799">
            <w:pPr>
              <w:jc w:val="right"/>
              <w:rPr>
                <w:rFonts w:ascii="Arial" w:hAnsi="Arial"/>
                <w:sz w:val="20"/>
                <w:lang w:val="pl-PL"/>
              </w:rPr>
            </w:pPr>
            <w:r w:rsidRPr="00765C97">
              <w:rPr>
                <w:rFonts w:ascii="Arial" w:hAnsi="Arial"/>
                <w:sz w:val="20"/>
                <w:lang w:val="pl-PL"/>
              </w:rPr>
              <w:t>6 5</w:t>
            </w:r>
            <w:r w:rsidR="00EB2E8D" w:rsidRPr="00765C97">
              <w:rPr>
                <w:rFonts w:ascii="Arial" w:hAnsi="Arial"/>
                <w:sz w:val="20"/>
                <w:lang w:val="pl-PL"/>
              </w:rPr>
              <w:t>23</w:t>
            </w:r>
          </w:p>
        </w:tc>
        <w:tc>
          <w:tcPr>
            <w:tcW w:w="1920" w:type="dxa"/>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7 741</w:t>
            </w:r>
          </w:p>
        </w:tc>
      </w:tr>
      <w:tr w:rsidR="00385F70" w:rsidRPr="00765C97">
        <w:trPr>
          <w:trHeight w:val="255"/>
        </w:trPr>
        <w:tc>
          <w:tcPr>
            <w:tcW w:w="4260" w:type="dxa"/>
            <w:vAlign w:val="center"/>
          </w:tcPr>
          <w:p w:rsidR="00385F70" w:rsidRPr="00765C97" w:rsidRDefault="00385F70" w:rsidP="00602750">
            <w:pPr>
              <w:rPr>
                <w:rFonts w:ascii="Arial" w:hAnsi="Arial"/>
                <w:sz w:val="20"/>
                <w:lang w:val="pl-PL"/>
              </w:rPr>
            </w:pPr>
            <w:r w:rsidRPr="00765C97">
              <w:rPr>
                <w:rFonts w:ascii="Arial" w:hAnsi="Arial"/>
                <w:sz w:val="20"/>
                <w:lang w:val="pl-PL"/>
              </w:rPr>
              <w:t>Pozostałe rozliczenia</w:t>
            </w:r>
          </w:p>
        </w:tc>
        <w:tc>
          <w:tcPr>
            <w:tcW w:w="2160" w:type="dxa"/>
            <w:vAlign w:val="center"/>
          </w:tcPr>
          <w:p w:rsidR="00385F70" w:rsidRPr="00765C97" w:rsidRDefault="00EB2E8D" w:rsidP="00BD7799">
            <w:pPr>
              <w:jc w:val="right"/>
              <w:rPr>
                <w:rFonts w:ascii="Arial" w:hAnsi="Arial"/>
                <w:sz w:val="20"/>
                <w:lang w:val="pl-PL"/>
              </w:rPr>
            </w:pPr>
            <w:r w:rsidRPr="00765C97">
              <w:rPr>
                <w:rFonts w:ascii="Arial" w:hAnsi="Arial"/>
                <w:sz w:val="20"/>
                <w:lang w:val="pl-PL"/>
              </w:rPr>
              <w:t>18</w:t>
            </w:r>
          </w:p>
        </w:tc>
        <w:tc>
          <w:tcPr>
            <w:tcW w:w="1920" w:type="dxa"/>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168</w:t>
            </w:r>
          </w:p>
        </w:tc>
      </w:tr>
      <w:tr w:rsidR="00385F70" w:rsidRPr="00765C97">
        <w:trPr>
          <w:trHeight w:val="255"/>
        </w:trPr>
        <w:tc>
          <w:tcPr>
            <w:tcW w:w="4260" w:type="dxa"/>
            <w:vAlign w:val="center"/>
          </w:tcPr>
          <w:p w:rsidR="00385F70" w:rsidRPr="00765C97" w:rsidRDefault="00385F70" w:rsidP="001C7834">
            <w:pPr>
              <w:rPr>
                <w:rFonts w:ascii="Arial" w:hAnsi="Arial"/>
                <w:sz w:val="20"/>
                <w:lang w:val="pl-PL"/>
              </w:rPr>
            </w:pPr>
            <w:r w:rsidRPr="00765C97">
              <w:rPr>
                <w:rFonts w:ascii="Arial" w:hAnsi="Arial"/>
                <w:sz w:val="20"/>
                <w:lang w:val="pl-PL"/>
              </w:rPr>
              <w:t>Pożyczki</w:t>
            </w:r>
          </w:p>
        </w:tc>
        <w:tc>
          <w:tcPr>
            <w:tcW w:w="2160" w:type="dxa"/>
            <w:vAlign w:val="center"/>
          </w:tcPr>
          <w:p w:rsidR="00385F70" w:rsidRPr="00765C97" w:rsidRDefault="002C008C" w:rsidP="00BD7799">
            <w:pPr>
              <w:jc w:val="right"/>
              <w:rPr>
                <w:rFonts w:ascii="Arial" w:hAnsi="Arial"/>
                <w:sz w:val="20"/>
                <w:lang w:val="pl-PL"/>
              </w:rPr>
            </w:pPr>
            <w:r w:rsidRPr="00765C97">
              <w:rPr>
                <w:rFonts w:ascii="Arial" w:hAnsi="Arial"/>
                <w:sz w:val="20"/>
                <w:lang w:val="pl-PL"/>
              </w:rPr>
              <w:t>1 870</w:t>
            </w:r>
          </w:p>
        </w:tc>
        <w:tc>
          <w:tcPr>
            <w:tcW w:w="1920" w:type="dxa"/>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1 737</w:t>
            </w:r>
          </w:p>
        </w:tc>
      </w:tr>
      <w:tr w:rsidR="00385F70" w:rsidRPr="00765C97">
        <w:trPr>
          <w:trHeight w:val="255"/>
        </w:trPr>
        <w:tc>
          <w:tcPr>
            <w:tcW w:w="4260" w:type="dxa"/>
            <w:vAlign w:val="center"/>
          </w:tcPr>
          <w:p w:rsidR="00385F70" w:rsidRPr="00765C97" w:rsidRDefault="00385F70" w:rsidP="004271BB">
            <w:pPr>
              <w:rPr>
                <w:rFonts w:ascii="Arial" w:hAnsi="Arial"/>
                <w:sz w:val="20"/>
                <w:lang w:val="pl-PL"/>
              </w:rPr>
            </w:pPr>
            <w:r w:rsidRPr="00765C97">
              <w:rPr>
                <w:rFonts w:ascii="Arial" w:hAnsi="Arial"/>
                <w:sz w:val="20"/>
                <w:lang w:val="pl-PL"/>
              </w:rPr>
              <w:t xml:space="preserve">Należności od </w:t>
            </w:r>
            <w:r w:rsidR="004271BB" w:rsidRPr="00765C97">
              <w:rPr>
                <w:rFonts w:ascii="Arial" w:hAnsi="Arial"/>
                <w:sz w:val="20"/>
                <w:lang w:val="pl-PL"/>
              </w:rPr>
              <w:t>jednostek</w:t>
            </w:r>
            <w:r w:rsidRPr="00765C97">
              <w:rPr>
                <w:rFonts w:ascii="Arial" w:hAnsi="Arial"/>
                <w:sz w:val="20"/>
                <w:lang w:val="pl-PL"/>
              </w:rPr>
              <w:t xml:space="preserve"> powiązanych</w:t>
            </w:r>
          </w:p>
        </w:tc>
        <w:tc>
          <w:tcPr>
            <w:tcW w:w="2160" w:type="dxa"/>
            <w:tcBorders>
              <w:bottom w:val="single" w:sz="4" w:space="0" w:color="auto"/>
            </w:tcBorders>
            <w:vAlign w:val="center"/>
          </w:tcPr>
          <w:p w:rsidR="00385F70" w:rsidRPr="00765C97" w:rsidRDefault="002C008C" w:rsidP="00BD7799">
            <w:pPr>
              <w:jc w:val="right"/>
              <w:rPr>
                <w:rFonts w:ascii="Arial" w:hAnsi="Arial"/>
                <w:sz w:val="20"/>
                <w:lang w:val="pl-PL"/>
              </w:rPr>
            </w:pPr>
            <w:r w:rsidRPr="00765C97">
              <w:rPr>
                <w:rFonts w:ascii="Arial" w:hAnsi="Arial"/>
                <w:sz w:val="20"/>
                <w:lang w:val="pl-PL"/>
              </w:rPr>
              <w:t>94</w:t>
            </w:r>
          </w:p>
        </w:tc>
        <w:tc>
          <w:tcPr>
            <w:tcW w:w="1920" w:type="dxa"/>
            <w:tcBorders>
              <w:bottom w:val="single" w:sz="4" w:space="0" w:color="auto"/>
            </w:tcBorders>
            <w:vAlign w:val="center"/>
          </w:tcPr>
          <w:p w:rsidR="00385F70" w:rsidRPr="00765C97" w:rsidRDefault="00385F70" w:rsidP="00385F70">
            <w:pPr>
              <w:jc w:val="right"/>
              <w:rPr>
                <w:rFonts w:ascii="Arial" w:hAnsi="Arial"/>
                <w:sz w:val="20"/>
                <w:lang w:val="pl-PL"/>
              </w:rPr>
            </w:pPr>
            <w:r w:rsidRPr="00765C97">
              <w:rPr>
                <w:rFonts w:ascii="Arial" w:hAnsi="Arial"/>
                <w:sz w:val="20"/>
                <w:lang w:val="pl-PL"/>
              </w:rPr>
              <w:t>66</w:t>
            </w:r>
          </w:p>
        </w:tc>
      </w:tr>
      <w:tr w:rsidR="00385F70" w:rsidRPr="00765C97">
        <w:trPr>
          <w:trHeight w:val="255"/>
        </w:trPr>
        <w:tc>
          <w:tcPr>
            <w:tcW w:w="4260" w:type="dxa"/>
            <w:vAlign w:val="center"/>
          </w:tcPr>
          <w:p w:rsidR="00385F70" w:rsidRPr="00765C97" w:rsidRDefault="00385F70" w:rsidP="001C7834">
            <w:pPr>
              <w:rPr>
                <w:rFonts w:ascii="Arial" w:hAnsi="Arial"/>
                <w:sz w:val="20"/>
                <w:lang w:val="pl-PL"/>
              </w:rPr>
            </w:pPr>
            <w:r w:rsidRPr="00765C97">
              <w:rPr>
                <w:rFonts w:ascii="Arial" w:hAnsi="Arial"/>
                <w:b/>
                <w:sz w:val="20"/>
                <w:lang w:val="pl-PL"/>
              </w:rPr>
              <w:t>RAZEM</w:t>
            </w:r>
          </w:p>
        </w:tc>
        <w:tc>
          <w:tcPr>
            <w:tcW w:w="2160" w:type="dxa"/>
            <w:tcBorders>
              <w:top w:val="single" w:sz="4" w:space="0" w:color="auto"/>
              <w:bottom w:val="single" w:sz="4" w:space="0" w:color="auto"/>
            </w:tcBorders>
            <w:vAlign w:val="center"/>
          </w:tcPr>
          <w:p w:rsidR="00385F70" w:rsidRPr="00765C97" w:rsidRDefault="002C008C" w:rsidP="00BD7799">
            <w:pPr>
              <w:jc w:val="right"/>
              <w:rPr>
                <w:rFonts w:ascii="Arial" w:hAnsi="Arial"/>
                <w:b/>
                <w:sz w:val="20"/>
                <w:lang w:val="pl-PL"/>
              </w:rPr>
            </w:pPr>
            <w:r w:rsidRPr="00765C97">
              <w:rPr>
                <w:rFonts w:ascii="Arial" w:hAnsi="Arial"/>
                <w:b/>
                <w:sz w:val="20"/>
                <w:lang w:val="pl-PL"/>
              </w:rPr>
              <w:t>399 840</w:t>
            </w:r>
          </w:p>
        </w:tc>
        <w:tc>
          <w:tcPr>
            <w:tcW w:w="1920" w:type="dxa"/>
            <w:tcBorders>
              <w:top w:val="single" w:sz="4" w:space="0" w:color="auto"/>
              <w:bottom w:val="single" w:sz="4" w:space="0" w:color="auto"/>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294 736</w:t>
            </w:r>
          </w:p>
        </w:tc>
      </w:tr>
      <w:tr w:rsidR="00385F70" w:rsidRPr="00765C97">
        <w:trPr>
          <w:trHeight w:val="255"/>
        </w:trPr>
        <w:tc>
          <w:tcPr>
            <w:tcW w:w="4260" w:type="dxa"/>
            <w:vAlign w:val="center"/>
          </w:tcPr>
          <w:p w:rsidR="00385F70" w:rsidRPr="00765C97" w:rsidRDefault="00385F70" w:rsidP="001C7834">
            <w:pPr>
              <w:rPr>
                <w:rFonts w:ascii="Arial" w:hAnsi="Arial"/>
                <w:i/>
                <w:sz w:val="20"/>
                <w:lang w:val="pl-PL"/>
              </w:rPr>
            </w:pPr>
            <w:r w:rsidRPr="00765C97">
              <w:rPr>
                <w:rFonts w:ascii="Arial" w:hAnsi="Arial"/>
                <w:i/>
                <w:sz w:val="20"/>
                <w:lang w:val="pl-PL"/>
              </w:rPr>
              <w:t>Część krótkoterminowa</w:t>
            </w:r>
          </w:p>
        </w:tc>
        <w:tc>
          <w:tcPr>
            <w:tcW w:w="2160" w:type="dxa"/>
            <w:tcBorders>
              <w:top w:val="single" w:sz="4" w:space="0" w:color="auto"/>
            </w:tcBorders>
            <w:vAlign w:val="center"/>
          </w:tcPr>
          <w:p w:rsidR="00385F70" w:rsidRPr="00765C97" w:rsidRDefault="002C008C" w:rsidP="00BD7799">
            <w:pPr>
              <w:jc w:val="right"/>
              <w:rPr>
                <w:rFonts w:ascii="Arial" w:hAnsi="Arial"/>
                <w:i/>
                <w:sz w:val="20"/>
                <w:lang w:val="pl-PL"/>
              </w:rPr>
            </w:pPr>
            <w:r w:rsidRPr="00765C97">
              <w:rPr>
                <w:rFonts w:ascii="Arial" w:hAnsi="Arial"/>
                <w:i/>
                <w:sz w:val="20"/>
                <w:lang w:val="pl-PL"/>
              </w:rPr>
              <w:t>399 840</w:t>
            </w:r>
          </w:p>
        </w:tc>
        <w:tc>
          <w:tcPr>
            <w:tcW w:w="1920" w:type="dxa"/>
            <w:tcBorders>
              <w:top w:val="single" w:sz="4" w:space="0" w:color="auto"/>
            </w:tcBorders>
            <w:vAlign w:val="center"/>
          </w:tcPr>
          <w:p w:rsidR="00385F70" w:rsidRPr="00765C97" w:rsidRDefault="00385F70" w:rsidP="00385F70">
            <w:pPr>
              <w:jc w:val="right"/>
              <w:rPr>
                <w:rFonts w:ascii="Arial" w:hAnsi="Arial"/>
                <w:i/>
                <w:sz w:val="20"/>
                <w:lang w:val="pl-PL"/>
              </w:rPr>
            </w:pPr>
            <w:r w:rsidRPr="00765C97">
              <w:rPr>
                <w:rFonts w:ascii="Arial" w:hAnsi="Arial"/>
                <w:i/>
                <w:sz w:val="20"/>
                <w:lang w:val="pl-PL"/>
              </w:rPr>
              <w:t>294 736</w:t>
            </w:r>
          </w:p>
        </w:tc>
      </w:tr>
    </w:tbl>
    <w:p w:rsidR="0000190E" w:rsidRPr="00765C97" w:rsidRDefault="0000190E" w:rsidP="00602750">
      <w:pPr>
        <w:pStyle w:val="Style1"/>
        <w:tabs>
          <w:tab w:val="left" w:pos="1134"/>
        </w:tabs>
        <w:adjustRightInd/>
        <w:ind w:left="180"/>
        <w:jc w:val="both"/>
        <w:rPr>
          <w:rFonts w:ascii="Arial" w:hAnsi="Arial"/>
          <w:lang w:val="pl-PL"/>
        </w:rPr>
      </w:pPr>
    </w:p>
    <w:p w:rsidR="00602750" w:rsidRPr="00765C97" w:rsidRDefault="00B0017E" w:rsidP="000428B8">
      <w:pPr>
        <w:pStyle w:val="Style1"/>
        <w:tabs>
          <w:tab w:val="left" w:pos="1134"/>
        </w:tabs>
        <w:adjustRightInd/>
        <w:jc w:val="both"/>
        <w:rPr>
          <w:rFonts w:ascii="Arial" w:hAnsi="Arial"/>
          <w:lang w:val="pl-PL"/>
        </w:rPr>
      </w:pPr>
      <w:r w:rsidRPr="00765C97">
        <w:rPr>
          <w:rFonts w:ascii="Arial" w:hAnsi="Arial"/>
          <w:lang w:val="pl-PL"/>
        </w:rPr>
        <w:t>Wartość godziwa należności handlowych oraz pozostałych należności jest zbliżona do ich wartości bilansowej przedstawionej powyżej. Nie występuje koncentracja ryzyka kredytowego z tytułu należności handlowych, ponieważ Grupa posiada dużą liczbę klientów. Grupa ujęła odpis z tytułu utraty wartości należności handlowych w wysokości</w:t>
      </w:r>
      <w:r w:rsidR="002235DC" w:rsidRPr="00765C97">
        <w:rPr>
          <w:rFonts w:ascii="Arial" w:hAnsi="Arial"/>
          <w:lang w:val="pl-PL"/>
        </w:rPr>
        <w:t xml:space="preserve"> </w:t>
      </w:r>
      <w:r w:rsidR="00841F98" w:rsidRPr="00765C97">
        <w:rPr>
          <w:rFonts w:ascii="Arial" w:hAnsi="Arial"/>
          <w:lang w:val="pl-PL"/>
        </w:rPr>
        <w:t>13 132 tys. zł</w:t>
      </w:r>
      <w:r w:rsidRPr="00765C97">
        <w:rPr>
          <w:rFonts w:ascii="Arial" w:hAnsi="Arial"/>
          <w:lang w:val="pl-PL"/>
        </w:rPr>
        <w:t xml:space="preserve"> (12 miesięcy 201</w:t>
      </w:r>
      <w:r w:rsidR="002235DC" w:rsidRPr="00765C97">
        <w:rPr>
          <w:rFonts w:ascii="Arial" w:hAnsi="Arial"/>
          <w:lang w:val="pl-PL"/>
        </w:rPr>
        <w:t>2</w:t>
      </w:r>
      <w:r w:rsidRPr="00765C97">
        <w:rPr>
          <w:rFonts w:ascii="Arial" w:hAnsi="Arial"/>
          <w:lang w:val="pl-PL"/>
        </w:rPr>
        <w:t xml:space="preserve">), </w:t>
      </w:r>
      <w:r w:rsidR="002235DC" w:rsidRPr="00765C97">
        <w:rPr>
          <w:rFonts w:ascii="Arial" w:hAnsi="Arial" w:cs="Arial"/>
          <w:szCs w:val="20"/>
          <w:lang w:val="pl-PL"/>
        </w:rPr>
        <w:t>14 978</w:t>
      </w:r>
      <w:r w:rsidR="002235DC" w:rsidRPr="00765C97">
        <w:rPr>
          <w:rFonts w:ascii="Arial" w:hAnsi="Arial"/>
          <w:lang w:val="pl-PL"/>
        </w:rPr>
        <w:t xml:space="preserve"> tys. zł (12 miesięcy 2011</w:t>
      </w:r>
      <w:r w:rsidR="0071614D" w:rsidRPr="00765C97">
        <w:rPr>
          <w:rFonts w:ascii="Arial" w:hAnsi="Arial"/>
          <w:lang w:val="pl-PL"/>
        </w:rPr>
        <w:t>)</w:t>
      </w:r>
      <w:r w:rsidRPr="00765C97">
        <w:rPr>
          <w:rFonts w:ascii="Arial" w:hAnsi="Arial"/>
          <w:lang w:val="pl-PL"/>
        </w:rPr>
        <w:t xml:space="preserve">. </w:t>
      </w:r>
    </w:p>
    <w:p w:rsidR="00582C28" w:rsidRPr="00765C97" w:rsidRDefault="00582C28" w:rsidP="00135A9A">
      <w:pPr>
        <w:pStyle w:val="Nagwek3"/>
        <w:numPr>
          <w:ilvl w:val="1"/>
          <w:numId w:val="22"/>
        </w:numPr>
        <w:spacing w:after="240"/>
        <w:ind w:left="709" w:hanging="567"/>
        <w:rPr>
          <w:sz w:val="20"/>
          <w:lang w:val="pl-PL"/>
        </w:rPr>
      </w:pPr>
      <w:bookmarkStart w:id="56" w:name="_Toc114460693"/>
      <w:bookmarkStart w:id="57" w:name="_Toc115093961"/>
      <w:bookmarkStart w:id="58" w:name="_Toc115094340"/>
      <w:bookmarkStart w:id="59" w:name="_Toc115094514"/>
      <w:bookmarkStart w:id="60" w:name="_Toc353973221"/>
      <w:r w:rsidRPr="00765C97">
        <w:rPr>
          <w:sz w:val="20"/>
          <w:lang w:val="pl-PL"/>
        </w:rPr>
        <w:t>Środki pieniężne i ich ekwiwalenty</w:t>
      </w:r>
      <w:bookmarkEnd w:id="56"/>
      <w:bookmarkEnd w:id="57"/>
      <w:bookmarkEnd w:id="58"/>
      <w:bookmarkEnd w:id="59"/>
      <w:bookmarkEnd w:id="60"/>
    </w:p>
    <w:tbl>
      <w:tblPr>
        <w:tblW w:w="0" w:type="auto"/>
        <w:tblInd w:w="180" w:type="dxa"/>
        <w:tblLayout w:type="fixed"/>
        <w:tblCellMar>
          <w:left w:w="0" w:type="dxa"/>
          <w:right w:w="0" w:type="dxa"/>
        </w:tblCellMar>
        <w:tblLook w:val="0000"/>
      </w:tblPr>
      <w:tblGrid>
        <w:gridCol w:w="4500"/>
        <w:gridCol w:w="1972"/>
        <w:gridCol w:w="1808"/>
      </w:tblGrid>
      <w:tr w:rsidR="00582C28" w:rsidRPr="00765C97">
        <w:trPr>
          <w:cantSplit/>
          <w:trHeight w:val="255"/>
        </w:trPr>
        <w:tc>
          <w:tcPr>
            <w:tcW w:w="4500" w:type="dxa"/>
            <w:tcBorders>
              <w:top w:val="nil"/>
              <w:left w:val="nil"/>
              <w:right w:val="nil"/>
            </w:tcBorders>
            <w:vAlign w:val="center"/>
          </w:tcPr>
          <w:p w:rsidR="00582C28" w:rsidRPr="00765C97" w:rsidRDefault="00582C28" w:rsidP="001C7834">
            <w:pPr>
              <w:spacing w:before="20" w:after="20"/>
              <w:rPr>
                <w:rFonts w:ascii="Arial" w:hAnsi="Arial"/>
                <w:sz w:val="20"/>
                <w:lang w:val="pl-PL"/>
              </w:rPr>
            </w:pPr>
          </w:p>
        </w:tc>
        <w:tc>
          <w:tcPr>
            <w:tcW w:w="1972" w:type="dxa"/>
            <w:tcBorders>
              <w:top w:val="nil"/>
              <w:left w:val="nil"/>
              <w:right w:val="nil"/>
            </w:tcBorders>
            <w:vAlign w:val="center"/>
          </w:tcPr>
          <w:p w:rsidR="00582C28" w:rsidRPr="00765C97" w:rsidRDefault="00582C28" w:rsidP="001C7834">
            <w:pPr>
              <w:spacing w:before="20" w:after="20"/>
              <w:ind w:right="141"/>
              <w:jc w:val="right"/>
              <w:rPr>
                <w:rFonts w:ascii="Arial" w:hAnsi="Arial"/>
                <w:b/>
                <w:sz w:val="20"/>
                <w:lang w:val="pl-PL"/>
              </w:rPr>
            </w:pPr>
            <w:r w:rsidRPr="00765C97">
              <w:rPr>
                <w:rFonts w:ascii="Arial" w:hAnsi="Arial"/>
                <w:b/>
                <w:sz w:val="20"/>
                <w:lang w:val="pl-PL"/>
              </w:rPr>
              <w:t>31 grudnia</w:t>
            </w:r>
          </w:p>
          <w:p w:rsidR="00582C28" w:rsidRPr="00765C97" w:rsidRDefault="00582C28" w:rsidP="0071614D">
            <w:pPr>
              <w:spacing w:before="20" w:after="20"/>
              <w:ind w:right="141"/>
              <w:jc w:val="right"/>
              <w:rPr>
                <w:rFonts w:ascii="Arial" w:hAnsi="Arial"/>
                <w:sz w:val="20"/>
                <w:lang w:val="pl-PL"/>
              </w:rPr>
            </w:pPr>
            <w:r w:rsidRPr="00765C97">
              <w:rPr>
                <w:rFonts w:ascii="Arial" w:hAnsi="Arial"/>
                <w:b/>
                <w:sz w:val="20"/>
                <w:lang w:val="pl-PL"/>
              </w:rPr>
              <w:t xml:space="preserve"> 20</w:t>
            </w:r>
            <w:r w:rsidR="00B0017E" w:rsidRPr="00765C97">
              <w:rPr>
                <w:rFonts w:ascii="Arial" w:hAnsi="Arial"/>
                <w:b/>
                <w:sz w:val="20"/>
                <w:lang w:val="pl-PL"/>
              </w:rPr>
              <w:t>1</w:t>
            </w:r>
            <w:r w:rsidR="00385F70" w:rsidRPr="00765C97">
              <w:rPr>
                <w:rFonts w:ascii="Arial" w:hAnsi="Arial"/>
                <w:b/>
                <w:sz w:val="20"/>
                <w:lang w:val="pl-PL"/>
              </w:rPr>
              <w:t>2</w:t>
            </w:r>
            <w:r w:rsidRPr="00765C97">
              <w:rPr>
                <w:rFonts w:ascii="Arial" w:hAnsi="Arial"/>
                <w:b/>
                <w:sz w:val="20"/>
                <w:lang w:val="pl-PL"/>
              </w:rPr>
              <w:t xml:space="preserve"> r.</w:t>
            </w:r>
          </w:p>
        </w:tc>
        <w:tc>
          <w:tcPr>
            <w:tcW w:w="1808" w:type="dxa"/>
            <w:tcBorders>
              <w:top w:val="nil"/>
              <w:left w:val="nil"/>
              <w:right w:val="nil"/>
            </w:tcBorders>
            <w:vAlign w:val="center"/>
          </w:tcPr>
          <w:p w:rsidR="00582C28" w:rsidRPr="00765C97" w:rsidRDefault="00582C28" w:rsidP="001C7834">
            <w:pPr>
              <w:spacing w:before="20" w:after="20"/>
              <w:ind w:right="141"/>
              <w:jc w:val="right"/>
              <w:rPr>
                <w:rFonts w:ascii="Arial" w:hAnsi="Arial"/>
                <w:b/>
                <w:sz w:val="20"/>
                <w:lang w:val="pl-PL"/>
              </w:rPr>
            </w:pPr>
            <w:r w:rsidRPr="00765C97">
              <w:rPr>
                <w:rFonts w:ascii="Arial" w:hAnsi="Arial"/>
                <w:b/>
                <w:sz w:val="20"/>
                <w:lang w:val="pl-PL"/>
              </w:rPr>
              <w:t>31 grudnia</w:t>
            </w:r>
          </w:p>
          <w:p w:rsidR="00582C28" w:rsidRPr="00765C97" w:rsidRDefault="00582C28" w:rsidP="0071614D">
            <w:pPr>
              <w:spacing w:before="20" w:after="20"/>
              <w:ind w:right="141"/>
              <w:jc w:val="right"/>
              <w:rPr>
                <w:rFonts w:ascii="Arial" w:hAnsi="Arial"/>
                <w:b/>
                <w:sz w:val="20"/>
                <w:lang w:val="pl-PL"/>
              </w:rPr>
            </w:pPr>
            <w:r w:rsidRPr="00765C97">
              <w:rPr>
                <w:rFonts w:ascii="Arial" w:hAnsi="Arial"/>
                <w:b/>
                <w:sz w:val="20"/>
                <w:lang w:val="pl-PL"/>
              </w:rPr>
              <w:t>20</w:t>
            </w:r>
            <w:r w:rsidR="00385F70" w:rsidRPr="00765C97">
              <w:rPr>
                <w:rFonts w:ascii="Arial" w:hAnsi="Arial"/>
                <w:b/>
                <w:sz w:val="20"/>
                <w:lang w:val="pl-PL"/>
              </w:rPr>
              <w:t>11</w:t>
            </w:r>
            <w:r w:rsidRPr="00765C97">
              <w:rPr>
                <w:rFonts w:ascii="Arial" w:hAnsi="Arial"/>
                <w:b/>
                <w:sz w:val="20"/>
                <w:lang w:val="pl-PL"/>
              </w:rPr>
              <w:t xml:space="preserve"> r.</w:t>
            </w:r>
          </w:p>
        </w:tc>
      </w:tr>
      <w:tr w:rsidR="00385F70" w:rsidRPr="00765C97">
        <w:trPr>
          <w:cantSplit/>
          <w:trHeight w:val="255"/>
        </w:trPr>
        <w:tc>
          <w:tcPr>
            <w:tcW w:w="4500" w:type="dxa"/>
            <w:tcBorders>
              <w:left w:val="nil"/>
              <w:right w:val="nil"/>
            </w:tcBorders>
            <w:vAlign w:val="center"/>
          </w:tcPr>
          <w:p w:rsidR="00385F70" w:rsidRPr="00765C97" w:rsidRDefault="00385F70" w:rsidP="001C7834">
            <w:pPr>
              <w:spacing w:before="20" w:after="20"/>
              <w:rPr>
                <w:rFonts w:ascii="Arial" w:hAnsi="Arial"/>
                <w:b/>
                <w:sz w:val="20"/>
                <w:lang w:val="pl-PL"/>
              </w:rPr>
            </w:pPr>
            <w:r w:rsidRPr="00765C97">
              <w:rPr>
                <w:rFonts w:ascii="Arial" w:hAnsi="Arial"/>
                <w:sz w:val="20"/>
                <w:lang w:val="pl-PL"/>
              </w:rPr>
              <w:t>Środki pieniężne w kasie i w banku</w:t>
            </w:r>
          </w:p>
        </w:tc>
        <w:tc>
          <w:tcPr>
            <w:tcW w:w="1972" w:type="dxa"/>
            <w:tcBorders>
              <w:left w:val="nil"/>
              <w:right w:val="nil"/>
            </w:tcBorders>
            <w:vAlign w:val="center"/>
          </w:tcPr>
          <w:p w:rsidR="00385F70" w:rsidRPr="00765C97" w:rsidRDefault="008E5968" w:rsidP="00014C9C">
            <w:pPr>
              <w:spacing w:before="20" w:after="20"/>
              <w:ind w:right="141"/>
              <w:jc w:val="right"/>
              <w:rPr>
                <w:rFonts w:ascii="Arial" w:hAnsi="Arial"/>
                <w:sz w:val="20"/>
                <w:lang w:val="pl-PL"/>
              </w:rPr>
            </w:pPr>
            <w:r w:rsidRPr="00765C97">
              <w:rPr>
                <w:rFonts w:ascii="Arial" w:hAnsi="Arial"/>
                <w:sz w:val="20"/>
                <w:lang w:val="pl-PL"/>
              </w:rPr>
              <w:t>80 239</w:t>
            </w:r>
          </w:p>
        </w:tc>
        <w:tc>
          <w:tcPr>
            <w:tcW w:w="1808" w:type="dxa"/>
            <w:tcBorders>
              <w:left w:val="nil"/>
              <w:right w:val="nil"/>
            </w:tcBorders>
            <w:vAlign w:val="center"/>
          </w:tcPr>
          <w:p w:rsidR="00385F70" w:rsidRPr="00765C97" w:rsidRDefault="00385F70" w:rsidP="00385F70">
            <w:pPr>
              <w:spacing w:before="20" w:after="20"/>
              <w:ind w:right="141"/>
              <w:jc w:val="right"/>
              <w:rPr>
                <w:rFonts w:ascii="Arial" w:hAnsi="Arial"/>
                <w:sz w:val="20"/>
                <w:lang w:val="pl-PL"/>
              </w:rPr>
            </w:pPr>
            <w:r w:rsidRPr="00765C97">
              <w:rPr>
                <w:rFonts w:ascii="Arial" w:hAnsi="Arial"/>
                <w:sz w:val="20"/>
                <w:lang w:val="pl-PL"/>
              </w:rPr>
              <w:t>98 256</w:t>
            </w:r>
          </w:p>
        </w:tc>
      </w:tr>
      <w:tr w:rsidR="00385F70" w:rsidRPr="00765C97">
        <w:trPr>
          <w:cantSplit/>
          <w:trHeight w:val="255"/>
        </w:trPr>
        <w:tc>
          <w:tcPr>
            <w:tcW w:w="4500" w:type="dxa"/>
            <w:tcBorders>
              <w:left w:val="nil"/>
              <w:right w:val="nil"/>
            </w:tcBorders>
            <w:vAlign w:val="center"/>
          </w:tcPr>
          <w:p w:rsidR="00385F70" w:rsidRPr="00765C97" w:rsidRDefault="00385F70" w:rsidP="001C7834">
            <w:pPr>
              <w:spacing w:before="20" w:after="20"/>
              <w:rPr>
                <w:rFonts w:ascii="Arial" w:hAnsi="Arial"/>
                <w:b/>
                <w:sz w:val="20"/>
                <w:lang w:val="pl-PL"/>
              </w:rPr>
            </w:pPr>
            <w:r w:rsidRPr="00765C97">
              <w:rPr>
                <w:rFonts w:ascii="Arial" w:hAnsi="Arial"/>
                <w:sz w:val="20"/>
                <w:lang w:val="pl-PL"/>
              </w:rPr>
              <w:t>Krótkoterminowe depozyty bankowe</w:t>
            </w:r>
          </w:p>
        </w:tc>
        <w:tc>
          <w:tcPr>
            <w:tcW w:w="1972" w:type="dxa"/>
            <w:tcBorders>
              <w:left w:val="nil"/>
              <w:bottom w:val="single" w:sz="2" w:space="0" w:color="auto"/>
              <w:right w:val="nil"/>
            </w:tcBorders>
            <w:vAlign w:val="center"/>
          </w:tcPr>
          <w:p w:rsidR="00385F70" w:rsidRPr="00765C97" w:rsidRDefault="008E5968" w:rsidP="001C7834">
            <w:pPr>
              <w:spacing w:before="20" w:after="20"/>
              <w:ind w:right="141"/>
              <w:jc w:val="right"/>
              <w:rPr>
                <w:rFonts w:ascii="Arial" w:hAnsi="Arial"/>
                <w:sz w:val="20"/>
                <w:lang w:val="pl-PL"/>
              </w:rPr>
            </w:pPr>
            <w:r w:rsidRPr="00765C97">
              <w:rPr>
                <w:rFonts w:ascii="Arial" w:hAnsi="Arial"/>
                <w:sz w:val="20"/>
                <w:lang w:val="pl-PL"/>
              </w:rPr>
              <w:t>62 029</w:t>
            </w:r>
          </w:p>
        </w:tc>
        <w:tc>
          <w:tcPr>
            <w:tcW w:w="1808" w:type="dxa"/>
            <w:tcBorders>
              <w:left w:val="nil"/>
              <w:bottom w:val="single" w:sz="2" w:space="0" w:color="auto"/>
              <w:right w:val="nil"/>
            </w:tcBorders>
            <w:vAlign w:val="center"/>
          </w:tcPr>
          <w:p w:rsidR="00385F70" w:rsidRPr="00765C97" w:rsidRDefault="00385F70" w:rsidP="00385F70">
            <w:pPr>
              <w:spacing w:before="20" w:after="20"/>
              <w:ind w:right="141"/>
              <w:jc w:val="right"/>
              <w:rPr>
                <w:rFonts w:ascii="Arial" w:hAnsi="Arial"/>
                <w:sz w:val="20"/>
                <w:lang w:val="pl-PL"/>
              </w:rPr>
            </w:pPr>
            <w:r w:rsidRPr="00765C97">
              <w:rPr>
                <w:rFonts w:ascii="Arial" w:hAnsi="Arial"/>
                <w:sz w:val="20"/>
                <w:lang w:val="pl-PL"/>
              </w:rPr>
              <w:t>94 639</w:t>
            </w:r>
          </w:p>
        </w:tc>
      </w:tr>
      <w:tr w:rsidR="00385F70" w:rsidRPr="00765C97">
        <w:trPr>
          <w:cantSplit/>
          <w:trHeight w:val="255"/>
        </w:trPr>
        <w:tc>
          <w:tcPr>
            <w:tcW w:w="4500" w:type="dxa"/>
            <w:tcBorders>
              <w:left w:val="nil"/>
              <w:right w:val="nil"/>
            </w:tcBorders>
            <w:vAlign w:val="center"/>
          </w:tcPr>
          <w:p w:rsidR="00385F70" w:rsidRPr="00765C97" w:rsidRDefault="00385F70" w:rsidP="001C7834">
            <w:pPr>
              <w:spacing w:before="20" w:after="20"/>
              <w:rPr>
                <w:rFonts w:ascii="Arial" w:hAnsi="Arial"/>
                <w:b/>
                <w:sz w:val="20"/>
                <w:lang w:val="pl-PL"/>
              </w:rPr>
            </w:pPr>
            <w:r w:rsidRPr="00765C97">
              <w:rPr>
                <w:rFonts w:ascii="Arial" w:hAnsi="Arial"/>
                <w:b/>
                <w:sz w:val="20"/>
                <w:lang w:val="pl-PL"/>
              </w:rPr>
              <w:t xml:space="preserve">Środki pieniężne ogółem </w:t>
            </w:r>
          </w:p>
        </w:tc>
        <w:tc>
          <w:tcPr>
            <w:tcW w:w="1972" w:type="dxa"/>
            <w:tcBorders>
              <w:top w:val="single" w:sz="2" w:space="0" w:color="auto"/>
              <w:left w:val="nil"/>
              <w:bottom w:val="single" w:sz="4" w:space="0" w:color="auto"/>
              <w:right w:val="nil"/>
            </w:tcBorders>
            <w:vAlign w:val="center"/>
          </w:tcPr>
          <w:p w:rsidR="00385F70" w:rsidRPr="00765C97" w:rsidRDefault="008E5968" w:rsidP="001C7834">
            <w:pPr>
              <w:spacing w:before="20" w:after="20"/>
              <w:ind w:right="141"/>
              <w:jc w:val="right"/>
              <w:rPr>
                <w:rFonts w:ascii="Arial" w:hAnsi="Arial"/>
                <w:b/>
                <w:sz w:val="20"/>
                <w:lang w:val="pl-PL"/>
              </w:rPr>
            </w:pPr>
            <w:r w:rsidRPr="00765C97">
              <w:rPr>
                <w:rFonts w:ascii="Arial" w:hAnsi="Arial"/>
                <w:b/>
                <w:sz w:val="20"/>
                <w:lang w:val="pl-PL"/>
              </w:rPr>
              <w:t>142 268</w:t>
            </w:r>
          </w:p>
        </w:tc>
        <w:tc>
          <w:tcPr>
            <w:tcW w:w="1808" w:type="dxa"/>
            <w:tcBorders>
              <w:top w:val="single" w:sz="2" w:space="0" w:color="auto"/>
              <w:left w:val="nil"/>
              <w:bottom w:val="single" w:sz="4" w:space="0" w:color="auto"/>
              <w:right w:val="nil"/>
            </w:tcBorders>
            <w:vAlign w:val="center"/>
          </w:tcPr>
          <w:p w:rsidR="00385F70" w:rsidRPr="00765C97" w:rsidRDefault="00385F70" w:rsidP="00385F70">
            <w:pPr>
              <w:spacing w:before="20" w:after="20"/>
              <w:ind w:right="141"/>
              <w:jc w:val="right"/>
              <w:rPr>
                <w:rFonts w:ascii="Arial" w:hAnsi="Arial"/>
                <w:b/>
                <w:sz w:val="20"/>
                <w:lang w:val="pl-PL"/>
              </w:rPr>
            </w:pPr>
            <w:r w:rsidRPr="00765C97">
              <w:rPr>
                <w:rFonts w:ascii="Arial" w:hAnsi="Arial"/>
                <w:b/>
                <w:sz w:val="20"/>
                <w:lang w:val="pl-PL"/>
              </w:rPr>
              <w:t>192 895</w:t>
            </w:r>
          </w:p>
        </w:tc>
      </w:tr>
      <w:tr w:rsidR="00385F70" w:rsidRPr="00765C97">
        <w:trPr>
          <w:cantSplit/>
          <w:trHeight w:val="255"/>
        </w:trPr>
        <w:tc>
          <w:tcPr>
            <w:tcW w:w="4500" w:type="dxa"/>
            <w:tcBorders>
              <w:left w:val="nil"/>
              <w:right w:val="nil"/>
            </w:tcBorders>
            <w:vAlign w:val="center"/>
          </w:tcPr>
          <w:p w:rsidR="00385F70" w:rsidRPr="00765C97" w:rsidRDefault="00385F70" w:rsidP="001C7834">
            <w:pPr>
              <w:spacing w:before="20" w:after="20"/>
              <w:rPr>
                <w:rFonts w:ascii="Arial" w:hAnsi="Arial"/>
                <w:sz w:val="20"/>
                <w:lang w:val="pl-PL"/>
              </w:rPr>
            </w:pPr>
            <w:r w:rsidRPr="00765C97">
              <w:rPr>
                <w:rFonts w:ascii="Arial" w:hAnsi="Arial"/>
                <w:sz w:val="20"/>
                <w:lang w:val="pl-PL"/>
              </w:rPr>
              <w:t>Należne odsetki od depozytów bankowych</w:t>
            </w:r>
          </w:p>
        </w:tc>
        <w:tc>
          <w:tcPr>
            <w:tcW w:w="1972" w:type="dxa"/>
            <w:tcBorders>
              <w:top w:val="single" w:sz="2" w:space="0" w:color="auto"/>
              <w:left w:val="nil"/>
              <w:bottom w:val="single" w:sz="4" w:space="0" w:color="auto"/>
              <w:right w:val="nil"/>
            </w:tcBorders>
            <w:vAlign w:val="center"/>
          </w:tcPr>
          <w:p w:rsidR="00385F70" w:rsidRPr="00765C97" w:rsidRDefault="008E5968" w:rsidP="001C7834">
            <w:pPr>
              <w:spacing w:before="20" w:after="20"/>
              <w:ind w:right="141"/>
              <w:jc w:val="right"/>
              <w:rPr>
                <w:rFonts w:ascii="Arial" w:hAnsi="Arial"/>
                <w:sz w:val="20"/>
                <w:lang w:val="pl-PL"/>
              </w:rPr>
            </w:pPr>
            <w:r w:rsidRPr="00765C97">
              <w:rPr>
                <w:rFonts w:ascii="Arial" w:hAnsi="Arial"/>
                <w:sz w:val="20"/>
                <w:lang w:val="pl-PL"/>
              </w:rPr>
              <w:t>50</w:t>
            </w:r>
          </w:p>
        </w:tc>
        <w:tc>
          <w:tcPr>
            <w:tcW w:w="1808" w:type="dxa"/>
            <w:tcBorders>
              <w:top w:val="single" w:sz="2" w:space="0" w:color="auto"/>
              <w:left w:val="nil"/>
              <w:bottom w:val="single" w:sz="4" w:space="0" w:color="auto"/>
              <w:right w:val="nil"/>
            </w:tcBorders>
            <w:vAlign w:val="center"/>
          </w:tcPr>
          <w:p w:rsidR="00385F70" w:rsidRPr="00765C97" w:rsidRDefault="00385F70" w:rsidP="00385F70">
            <w:pPr>
              <w:spacing w:before="20" w:after="20"/>
              <w:ind w:right="141"/>
              <w:jc w:val="right"/>
              <w:rPr>
                <w:rFonts w:ascii="Arial" w:hAnsi="Arial"/>
                <w:sz w:val="20"/>
                <w:lang w:val="pl-PL"/>
              </w:rPr>
            </w:pPr>
            <w:r w:rsidRPr="00765C97">
              <w:rPr>
                <w:rFonts w:ascii="Arial" w:hAnsi="Arial"/>
                <w:sz w:val="20"/>
                <w:lang w:val="pl-PL"/>
              </w:rPr>
              <w:t>442</w:t>
            </w:r>
          </w:p>
        </w:tc>
      </w:tr>
      <w:tr w:rsidR="00385F70" w:rsidRPr="00765C97">
        <w:trPr>
          <w:cantSplit/>
          <w:trHeight w:val="255"/>
        </w:trPr>
        <w:tc>
          <w:tcPr>
            <w:tcW w:w="4500" w:type="dxa"/>
            <w:tcBorders>
              <w:left w:val="nil"/>
              <w:right w:val="nil"/>
            </w:tcBorders>
            <w:vAlign w:val="center"/>
          </w:tcPr>
          <w:p w:rsidR="00385F70" w:rsidRPr="00765C97" w:rsidRDefault="00385F70" w:rsidP="001C7834">
            <w:pPr>
              <w:spacing w:before="20" w:after="20"/>
              <w:rPr>
                <w:rFonts w:ascii="Arial" w:hAnsi="Arial"/>
                <w:b/>
                <w:sz w:val="20"/>
                <w:lang w:val="pl-PL"/>
              </w:rPr>
            </w:pPr>
            <w:r w:rsidRPr="00765C97">
              <w:rPr>
                <w:rFonts w:ascii="Arial" w:hAnsi="Arial"/>
                <w:b/>
                <w:sz w:val="20"/>
                <w:lang w:val="pl-PL"/>
              </w:rPr>
              <w:t>Razem środki pieniężne i ekwiwalenty</w:t>
            </w:r>
          </w:p>
        </w:tc>
        <w:tc>
          <w:tcPr>
            <w:tcW w:w="1972" w:type="dxa"/>
            <w:tcBorders>
              <w:top w:val="single" w:sz="2" w:space="0" w:color="auto"/>
              <w:left w:val="nil"/>
              <w:bottom w:val="single" w:sz="4" w:space="0" w:color="auto"/>
              <w:right w:val="nil"/>
            </w:tcBorders>
            <w:vAlign w:val="center"/>
          </w:tcPr>
          <w:p w:rsidR="00385F70" w:rsidRPr="00765C97" w:rsidRDefault="008E5968" w:rsidP="001C7834">
            <w:pPr>
              <w:spacing w:before="20" w:after="20"/>
              <w:ind w:right="141"/>
              <w:jc w:val="right"/>
              <w:rPr>
                <w:rFonts w:ascii="Arial" w:hAnsi="Arial"/>
                <w:b/>
                <w:sz w:val="20"/>
                <w:lang w:val="pl-PL"/>
              </w:rPr>
            </w:pPr>
            <w:r w:rsidRPr="00765C97">
              <w:rPr>
                <w:rFonts w:ascii="Arial" w:hAnsi="Arial"/>
                <w:b/>
                <w:sz w:val="20"/>
                <w:lang w:val="pl-PL"/>
              </w:rPr>
              <w:t>142 318</w:t>
            </w:r>
          </w:p>
        </w:tc>
        <w:tc>
          <w:tcPr>
            <w:tcW w:w="1808" w:type="dxa"/>
            <w:tcBorders>
              <w:top w:val="single" w:sz="2" w:space="0" w:color="auto"/>
              <w:left w:val="nil"/>
              <w:bottom w:val="single" w:sz="4" w:space="0" w:color="auto"/>
              <w:right w:val="nil"/>
            </w:tcBorders>
            <w:vAlign w:val="center"/>
          </w:tcPr>
          <w:p w:rsidR="00385F70" w:rsidRPr="00765C97" w:rsidRDefault="00385F70" w:rsidP="00385F70">
            <w:pPr>
              <w:spacing w:before="20" w:after="20"/>
              <w:ind w:right="141"/>
              <w:jc w:val="right"/>
              <w:rPr>
                <w:rFonts w:ascii="Arial" w:hAnsi="Arial"/>
                <w:b/>
                <w:sz w:val="20"/>
                <w:lang w:val="pl-PL"/>
              </w:rPr>
            </w:pPr>
            <w:r w:rsidRPr="00765C97">
              <w:rPr>
                <w:rFonts w:ascii="Arial" w:hAnsi="Arial"/>
                <w:b/>
                <w:sz w:val="20"/>
                <w:lang w:val="pl-PL"/>
              </w:rPr>
              <w:t>193 337</w:t>
            </w:r>
          </w:p>
        </w:tc>
      </w:tr>
    </w:tbl>
    <w:p w:rsidR="00582C28" w:rsidRPr="00765C97" w:rsidRDefault="00582C28" w:rsidP="00582C28">
      <w:pPr>
        <w:tabs>
          <w:tab w:val="left" w:pos="180"/>
        </w:tabs>
        <w:ind w:left="180"/>
        <w:jc w:val="both"/>
        <w:rPr>
          <w:rFonts w:ascii="Arial" w:hAnsi="Arial"/>
          <w:spacing w:val="-2"/>
          <w:sz w:val="20"/>
          <w:lang w:val="pl-PL"/>
        </w:rPr>
      </w:pPr>
    </w:p>
    <w:p w:rsidR="00CE7D37" w:rsidRPr="00765C97" w:rsidRDefault="00CE7D37" w:rsidP="000428B8">
      <w:pPr>
        <w:tabs>
          <w:tab w:val="left" w:pos="8364"/>
        </w:tabs>
        <w:jc w:val="both"/>
        <w:rPr>
          <w:rFonts w:ascii="Arial" w:hAnsi="Arial" w:cs="Arial"/>
          <w:spacing w:val="-1"/>
          <w:sz w:val="20"/>
          <w:szCs w:val="20"/>
          <w:lang w:val="pl-PL"/>
        </w:rPr>
      </w:pPr>
      <w:r w:rsidRPr="00765C97">
        <w:rPr>
          <w:rFonts w:ascii="Arial" w:hAnsi="Arial" w:cs="Arial"/>
          <w:spacing w:val="-1"/>
          <w:sz w:val="20"/>
          <w:szCs w:val="20"/>
          <w:lang w:val="pl-PL"/>
        </w:rPr>
        <w:t>Efektywna stopa procentowa krótkoterminowych depozytów bankowych wyniosła w 2012 roku dla złotego 4,38%, dla euro 0,32% oraz dla dolara 0,34%. Przeciętny termin wymagalności depozytów wyniósł dla złotego 7,74 dnia, dla euro 5,38 dnia, dla dolara 5,69 dnia.</w:t>
      </w:r>
    </w:p>
    <w:p w:rsidR="00CE7D37" w:rsidRPr="00765C97" w:rsidRDefault="00CE7D37" w:rsidP="000428B8">
      <w:pPr>
        <w:tabs>
          <w:tab w:val="left" w:pos="8364"/>
        </w:tabs>
        <w:jc w:val="both"/>
        <w:rPr>
          <w:rFonts w:ascii="Arial" w:hAnsi="Arial" w:cs="Arial"/>
          <w:spacing w:val="-1"/>
          <w:sz w:val="20"/>
          <w:szCs w:val="20"/>
          <w:lang w:val="pl-PL"/>
        </w:rPr>
      </w:pPr>
      <w:r w:rsidRPr="00765C97">
        <w:rPr>
          <w:rFonts w:ascii="Arial" w:hAnsi="Arial" w:cs="Arial"/>
          <w:spacing w:val="-1"/>
          <w:sz w:val="20"/>
          <w:szCs w:val="20"/>
          <w:lang w:val="pl-PL"/>
        </w:rPr>
        <w:t>Dla potrzeb rachunku przepływów pieniężnych w skład środków pieniężnych wchodzą środki pieniężne w kasie i depozyty. Kredyt w rachunku bieżącym jest ujmowany w działalności finansowej.</w:t>
      </w:r>
    </w:p>
    <w:p w:rsidR="00B24DA9" w:rsidRPr="00765C97" w:rsidRDefault="00CE7D37" w:rsidP="000428B8">
      <w:pPr>
        <w:tabs>
          <w:tab w:val="left" w:pos="8364"/>
        </w:tabs>
        <w:jc w:val="both"/>
        <w:rPr>
          <w:rFonts w:ascii="Arial" w:hAnsi="Arial"/>
          <w:spacing w:val="-1"/>
          <w:sz w:val="20"/>
          <w:lang w:val="pl-PL"/>
        </w:rPr>
      </w:pPr>
      <w:r w:rsidRPr="00765C97">
        <w:rPr>
          <w:rFonts w:ascii="Arial" w:hAnsi="Arial" w:cs="Arial"/>
          <w:spacing w:val="-1"/>
          <w:sz w:val="20"/>
          <w:szCs w:val="20"/>
          <w:lang w:val="pl-PL"/>
        </w:rPr>
        <w:t>Na dzień 31 grudnia 2012 r. Grupa posiadała środki pieniężne o ograniczonej możliwości dysponowania w kwocie: 969 tys. zł. Są to: depozyty kaucyjne złożone przez spółki Grupy Comarch w związku z zawartymi umowami najmu oraz gwarancjami bankowymi w wys. 253  tys. zł oraz środki na wyodrębnionym rachunku ZFŚS w wys. 716 tys. zł.</w:t>
      </w:r>
    </w:p>
    <w:p w:rsidR="00B24DA9" w:rsidRPr="00765C97" w:rsidRDefault="00B24DA9" w:rsidP="00135A9A">
      <w:pPr>
        <w:pStyle w:val="Nagwek3"/>
        <w:numPr>
          <w:ilvl w:val="1"/>
          <w:numId w:val="22"/>
        </w:numPr>
        <w:spacing w:after="240"/>
        <w:ind w:left="709" w:hanging="567"/>
        <w:rPr>
          <w:sz w:val="20"/>
          <w:lang w:val="pl-PL"/>
        </w:rPr>
      </w:pPr>
      <w:bookmarkStart w:id="61" w:name="_Toc353973222"/>
      <w:r w:rsidRPr="00765C97">
        <w:rPr>
          <w:sz w:val="20"/>
          <w:lang w:val="pl-PL"/>
        </w:rPr>
        <w:t>Kapitał zakładowy</w:t>
      </w:r>
      <w:bookmarkEnd w:id="61"/>
    </w:p>
    <w:tbl>
      <w:tblPr>
        <w:tblW w:w="0" w:type="auto"/>
        <w:tblInd w:w="288" w:type="dxa"/>
        <w:tblLayout w:type="fixed"/>
        <w:tblLook w:val="0000"/>
      </w:tblPr>
      <w:tblGrid>
        <w:gridCol w:w="2900"/>
        <w:gridCol w:w="1393"/>
        <w:gridCol w:w="1888"/>
        <w:gridCol w:w="883"/>
        <w:gridCol w:w="1156"/>
      </w:tblGrid>
      <w:tr w:rsidR="0071614D" w:rsidRPr="00765C97">
        <w:trPr>
          <w:trHeight w:val="255"/>
        </w:trPr>
        <w:tc>
          <w:tcPr>
            <w:tcW w:w="2900" w:type="dxa"/>
          </w:tcPr>
          <w:p w:rsidR="0071614D" w:rsidRPr="00765C97" w:rsidRDefault="0071614D" w:rsidP="0071614D">
            <w:pPr>
              <w:pStyle w:val="Style1"/>
              <w:adjustRightInd/>
              <w:ind w:left="180" w:right="-108"/>
              <w:rPr>
                <w:rFonts w:ascii="Arial" w:hAnsi="Arial"/>
                <w:lang w:val="pl-PL"/>
              </w:rPr>
            </w:pPr>
          </w:p>
        </w:tc>
        <w:tc>
          <w:tcPr>
            <w:tcW w:w="1393" w:type="dxa"/>
            <w:vAlign w:val="center"/>
          </w:tcPr>
          <w:p w:rsidR="0071614D" w:rsidRPr="00765C97" w:rsidRDefault="0071614D" w:rsidP="0071614D">
            <w:pPr>
              <w:pStyle w:val="Style1"/>
              <w:adjustRightInd/>
              <w:ind w:left="-108"/>
              <w:jc w:val="right"/>
              <w:rPr>
                <w:rFonts w:ascii="Arial" w:hAnsi="Arial"/>
                <w:b/>
                <w:lang w:val="pl-PL"/>
              </w:rPr>
            </w:pPr>
            <w:r w:rsidRPr="00765C97">
              <w:rPr>
                <w:rFonts w:ascii="Arial" w:hAnsi="Arial"/>
                <w:b/>
                <w:lang w:val="pl-PL"/>
              </w:rPr>
              <w:t>Ilość akcji (szt.)</w:t>
            </w:r>
          </w:p>
        </w:tc>
        <w:tc>
          <w:tcPr>
            <w:tcW w:w="1888" w:type="dxa"/>
            <w:vAlign w:val="center"/>
          </w:tcPr>
          <w:p w:rsidR="0071614D" w:rsidRPr="00765C97" w:rsidRDefault="0071614D" w:rsidP="0071614D">
            <w:pPr>
              <w:pStyle w:val="Style1"/>
              <w:adjustRightInd/>
              <w:ind w:hanging="115"/>
              <w:jc w:val="right"/>
              <w:rPr>
                <w:rFonts w:ascii="Arial" w:hAnsi="Arial"/>
                <w:b/>
                <w:lang w:val="pl-PL"/>
              </w:rPr>
            </w:pPr>
            <w:r w:rsidRPr="00765C97">
              <w:rPr>
                <w:rFonts w:ascii="Arial" w:hAnsi="Arial"/>
                <w:b/>
                <w:lang w:val="pl-PL"/>
              </w:rPr>
              <w:t>Akcje zwykłe i uprzywilejowane</w:t>
            </w:r>
          </w:p>
        </w:tc>
        <w:tc>
          <w:tcPr>
            <w:tcW w:w="883" w:type="dxa"/>
            <w:vAlign w:val="center"/>
          </w:tcPr>
          <w:p w:rsidR="0071614D" w:rsidRPr="00765C97" w:rsidRDefault="0071614D" w:rsidP="0071614D">
            <w:pPr>
              <w:pStyle w:val="Style1"/>
              <w:adjustRightInd/>
              <w:ind w:left="-115"/>
              <w:jc w:val="right"/>
              <w:rPr>
                <w:rFonts w:ascii="Arial" w:hAnsi="Arial"/>
                <w:b/>
                <w:lang w:val="pl-PL"/>
              </w:rPr>
            </w:pPr>
            <w:r w:rsidRPr="00765C97">
              <w:rPr>
                <w:rFonts w:ascii="Arial" w:hAnsi="Arial"/>
                <w:b/>
                <w:lang w:val="pl-PL"/>
              </w:rPr>
              <w:t>Akcje własne</w:t>
            </w:r>
          </w:p>
        </w:tc>
        <w:tc>
          <w:tcPr>
            <w:tcW w:w="1156" w:type="dxa"/>
            <w:vAlign w:val="center"/>
          </w:tcPr>
          <w:p w:rsidR="0071614D" w:rsidRPr="00765C97" w:rsidRDefault="0071614D" w:rsidP="0071614D">
            <w:pPr>
              <w:pStyle w:val="Style1"/>
              <w:adjustRightInd/>
              <w:ind w:left="-108"/>
              <w:jc w:val="right"/>
              <w:rPr>
                <w:rFonts w:ascii="Arial" w:hAnsi="Arial"/>
                <w:b/>
                <w:lang w:val="pl-PL"/>
              </w:rPr>
            </w:pPr>
            <w:r w:rsidRPr="00765C97">
              <w:rPr>
                <w:rFonts w:ascii="Arial" w:hAnsi="Arial"/>
                <w:b/>
                <w:lang w:val="pl-PL"/>
              </w:rPr>
              <w:t>Razem</w:t>
            </w:r>
          </w:p>
        </w:tc>
      </w:tr>
      <w:tr w:rsidR="00385F70" w:rsidRPr="00765C97">
        <w:trPr>
          <w:trHeight w:val="255"/>
        </w:trPr>
        <w:tc>
          <w:tcPr>
            <w:tcW w:w="2900" w:type="dxa"/>
            <w:vAlign w:val="center"/>
          </w:tcPr>
          <w:p w:rsidR="00385F70" w:rsidRPr="00765C97" w:rsidRDefault="00385F70" w:rsidP="00385F70">
            <w:pPr>
              <w:pStyle w:val="Style1"/>
              <w:adjustRightInd/>
              <w:spacing w:line="240" w:lineRule="atLeast"/>
              <w:ind w:left="72"/>
              <w:rPr>
                <w:rFonts w:ascii="Arial" w:hAnsi="Arial"/>
                <w:b/>
                <w:lang w:val="pl-PL"/>
              </w:rPr>
            </w:pPr>
            <w:r w:rsidRPr="00765C97">
              <w:rPr>
                <w:rFonts w:ascii="Arial" w:hAnsi="Arial"/>
                <w:b/>
                <w:lang w:val="pl-PL"/>
              </w:rPr>
              <w:t>Stan na 1 stycznia 2011 r.</w:t>
            </w:r>
          </w:p>
        </w:tc>
        <w:tc>
          <w:tcPr>
            <w:tcW w:w="1393" w:type="dxa"/>
            <w:tcBorders>
              <w:bottom w:val="single" w:sz="4" w:space="0" w:color="auto"/>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8 051 637</w:t>
            </w:r>
          </w:p>
        </w:tc>
        <w:tc>
          <w:tcPr>
            <w:tcW w:w="1888" w:type="dxa"/>
            <w:tcBorders>
              <w:bottom w:val="single" w:sz="4" w:space="0" w:color="auto"/>
            </w:tcBorders>
            <w:vAlign w:val="center"/>
          </w:tcPr>
          <w:p w:rsidR="00385F70" w:rsidRPr="00765C97" w:rsidRDefault="00385F70" w:rsidP="00385F70">
            <w:pPr>
              <w:jc w:val="right"/>
              <w:rPr>
                <w:rFonts w:ascii="Arial" w:hAnsi="Arial"/>
                <w:b/>
                <w:sz w:val="20"/>
                <w:lang w:val="pl-PL"/>
              </w:rPr>
            </w:pPr>
            <w:r w:rsidRPr="00765C97">
              <w:rPr>
                <w:rFonts w:ascii="Arial" w:hAnsi="Arial"/>
                <w:b/>
                <w:sz w:val="20"/>
                <w:lang w:val="pl-PL"/>
              </w:rPr>
              <w:t>8 051 637</w:t>
            </w:r>
          </w:p>
        </w:tc>
        <w:tc>
          <w:tcPr>
            <w:tcW w:w="883" w:type="dxa"/>
            <w:tcBorders>
              <w:bottom w:val="single" w:sz="4" w:space="0" w:color="auto"/>
            </w:tcBorders>
            <w:vAlign w:val="center"/>
          </w:tcPr>
          <w:p w:rsidR="00385F70" w:rsidRPr="00765C97" w:rsidRDefault="00385F70" w:rsidP="00385F70">
            <w:pPr>
              <w:pStyle w:val="Style1"/>
              <w:adjustRightInd/>
              <w:spacing w:line="240" w:lineRule="atLeast"/>
              <w:jc w:val="right"/>
              <w:rPr>
                <w:rFonts w:ascii="Arial" w:hAnsi="Arial"/>
                <w:b/>
                <w:lang w:val="pl-PL"/>
              </w:rPr>
            </w:pPr>
            <w:r w:rsidRPr="00765C97">
              <w:rPr>
                <w:rFonts w:ascii="Arial" w:hAnsi="Arial"/>
                <w:b/>
                <w:lang w:val="pl-PL"/>
              </w:rPr>
              <w:t>-</w:t>
            </w:r>
          </w:p>
        </w:tc>
        <w:tc>
          <w:tcPr>
            <w:tcW w:w="1156" w:type="dxa"/>
            <w:tcBorders>
              <w:bottom w:val="single" w:sz="4" w:space="0" w:color="auto"/>
            </w:tcBorders>
            <w:vAlign w:val="center"/>
          </w:tcPr>
          <w:p w:rsidR="00385F70" w:rsidRPr="00765C97" w:rsidRDefault="00385F70" w:rsidP="00385F70">
            <w:pPr>
              <w:ind w:left="12" w:hanging="12"/>
              <w:jc w:val="right"/>
              <w:rPr>
                <w:rFonts w:ascii="Arial" w:hAnsi="Arial"/>
                <w:b/>
                <w:sz w:val="20"/>
                <w:lang w:val="pl-PL"/>
              </w:rPr>
            </w:pPr>
            <w:r w:rsidRPr="00765C97">
              <w:rPr>
                <w:rFonts w:ascii="Arial" w:hAnsi="Arial"/>
                <w:b/>
                <w:sz w:val="20"/>
                <w:lang w:val="pl-PL"/>
              </w:rPr>
              <w:t>8 051 637</w:t>
            </w:r>
          </w:p>
        </w:tc>
      </w:tr>
      <w:tr w:rsidR="0071614D" w:rsidRPr="00765C97">
        <w:trPr>
          <w:trHeight w:val="255"/>
        </w:trPr>
        <w:tc>
          <w:tcPr>
            <w:tcW w:w="2900" w:type="dxa"/>
            <w:vAlign w:val="center"/>
          </w:tcPr>
          <w:p w:rsidR="0071614D" w:rsidRPr="00765C97" w:rsidRDefault="00385F70" w:rsidP="0071614D">
            <w:pPr>
              <w:pStyle w:val="Style1"/>
              <w:adjustRightInd/>
              <w:spacing w:line="240" w:lineRule="atLeast"/>
              <w:ind w:left="72"/>
              <w:rPr>
                <w:rFonts w:ascii="Arial" w:hAnsi="Arial"/>
                <w:b/>
                <w:lang w:val="pl-PL"/>
              </w:rPr>
            </w:pPr>
            <w:r w:rsidRPr="00765C97">
              <w:rPr>
                <w:rFonts w:ascii="Arial" w:hAnsi="Arial"/>
                <w:b/>
                <w:lang w:val="pl-PL"/>
              </w:rPr>
              <w:t>Stan na 31 grudnia 2011</w:t>
            </w:r>
            <w:r w:rsidR="0071614D" w:rsidRPr="00765C97">
              <w:rPr>
                <w:rFonts w:ascii="Arial" w:hAnsi="Arial"/>
                <w:b/>
                <w:lang w:val="pl-PL"/>
              </w:rPr>
              <w:t xml:space="preserve"> r.</w:t>
            </w:r>
          </w:p>
        </w:tc>
        <w:tc>
          <w:tcPr>
            <w:tcW w:w="1393" w:type="dxa"/>
            <w:tcBorders>
              <w:top w:val="single" w:sz="4" w:space="0" w:color="auto"/>
              <w:bottom w:val="single" w:sz="4" w:space="0" w:color="auto"/>
            </w:tcBorders>
            <w:vAlign w:val="center"/>
          </w:tcPr>
          <w:p w:rsidR="0071614D" w:rsidRPr="00765C97" w:rsidRDefault="0071614D" w:rsidP="0071614D">
            <w:pPr>
              <w:jc w:val="right"/>
              <w:rPr>
                <w:rFonts w:ascii="Arial" w:hAnsi="Arial"/>
                <w:b/>
                <w:sz w:val="20"/>
                <w:lang w:val="pl-PL"/>
              </w:rPr>
            </w:pPr>
            <w:r w:rsidRPr="00765C97">
              <w:rPr>
                <w:rFonts w:ascii="Arial" w:hAnsi="Arial"/>
                <w:b/>
                <w:sz w:val="20"/>
                <w:lang w:val="pl-PL"/>
              </w:rPr>
              <w:t>8 051 637</w:t>
            </w:r>
          </w:p>
        </w:tc>
        <w:tc>
          <w:tcPr>
            <w:tcW w:w="1888" w:type="dxa"/>
            <w:tcBorders>
              <w:top w:val="single" w:sz="4" w:space="0" w:color="auto"/>
              <w:bottom w:val="single" w:sz="4" w:space="0" w:color="auto"/>
            </w:tcBorders>
            <w:vAlign w:val="center"/>
          </w:tcPr>
          <w:p w:rsidR="0071614D" w:rsidRPr="00765C97" w:rsidRDefault="0071614D" w:rsidP="0071614D">
            <w:pPr>
              <w:jc w:val="right"/>
              <w:rPr>
                <w:rFonts w:ascii="Arial" w:hAnsi="Arial"/>
                <w:b/>
                <w:sz w:val="20"/>
                <w:lang w:val="pl-PL"/>
              </w:rPr>
            </w:pPr>
            <w:r w:rsidRPr="00765C97">
              <w:rPr>
                <w:rFonts w:ascii="Arial" w:hAnsi="Arial"/>
                <w:b/>
                <w:sz w:val="20"/>
                <w:lang w:val="pl-PL"/>
              </w:rPr>
              <w:t>8 051 637</w:t>
            </w:r>
          </w:p>
        </w:tc>
        <w:tc>
          <w:tcPr>
            <w:tcW w:w="883" w:type="dxa"/>
            <w:tcBorders>
              <w:top w:val="single" w:sz="4" w:space="0" w:color="auto"/>
              <w:bottom w:val="single" w:sz="4" w:space="0" w:color="auto"/>
            </w:tcBorders>
            <w:vAlign w:val="center"/>
          </w:tcPr>
          <w:p w:rsidR="0071614D" w:rsidRPr="00765C97" w:rsidRDefault="0071614D" w:rsidP="0071614D">
            <w:pPr>
              <w:pStyle w:val="Style1"/>
              <w:adjustRightInd/>
              <w:spacing w:line="240" w:lineRule="atLeast"/>
              <w:jc w:val="right"/>
              <w:rPr>
                <w:rFonts w:ascii="Arial" w:hAnsi="Arial"/>
                <w:b/>
                <w:lang w:val="pl-PL"/>
              </w:rPr>
            </w:pPr>
            <w:r w:rsidRPr="00765C97">
              <w:rPr>
                <w:rFonts w:ascii="Arial" w:hAnsi="Arial"/>
                <w:b/>
                <w:lang w:val="pl-PL"/>
              </w:rPr>
              <w:t>-</w:t>
            </w:r>
          </w:p>
        </w:tc>
        <w:tc>
          <w:tcPr>
            <w:tcW w:w="1156" w:type="dxa"/>
            <w:tcBorders>
              <w:top w:val="single" w:sz="4" w:space="0" w:color="auto"/>
              <w:bottom w:val="single" w:sz="4" w:space="0" w:color="auto"/>
            </w:tcBorders>
            <w:vAlign w:val="center"/>
          </w:tcPr>
          <w:p w:rsidR="0071614D" w:rsidRPr="00765C97" w:rsidRDefault="0071614D" w:rsidP="0071614D">
            <w:pPr>
              <w:ind w:left="12" w:hanging="12"/>
              <w:jc w:val="right"/>
              <w:rPr>
                <w:rFonts w:ascii="Arial" w:hAnsi="Arial"/>
                <w:b/>
                <w:sz w:val="20"/>
                <w:lang w:val="pl-PL"/>
              </w:rPr>
            </w:pPr>
            <w:r w:rsidRPr="00765C97">
              <w:rPr>
                <w:rFonts w:ascii="Arial" w:hAnsi="Arial"/>
                <w:b/>
                <w:sz w:val="20"/>
                <w:lang w:val="pl-PL"/>
              </w:rPr>
              <w:t>8 051 637</w:t>
            </w:r>
          </w:p>
        </w:tc>
      </w:tr>
      <w:tr w:rsidR="0071614D" w:rsidRPr="00765C97">
        <w:trPr>
          <w:trHeight w:val="255"/>
        </w:trPr>
        <w:tc>
          <w:tcPr>
            <w:tcW w:w="2900" w:type="dxa"/>
            <w:vAlign w:val="center"/>
          </w:tcPr>
          <w:p w:rsidR="0071614D" w:rsidRPr="00765C97" w:rsidRDefault="00385F70" w:rsidP="0071614D">
            <w:pPr>
              <w:pStyle w:val="Style1"/>
              <w:adjustRightInd/>
              <w:spacing w:line="240" w:lineRule="atLeast"/>
              <w:ind w:left="72"/>
              <w:rPr>
                <w:rFonts w:ascii="Arial" w:hAnsi="Arial"/>
                <w:b/>
                <w:lang w:val="pl-PL"/>
              </w:rPr>
            </w:pPr>
            <w:r w:rsidRPr="00765C97">
              <w:rPr>
                <w:rFonts w:ascii="Arial" w:hAnsi="Arial"/>
                <w:b/>
                <w:lang w:val="pl-PL"/>
              </w:rPr>
              <w:t>Stan na 31 grudnia 2012</w:t>
            </w:r>
            <w:r w:rsidR="0071614D" w:rsidRPr="00765C97">
              <w:rPr>
                <w:rFonts w:ascii="Arial" w:hAnsi="Arial"/>
                <w:b/>
                <w:lang w:val="pl-PL"/>
              </w:rPr>
              <w:t xml:space="preserve"> r.</w:t>
            </w:r>
          </w:p>
        </w:tc>
        <w:tc>
          <w:tcPr>
            <w:tcW w:w="1393" w:type="dxa"/>
            <w:tcBorders>
              <w:top w:val="single" w:sz="4" w:space="0" w:color="auto"/>
              <w:bottom w:val="single" w:sz="4" w:space="0" w:color="auto"/>
            </w:tcBorders>
            <w:vAlign w:val="center"/>
          </w:tcPr>
          <w:p w:rsidR="0071614D" w:rsidRPr="00765C97" w:rsidRDefault="0071614D" w:rsidP="0071614D">
            <w:pPr>
              <w:jc w:val="right"/>
              <w:rPr>
                <w:rFonts w:ascii="Arial" w:hAnsi="Arial"/>
                <w:b/>
                <w:sz w:val="20"/>
                <w:lang w:val="pl-PL"/>
              </w:rPr>
            </w:pPr>
            <w:r w:rsidRPr="00765C97">
              <w:rPr>
                <w:rFonts w:ascii="Arial" w:hAnsi="Arial"/>
                <w:b/>
                <w:sz w:val="20"/>
                <w:lang w:val="pl-PL"/>
              </w:rPr>
              <w:t>8 051 637</w:t>
            </w:r>
          </w:p>
        </w:tc>
        <w:tc>
          <w:tcPr>
            <w:tcW w:w="1888" w:type="dxa"/>
            <w:tcBorders>
              <w:top w:val="single" w:sz="4" w:space="0" w:color="auto"/>
              <w:bottom w:val="single" w:sz="4" w:space="0" w:color="auto"/>
            </w:tcBorders>
            <w:vAlign w:val="center"/>
          </w:tcPr>
          <w:p w:rsidR="0071614D" w:rsidRPr="00765C97" w:rsidRDefault="0071614D" w:rsidP="0071614D">
            <w:pPr>
              <w:jc w:val="right"/>
              <w:rPr>
                <w:rFonts w:ascii="Arial" w:hAnsi="Arial"/>
                <w:b/>
                <w:sz w:val="20"/>
                <w:lang w:val="pl-PL"/>
              </w:rPr>
            </w:pPr>
            <w:r w:rsidRPr="00765C97">
              <w:rPr>
                <w:rFonts w:ascii="Arial" w:hAnsi="Arial"/>
                <w:b/>
                <w:sz w:val="20"/>
                <w:lang w:val="pl-PL"/>
              </w:rPr>
              <w:t>8 051 637</w:t>
            </w:r>
          </w:p>
        </w:tc>
        <w:tc>
          <w:tcPr>
            <w:tcW w:w="883" w:type="dxa"/>
            <w:tcBorders>
              <w:top w:val="single" w:sz="4" w:space="0" w:color="auto"/>
              <w:bottom w:val="single" w:sz="4" w:space="0" w:color="auto"/>
            </w:tcBorders>
            <w:vAlign w:val="center"/>
          </w:tcPr>
          <w:p w:rsidR="0071614D" w:rsidRPr="00765C97" w:rsidRDefault="0071614D" w:rsidP="0071614D">
            <w:pPr>
              <w:pStyle w:val="Style1"/>
              <w:adjustRightInd/>
              <w:spacing w:line="240" w:lineRule="atLeast"/>
              <w:jc w:val="right"/>
              <w:rPr>
                <w:rFonts w:ascii="Arial" w:hAnsi="Arial"/>
                <w:b/>
                <w:lang w:val="pl-PL"/>
              </w:rPr>
            </w:pPr>
            <w:r w:rsidRPr="00765C97">
              <w:rPr>
                <w:rFonts w:ascii="Arial" w:hAnsi="Arial"/>
                <w:b/>
                <w:lang w:val="pl-PL"/>
              </w:rPr>
              <w:t>-</w:t>
            </w:r>
          </w:p>
        </w:tc>
        <w:tc>
          <w:tcPr>
            <w:tcW w:w="1156" w:type="dxa"/>
            <w:tcBorders>
              <w:top w:val="single" w:sz="4" w:space="0" w:color="auto"/>
              <w:bottom w:val="single" w:sz="4" w:space="0" w:color="auto"/>
            </w:tcBorders>
            <w:vAlign w:val="center"/>
          </w:tcPr>
          <w:p w:rsidR="0071614D" w:rsidRPr="00765C97" w:rsidRDefault="0071614D" w:rsidP="0071614D">
            <w:pPr>
              <w:ind w:left="12" w:hanging="12"/>
              <w:jc w:val="right"/>
              <w:rPr>
                <w:rFonts w:ascii="Arial" w:hAnsi="Arial"/>
                <w:b/>
                <w:sz w:val="20"/>
                <w:lang w:val="pl-PL"/>
              </w:rPr>
            </w:pPr>
            <w:r w:rsidRPr="00765C97">
              <w:rPr>
                <w:rFonts w:ascii="Arial" w:hAnsi="Arial"/>
                <w:b/>
                <w:sz w:val="20"/>
                <w:lang w:val="pl-PL"/>
              </w:rPr>
              <w:t>8 051 637</w:t>
            </w:r>
          </w:p>
        </w:tc>
      </w:tr>
    </w:tbl>
    <w:p w:rsidR="0071614D" w:rsidRPr="00765C97" w:rsidRDefault="0071614D" w:rsidP="0071614D">
      <w:pPr>
        <w:pStyle w:val="NormalnyWeb"/>
        <w:spacing w:before="0" w:beforeAutospacing="0" w:after="0" w:afterAutospacing="0"/>
        <w:ind w:left="181"/>
        <w:jc w:val="both"/>
        <w:rPr>
          <w:rFonts w:ascii="Arial" w:hAnsi="Arial"/>
          <w:sz w:val="20"/>
        </w:rPr>
      </w:pPr>
    </w:p>
    <w:p w:rsidR="0071614D" w:rsidRPr="00765C97" w:rsidRDefault="0071614D" w:rsidP="000428B8">
      <w:pPr>
        <w:pStyle w:val="NormalnyWeb"/>
        <w:spacing w:before="0" w:beforeAutospacing="0" w:after="0" w:afterAutospacing="0"/>
        <w:jc w:val="both"/>
        <w:rPr>
          <w:rFonts w:ascii="Arial" w:hAnsi="Arial"/>
          <w:sz w:val="20"/>
        </w:rPr>
      </w:pPr>
      <w:r w:rsidRPr="00765C97">
        <w:rPr>
          <w:rFonts w:ascii="Arial" w:hAnsi="Arial"/>
          <w:sz w:val="20"/>
        </w:rPr>
        <w:t>Wartość nominalna każdej akcji wynosi 1 zł.</w:t>
      </w:r>
    </w:p>
    <w:p w:rsidR="0071614D" w:rsidRPr="00765C97" w:rsidRDefault="0071614D" w:rsidP="000428B8">
      <w:pPr>
        <w:pStyle w:val="NormalnyWeb"/>
        <w:spacing w:before="0" w:beforeAutospacing="0" w:after="0" w:afterAutospacing="0"/>
        <w:jc w:val="both"/>
        <w:rPr>
          <w:rFonts w:ascii="Arial" w:hAnsi="Arial"/>
        </w:rPr>
      </w:pPr>
    </w:p>
    <w:p w:rsidR="0071614D" w:rsidRPr="00765C97" w:rsidRDefault="0071614D" w:rsidP="000428B8">
      <w:pPr>
        <w:pStyle w:val="NormalnyWeb"/>
        <w:spacing w:before="0" w:beforeAutospacing="0" w:after="0" w:afterAutospacing="0"/>
        <w:jc w:val="both"/>
        <w:rPr>
          <w:rFonts w:ascii="Arial" w:hAnsi="Arial"/>
          <w:sz w:val="20"/>
        </w:rPr>
      </w:pPr>
      <w:r w:rsidRPr="00765C97">
        <w:rPr>
          <w:rFonts w:ascii="Arial" w:hAnsi="Arial"/>
          <w:sz w:val="20"/>
        </w:rPr>
        <w:t xml:space="preserve">Na kapitał zakładowy Comarch S.A. składa się: </w:t>
      </w:r>
    </w:p>
    <w:p w:rsidR="0071614D" w:rsidRPr="00765C97" w:rsidRDefault="0071614D" w:rsidP="000428B8">
      <w:pPr>
        <w:pStyle w:val="NormalnyWeb"/>
        <w:spacing w:before="0" w:beforeAutospacing="0" w:after="0" w:afterAutospacing="0"/>
        <w:rPr>
          <w:rFonts w:ascii="Arial" w:hAnsi="Arial"/>
          <w:sz w:val="20"/>
        </w:rPr>
      </w:pPr>
      <w:r w:rsidRPr="00765C97">
        <w:rPr>
          <w:rFonts w:ascii="Arial" w:hAnsi="Arial"/>
          <w:sz w:val="20"/>
        </w:rPr>
        <w:t xml:space="preserve">1) 864 800 akcji imiennych uprzywilejowanych serii A, </w:t>
      </w:r>
    </w:p>
    <w:p w:rsidR="0071614D" w:rsidRPr="00765C97" w:rsidRDefault="0071614D" w:rsidP="000428B8">
      <w:pPr>
        <w:pStyle w:val="NormalnyWeb"/>
        <w:spacing w:before="0" w:beforeAutospacing="0" w:after="0" w:afterAutospacing="0"/>
        <w:jc w:val="both"/>
        <w:rPr>
          <w:rFonts w:ascii="Arial" w:hAnsi="Arial"/>
          <w:sz w:val="20"/>
        </w:rPr>
      </w:pPr>
      <w:r w:rsidRPr="00765C97">
        <w:rPr>
          <w:rFonts w:ascii="Arial" w:hAnsi="Arial"/>
          <w:sz w:val="20"/>
        </w:rPr>
        <w:t>2) 75 200 akcji zwykłych na okaziciela serii A,</w:t>
      </w:r>
    </w:p>
    <w:p w:rsidR="0071614D" w:rsidRPr="00765C97" w:rsidRDefault="0071614D" w:rsidP="000428B8">
      <w:pPr>
        <w:pStyle w:val="NormalnyWeb"/>
        <w:spacing w:before="0" w:beforeAutospacing="0" w:after="0" w:afterAutospacing="0"/>
        <w:jc w:val="both"/>
        <w:rPr>
          <w:rFonts w:ascii="Arial" w:hAnsi="Arial"/>
          <w:sz w:val="20"/>
        </w:rPr>
      </w:pPr>
      <w:r w:rsidRPr="00765C97">
        <w:rPr>
          <w:rFonts w:ascii="Arial" w:hAnsi="Arial"/>
          <w:sz w:val="20"/>
        </w:rPr>
        <w:t>3) 883 600 akcji imiennych uprzywilejowanych serii B,</w:t>
      </w:r>
    </w:p>
    <w:p w:rsidR="0071614D" w:rsidRPr="00765C97" w:rsidRDefault="0071614D" w:rsidP="000428B8">
      <w:pPr>
        <w:pStyle w:val="NormalnyWeb"/>
        <w:spacing w:before="0" w:beforeAutospacing="0" w:after="0" w:afterAutospacing="0"/>
        <w:jc w:val="both"/>
        <w:rPr>
          <w:rFonts w:ascii="Arial" w:hAnsi="Arial"/>
          <w:sz w:val="20"/>
        </w:rPr>
      </w:pPr>
      <w:r w:rsidRPr="00765C97">
        <w:rPr>
          <w:rFonts w:ascii="Arial" w:hAnsi="Arial"/>
          <w:sz w:val="20"/>
        </w:rPr>
        <w:t>4) 56 400 akcji zwykłych na okaziciela serii B,</w:t>
      </w:r>
    </w:p>
    <w:p w:rsidR="0071614D" w:rsidRPr="00765C97" w:rsidRDefault="0071614D" w:rsidP="000428B8">
      <w:pPr>
        <w:pStyle w:val="NormalnyWeb"/>
        <w:spacing w:before="0" w:beforeAutospacing="0" w:after="0" w:afterAutospacing="0"/>
        <w:jc w:val="both"/>
        <w:rPr>
          <w:rFonts w:ascii="Arial" w:hAnsi="Arial"/>
          <w:sz w:val="20"/>
        </w:rPr>
      </w:pPr>
      <w:r w:rsidRPr="00765C97">
        <w:rPr>
          <w:rFonts w:ascii="Arial" w:hAnsi="Arial"/>
          <w:sz w:val="20"/>
        </w:rPr>
        <w:t>5) 3 008 000 akcji zwykłych na okaziciela serii C,</w:t>
      </w:r>
    </w:p>
    <w:p w:rsidR="0071614D" w:rsidRPr="00765C97" w:rsidRDefault="0071614D" w:rsidP="000428B8">
      <w:pPr>
        <w:pStyle w:val="NormalnyWeb"/>
        <w:spacing w:before="0" w:beforeAutospacing="0" w:after="0" w:afterAutospacing="0"/>
        <w:jc w:val="both"/>
        <w:rPr>
          <w:rFonts w:ascii="Arial" w:hAnsi="Arial"/>
          <w:sz w:val="20"/>
        </w:rPr>
      </w:pPr>
      <w:r w:rsidRPr="00765C97">
        <w:rPr>
          <w:rFonts w:ascii="Arial" w:hAnsi="Arial"/>
          <w:sz w:val="20"/>
        </w:rPr>
        <w:t>6) 1 200 000 akcji zwykłych na okaziciela serii D,</w:t>
      </w:r>
    </w:p>
    <w:p w:rsidR="0071614D" w:rsidRPr="00765C97" w:rsidRDefault="0071614D" w:rsidP="000428B8">
      <w:pPr>
        <w:pStyle w:val="NormalnyWeb"/>
        <w:spacing w:before="0" w:beforeAutospacing="0" w:after="0" w:afterAutospacing="0"/>
        <w:jc w:val="both"/>
        <w:rPr>
          <w:rFonts w:ascii="Arial" w:hAnsi="Arial"/>
          <w:sz w:val="20"/>
        </w:rPr>
      </w:pPr>
      <w:r w:rsidRPr="00765C97">
        <w:rPr>
          <w:rFonts w:ascii="Arial" w:hAnsi="Arial"/>
          <w:sz w:val="20"/>
        </w:rPr>
        <w:t>7) 638 600 akcji zwykłych na okaziciela serii E,</w:t>
      </w:r>
    </w:p>
    <w:p w:rsidR="0071614D" w:rsidRPr="00765C97" w:rsidRDefault="0071614D" w:rsidP="000428B8">
      <w:pPr>
        <w:pStyle w:val="NormalnyWeb"/>
        <w:spacing w:before="0" w:beforeAutospacing="0" w:after="0" w:afterAutospacing="0"/>
        <w:jc w:val="both"/>
        <w:rPr>
          <w:rFonts w:ascii="Arial" w:hAnsi="Arial"/>
          <w:sz w:val="20"/>
        </w:rPr>
      </w:pPr>
      <w:r w:rsidRPr="00765C97">
        <w:rPr>
          <w:rFonts w:ascii="Arial" w:hAnsi="Arial"/>
          <w:sz w:val="20"/>
        </w:rPr>
        <w:t>8) 125 787 akcji zwykłych na okaziciela serii G,</w:t>
      </w:r>
    </w:p>
    <w:p w:rsidR="0071614D" w:rsidRPr="00765C97" w:rsidRDefault="0071614D" w:rsidP="000428B8">
      <w:pPr>
        <w:pStyle w:val="NormalnyWeb"/>
        <w:spacing w:before="0" w:beforeAutospacing="0" w:after="0" w:afterAutospacing="0"/>
        <w:jc w:val="both"/>
        <w:rPr>
          <w:rFonts w:ascii="Arial" w:hAnsi="Arial"/>
          <w:sz w:val="20"/>
        </w:rPr>
      </w:pPr>
      <w:r w:rsidRPr="00765C97">
        <w:rPr>
          <w:rFonts w:ascii="Arial" w:hAnsi="Arial"/>
          <w:sz w:val="20"/>
        </w:rPr>
        <w:t xml:space="preserve">9) 102 708 akcji zwykłych na okaziciela serii G3, </w:t>
      </w:r>
    </w:p>
    <w:p w:rsidR="0071614D" w:rsidRPr="00765C97" w:rsidRDefault="0071614D" w:rsidP="000428B8">
      <w:pPr>
        <w:pStyle w:val="NormalnyWeb"/>
        <w:spacing w:before="0" w:beforeAutospacing="0" w:after="0" w:afterAutospacing="0"/>
        <w:jc w:val="both"/>
        <w:rPr>
          <w:rFonts w:ascii="Arial" w:hAnsi="Arial"/>
          <w:sz w:val="20"/>
        </w:rPr>
      </w:pPr>
      <w:r w:rsidRPr="00765C97">
        <w:rPr>
          <w:rFonts w:ascii="Arial" w:hAnsi="Arial"/>
          <w:sz w:val="20"/>
        </w:rPr>
        <w:t>10) 563 675 akcji zwykłych na okaziciela serii H,</w:t>
      </w:r>
    </w:p>
    <w:p w:rsidR="0071614D" w:rsidRPr="00765C97" w:rsidRDefault="0071614D" w:rsidP="000428B8">
      <w:pPr>
        <w:pStyle w:val="NormalnyWeb"/>
        <w:spacing w:before="0" w:beforeAutospacing="0" w:after="0" w:afterAutospacing="0"/>
        <w:jc w:val="both"/>
        <w:rPr>
          <w:rFonts w:ascii="Arial" w:hAnsi="Arial"/>
          <w:sz w:val="20"/>
        </w:rPr>
      </w:pPr>
      <w:r w:rsidRPr="00765C97">
        <w:rPr>
          <w:rFonts w:ascii="Arial" w:hAnsi="Arial"/>
          <w:sz w:val="20"/>
        </w:rPr>
        <w:t>11) 441 826 akcji zwykłych na okaziciela serii I2,</w:t>
      </w:r>
    </w:p>
    <w:p w:rsidR="00F667C4" w:rsidRPr="00765C97" w:rsidRDefault="0071614D" w:rsidP="000428B8">
      <w:pPr>
        <w:pStyle w:val="NormalnyWeb"/>
        <w:spacing w:before="0" w:beforeAutospacing="0" w:after="0" w:afterAutospacing="0"/>
        <w:jc w:val="both"/>
        <w:rPr>
          <w:rFonts w:ascii="Arial" w:hAnsi="Arial"/>
          <w:sz w:val="20"/>
        </w:rPr>
      </w:pPr>
      <w:r w:rsidRPr="00765C97">
        <w:rPr>
          <w:rFonts w:ascii="Arial" w:hAnsi="Arial"/>
          <w:sz w:val="20"/>
        </w:rPr>
        <w:t>12) 91 041 akcji zwykłych na okaziciela serii J2.</w:t>
      </w:r>
    </w:p>
    <w:p w:rsidR="0000190E" w:rsidRPr="00765C97" w:rsidRDefault="0000190E" w:rsidP="000428B8">
      <w:pPr>
        <w:pStyle w:val="NormalnyWeb"/>
        <w:spacing w:before="0" w:beforeAutospacing="0" w:after="0" w:afterAutospacing="0"/>
        <w:jc w:val="both"/>
        <w:rPr>
          <w:rFonts w:ascii="Arial" w:hAnsi="Arial"/>
          <w:sz w:val="20"/>
        </w:rPr>
      </w:pPr>
    </w:p>
    <w:p w:rsidR="00F667C4" w:rsidRPr="00765C97" w:rsidRDefault="00F667C4" w:rsidP="000428B8">
      <w:pPr>
        <w:pStyle w:val="NormalnyWeb"/>
        <w:spacing w:before="0" w:beforeAutospacing="0" w:after="0" w:afterAutospacing="0"/>
        <w:jc w:val="both"/>
        <w:rPr>
          <w:rFonts w:ascii="Arial" w:hAnsi="Arial"/>
          <w:sz w:val="20"/>
        </w:rPr>
      </w:pPr>
      <w:r w:rsidRPr="00765C97">
        <w:rPr>
          <w:rFonts w:ascii="Arial" w:hAnsi="Arial"/>
          <w:sz w:val="20"/>
        </w:rPr>
        <w:t>Akcje imienne serii A i B są uprzywilejowane co do głosu w ten sposób, że na każdą akcj</w:t>
      </w:r>
      <w:r w:rsidR="00602750" w:rsidRPr="00765C97">
        <w:rPr>
          <w:rFonts w:ascii="Arial" w:hAnsi="Arial"/>
          <w:sz w:val="20"/>
        </w:rPr>
        <w:t>ę</w:t>
      </w:r>
      <w:r w:rsidRPr="00765C97">
        <w:rPr>
          <w:rFonts w:ascii="Arial" w:hAnsi="Arial"/>
          <w:sz w:val="20"/>
        </w:rPr>
        <w:t xml:space="preserve"> przypada 5 głosów na Walnym Zgromadzeniu. Zamiana akcji imiennych na akcje na okaziciela jest dopuszczalna. W przypadku zamiany akcji imiennych na akcje na okaziciela tracą one wszelkie uprzywilejowanie. Zbycie akcji imiennej uprzywilejowanej powoduje wygaśnięcie związanego z nią uprawnienia szczególnego co do głosu na Walnym Zgromadzeniu, przy czym nie powoduje wygaśnięcia uprawnienia szczególnego co do głosu na Walnym Zgromadzeniu:</w:t>
      </w:r>
    </w:p>
    <w:p w:rsidR="00F667C4" w:rsidRPr="00765C97" w:rsidRDefault="00F667C4" w:rsidP="000428B8">
      <w:pPr>
        <w:pStyle w:val="NormalnyWeb"/>
        <w:spacing w:before="0" w:beforeAutospacing="0" w:after="0" w:afterAutospacing="0"/>
        <w:jc w:val="both"/>
        <w:rPr>
          <w:rFonts w:ascii="Arial" w:hAnsi="Arial"/>
          <w:sz w:val="20"/>
        </w:rPr>
      </w:pPr>
      <w:r w:rsidRPr="00765C97">
        <w:rPr>
          <w:rFonts w:ascii="Arial" w:hAnsi="Arial"/>
          <w:sz w:val="20"/>
        </w:rPr>
        <w:t>a) zbycie na rzecz osób będących akcjonariuszami Spółki na dzień 18 marca 1998 roku,</w:t>
      </w:r>
    </w:p>
    <w:p w:rsidR="00F667C4" w:rsidRPr="00765C97" w:rsidRDefault="00F667C4" w:rsidP="000428B8">
      <w:pPr>
        <w:pStyle w:val="NormalnyWeb"/>
        <w:spacing w:before="0" w:beforeAutospacing="0" w:after="0" w:afterAutospacing="0"/>
        <w:jc w:val="both"/>
        <w:rPr>
          <w:rFonts w:ascii="Arial" w:hAnsi="Arial"/>
          <w:sz w:val="20"/>
        </w:rPr>
      </w:pPr>
      <w:r w:rsidRPr="00765C97">
        <w:rPr>
          <w:rFonts w:ascii="Arial" w:hAnsi="Arial"/>
          <w:sz w:val="20"/>
        </w:rPr>
        <w:t>b) zbycie na rzecz zstępnych zbywcy,</w:t>
      </w:r>
    </w:p>
    <w:p w:rsidR="00F667C4" w:rsidRPr="00765C97" w:rsidRDefault="00F667C4" w:rsidP="000428B8">
      <w:pPr>
        <w:pStyle w:val="NormalnyWeb"/>
        <w:spacing w:before="0" w:beforeAutospacing="0" w:after="0" w:afterAutospacing="0"/>
        <w:jc w:val="both"/>
        <w:rPr>
          <w:rFonts w:ascii="Arial" w:hAnsi="Arial"/>
          <w:sz w:val="20"/>
        </w:rPr>
      </w:pPr>
      <w:r w:rsidRPr="00765C97">
        <w:rPr>
          <w:rFonts w:ascii="Arial" w:hAnsi="Arial"/>
          <w:sz w:val="20"/>
        </w:rPr>
        <w:t xml:space="preserve">c) przejście własności akcji imiennej w wyniku spadkobrania. </w:t>
      </w:r>
    </w:p>
    <w:p w:rsidR="00F667C4" w:rsidRPr="00765C97" w:rsidRDefault="00F667C4" w:rsidP="000428B8">
      <w:pPr>
        <w:pStyle w:val="NormalnyWeb"/>
        <w:spacing w:before="0" w:beforeAutospacing="0" w:after="0" w:afterAutospacing="0"/>
        <w:jc w:val="both"/>
        <w:rPr>
          <w:rFonts w:ascii="Arial" w:hAnsi="Arial"/>
          <w:sz w:val="20"/>
        </w:rPr>
      </w:pPr>
      <w:r w:rsidRPr="00765C97">
        <w:rPr>
          <w:rFonts w:ascii="Arial" w:hAnsi="Arial"/>
          <w:sz w:val="20"/>
        </w:rPr>
        <w:t xml:space="preserve">Zbycie akcji imiennych wymaga zgody Zarządu udzielonej w formie pisemnej. Zbycie akcji bez zgody Zarządu jest możliwe na warunkach określonych w Statucie Comarch S.A. </w:t>
      </w:r>
    </w:p>
    <w:p w:rsidR="00D33847" w:rsidRPr="00765C97" w:rsidRDefault="00F667C4" w:rsidP="000428B8">
      <w:pPr>
        <w:jc w:val="both"/>
        <w:rPr>
          <w:rFonts w:ascii="Arial" w:hAnsi="Arial" w:cs="Arial"/>
          <w:sz w:val="20"/>
          <w:szCs w:val="20"/>
          <w:lang w:val="pl-PL"/>
        </w:rPr>
      </w:pPr>
      <w:r w:rsidRPr="00765C97">
        <w:rPr>
          <w:rFonts w:ascii="Arial" w:hAnsi="Arial"/>
          <w:sz w:val="20"/>
          <w:lang w:val="pl-PL"/>
        </w:rPr>
        <w:t>Akcje na okaziciela mają prawo do 1 głosu na WZA. Zamiana akcji na okaziciela na akcje imienne nie jest dopuszczalna.</w:t>
      </w:r>
      <w:r w:rsidR="00D33847" w:rsidRPr="00765C97">
        <w:rPr>
          <w:rFonts w:ascii="Arial" w:hAnsi="Arial" w:cs="Arial"/>
          <w:sz w:val="20"/>
          <w:szCs w:val="20"/>
          <w:lang w:val="pl-PL"/>
        </w:rPr>
        <w:t xml:space="preserve"> </w:t>
      </w:r>
    </w:p>
    <w:p w:rsidR="00B24DA9" w:rsidRPr="00765C97" w:rsidRDefault="00B24DA9" w:rsidP="00135A9A">
      <w:pPr>
        <w:pStyle w:val="Nagwek4"/>
        <w:numPr>
          <w:ilvl w:val="2"/>
          <w:numId w:val="15"/>
        </w:numPr>
        <w:spacing w:before="240" w:after="60"/>
        <w:ind w:left="1276" w:hanging="851"/>
        <w:rPr>
          <w:rFonts w:ascii="Arial" w:hAnsi="Arial"/>
          <w:sz w:val="20"/>
          <w:lang w:val="pl-PL"/>
        </w:rPr>
      </w:pPr>
      <w:r w:rsidRPr="00765C97">
        <w:rPr>
          <w:rFonts w:ascii="Arial" w:hAnsi="Arial"/>
          <w:sz w:val="20"/>
          <w:lang w:val="pl-PL"/>
        </w:rPr>
        <w:t>Akcjonariusze posiadający bezpośrednio lub pośrednio poprzez</w:t>
      </w:r>
      <w:r w:rsidR="00385F70" w:rsidRPr="00765C97">
        <w:rPr>
          <w:rFonts w:ascii="Arial" w:hAnsi="Arial"/>
          <w:sz w:val="20"/>
          <w:lang w:val="pl-PL"/>
        </w:rPr>
        <w:t xml:space="preserve"> podmioty zależne co najmniej 5</w:t>
      </w:r>
      <w:r w:rsidRPr="00765C97">
        <w:rPr>
          <w:rFonts w:ascii="Arial" w:hAnsi="Arial"/>
          <w:sz w:val="20"/>
          <w:lang w:val="pl-PL"/>
        </w:rPr>
        <w:t xml:space="preserve">% ogólnej liczby głosów na walnym zgromadzeniu </w:t>
      </w:r>
      <w:r w:rsidR="007171EC" w:rsidRPr="00765C97">
        <w:rPr>
          <w:rFonts w:ascii="Arial" w:hAnsi="Arial"/>
          <w:sz w:val="20"/>
          <w:lang w:val="pl-PL"/>
        </w:rPr>
        <w:t>Comarch</w:t>
      </w:r>
      <w:r w:rsidRPr="00765C97">
        <w:rPr>
          <w:rFonts w:ascii="Arial" w:hAnsi="Arial"/>
          <w:sz w:val="20"/>
          <w:lang w:val="pl-PL"/>
        </w:rPr>
        <w:t xml:space="preserve"> S.A. według stanu na dzień sporządzenia raportu </w:t>
      </w:r>
    </w:p>
    <w:p w:rsidR="00B24DA9" w:rsidRPr="00765C97" w:rsidRDefault="00B24DA9" w:rsidP="000428B8">
      <w:pPr>
        <w:adjustRightInd w:val="0"/>
        <w:ind w:hanging="1"/>
        <w:jc w:val="both"/>
        <w:rPr>
          <w:rFonts w:ascii="Arial" w:hAnsi="Arial"/>
          <w:sz w:val="20"/>
          <w:lang w:val="pl-PL"/>
        </w:rPr>
      </w:pPr>
      <w:r w:rsidRPr="00765C97">
        <w:rPr>
          <w:rFonts w:ascii="Arial" w:hAnsi="Arial"/>
          <w:sz w:val="20"/>
          <w:lang w:val="pl-PL"/>
        </w:rPr>
        <w:t>Wg stanu na dzień sporządzenia raportu:</w:t>
      </w:r>
    </w:p>
    <w:p w:rsidR="00D33847" w:rsidRPr="00765C97" w:rsidRDefault="00D33847" w:rsidP="000428B8">
      <w:pPr>
        <w:jc w:val="both"/>
        <w:rPr>
          <w:rFonts w:ascii="Arial" w:hAnsi="Arial"/>
          <w:sz w:val="20"/>
          <w:lang w:val="pl-PL"/>
        </w:rPr>
      </w:pPr>
    </w:p>
    <w:p w:rsidR="00B24DA9" w:rsidRPr="00765C97" w:rsidRDefault="00B24DA9" w:rsidP="000428B8">
      <w:pPr>
        <w:jc w:val="both"/>
        <w:rPr>
          <w:rFonts w:ascii="Arial" w:hAnsi="Arial"/>
          <w:sz w:val="20"/>
          <w:lang w:val="pl-PL"/>
        </w:rPr>
      </w:pPr>
      <w:r w:rsidRPr="00765C97">
        <w:rPr>
          <w:rFonts w:ascii="Arial" w:hAnsi="Arial"/>
          <w:sz w:val="20"/>
          <w:lang w:val="pl-PL"/>
        </w:rPr>
        <w:t xml:space="preserve">- Janusz Filipiak posiada </w:t>
      </w:r>
      <w:r w:rsidR="00D33847" w:rsidRPr="00765C97">
        <w:rPr>
          <w:rFonts w:ascii="Arial" w:hAnsi="Arial" w:cs="Arial"/>
          <w:sz w:val="20"/>
          <w:szCs w:val="20"/>
          <w:lang w:val="pl-PL"/>
        </w:rPr>
        <w:t>2 620 010</w:t>
      </w:r>
      <w:r w:rsidRPr="00765C97">
        <w:rPr>
          <w:rFonts w:ascii="Arial" w:hAnsi="Arial"/>
          <w:sz w:val="20"/>
          <w:lang w:val="pl-PL"/>
        </w:rPr>
        <w:t xml:space="preserve"> akcji </w:t>
      </w:r>
      <w:r w:rsidR="007171EC" w:rsidRPr="00765C97">
        <w:rPr>
          <w:rFonts w:ascii="Arial" w:hAnsi="Arial"/>
          <w:sz w:val="20"/>
          <w:lang w:val="pl-PL"/>
        </w:rPr>
        <w:t>Comarch</w:t>
      </w:r>
      <w:r w:rsidRPr="00765C97">
        <w:rPr>
          <w:rFonts w:ascii="Arial" w:hAnsi="Arial"/>
          <w:sz w:val="20"/>
          <w:lang w:val="pl-PL"/>
        </w:rPr>
        <w:t xml:space="preserve"> S.A. (32,</w:t>
      </w:r>
      <w:r w:rsidR="00D33847" w:rsidRPr="00765C97">
        <w:rPr>
          <w:rFonts w:ascii="Arial" w:hAnsi="Arial"/>
          <w:sz w:val="20"/>
          <w:lang w:val="pl-PL"/>
        </w:rPr>
        <w:t>54</w:t>
      </w:r>
      <w:r w:rsidRPr="00765C97">
        <w:rPr>
          <w:rFonts w:ascii="Arial" w:hAnsi="Arial"/>
          <w:sz w:val="20"/>
          <w:lang w:val="pl-PL"/>
        </w:rPr>
        <w:t xml:space="preserve">% w kapitale zakładowym Spółki), które uprawniały do </w:t>
      </w:r>
      <w:r w:rsidR="00D33847" w:rsidRPr="00765C97">
        <w:rPr>
          <w:rFonts w:ascii="Arial" w:hAnsi="Arial" w:cs="Arial"/>
          <w:sz w:val="20"/>
          <w:szCs w:val="20"/>
          <w:lang w:val="pl-PL"/>
        </w:rPr>
        <w:t>6 192 010</w:t>
      </w:r>
      <w:r w:rsidRPr="00765C97">
        <w:rPr>
          <w:rFonts w:ascii="Arial" w:hAnsi="Arial"/>
          <w:sz w:val="20"/>
          <w:lang w:val="pl-PL"/>
        </w:rPr>
        <w:t xml:space="preserve"> głosów na WZA Spółki (41,</w:t>
      </w:r>
      <w:r w:rsidR="00D33847" w:rsidRPr="00765C97">
        <w:rPr>
          <w:rFonts w:ascii="Arial" w:hAnsi="Arial"/>
          <w:sz w:val="20"/>
          <w:lang w:val="pl-PL"/>
        </w:rPr>
        <w:t>16</w:t>
      </w:r>
      <w:r w:rsidRPr="00765C97">
        <w:rPr>
          <w:rFonts w:ascii="Arial" w:hAnsi="Arial"/>
          <w:sz w:val="20"/>
          <w:lang w:val="pl-PL"/>
        </w:rPr>
        <w:t>%);</w:t>
      </w:r>
    </w:p>
    <w:p w:rsidR="00D33847" w:rsidRPr="00765C97" w:rsidRDefault="00D33847" w:rsidP="000428B8">
      <w:pPr>
        <w:jc w:val="both"/>
        <w:rPr>
          <w:rFonts w:ascii="Arial" w:hAnsi="Arial"/>
          <w:sz w:val="20"/>
          <w:lang w:val="pl-PL"/>
        </w:rPr>
      </w:pPr>
    </w:p>
    <w:p w:rsidR="00B24DA9" w:rsidRPr="00765C97" w:rsidRDefault="00B24DA9" w:rsidP="000428B8">
      <w:pPr>
        <w:jc w:val="both"/>
        <w:rPr>
          <w:rFonts w:ascii="Arial" w:hAnsi="Arial"/>
          <w:sz w:val="20"/>
          <w:lang w:val="pl-PL"/>
        </w:rPr>
      </w:pPr>
      <w:r w:rsidRPr="00765C97">
        <w:rPr>
          <w:rFonts w:ascii="Arial" w:hAnsi="Arial"/>
          <w:sz w:val="20"/>
          <w:lang w:val="pl-PL"/>
        </w:rPr>
        <w:t xml:space="preserve">- Elżbieta Filipiak posiada 846 000 akcji </w:t>
      </w:r>
      <w:r w:rsidR="007171EC" w:rsidRPr="00765C97">
        <w:rPr>
          <w:rFonts w:ascii="Arial" w:hAnsi="Arial"/>
          <w:sz w:val="20"/>
          <w:lang w:val="pl-PL"/>
        </w:rPr>
        <w:t>Comarch</w:t>
      </w:r>
      <w:r w:rsidRPr="00765C97">
        <w:rPr>
          <w:rFonts w:ascii="Arial" w:hAnsi="Arial"/>
          <w:sz w:val="20"/>
          <w:lang w:val="pl-PL"/>
        </w:rPr>
        <w:t xml:space="preserve"> S.A. (10,</w:t>
      </w:r>
      <w:r w:rsidR="00D33847" w:rsidRPr="00765C97">
        <w:rPr>
          <w:rFonts w:ascii="Arial" w:hAnsi="Arial"/>
          <w:sz w:val="20"/>
          <w:lang w:val="pl-PL"/>
        </w:rPr>
        <w:t>51</w:t>
      </w:r>
      <w:r w:rsidRPr="00765C97">
        <w:rPr>
          <w:rFonts w:ascii="Arial" w:hAnsi="Arial"/>
          <w:sz w:val="20"/>
          <w:lang w:val="pl-PL"/>
        </w:rPr>
        <w:t>% w kapitale zakładowym Spółki), które uprawniały do 4 230 000 głosów na WZA Spółki (28,</w:t>
      </w:r>
      <w:r w:rsidR="00D33847" w:rsidRPr="00765C97">
        <w:rPr>
          <w:rFonts w:ascii="Arial" w:hAnsi="Arial"/>
          <w:sz w:val="20"/>
          <w:lang w:val="pl-PL"/>
        </w:rPr>
        <w:t>12</w:t>
      </w:r>
      <w:r w:rsidRPr="00765C97">
        <w:rPr>
          <w:rFonts w:ascii="Arial" w:hAnsi="Arial"/>
          <w:sz w:val="20"/>
          <w:lang w:val="pl-PL"/>
        </w:rPr>
        <w:t xml:space="preserve">%); </w:t>
      </w:r>
    </w:p>
    <w:p w:rsidR="00B24DA9" w:rsidRPr="00765C97" w:rsidRDefault="00B24DA9" w:rsidP="00135A9A">
      <w:pPr>
        <w:pStyle w:val="Nagwek4"/>
        <w:numPr>
          <w:ilvl w:val="2"/>
          <w:numId w:val="15"/>
        </w:numPr>
        <w:spacing w:before="240" w:after="60"/>
        <w:ind w:left="1276" w:hanging="851"/>
        <w:rPr>
          <w:rFonts w:ascii="Arial" w:hAnsi="Arial"/>
          <w:sz w:val="20"/>
          <w:lang w:val="pl-PL"/>
        </w:rPr>
      </w:pPr>
      <w:r w:rsidRPr="00765C97">
        <w:rPr>
          <w:rFonts w:ascii="Arial" w:hAnsi="Arial"/>
          <w:sz w:val="20"/>
          <w:lang w:val="pl-PL"/>
        </w:rPr>
        <w:t>Zmiany w stanie kapitału zakładowego w 20</w:t>
      </w:r>
      <w:r w:rsidR="00B51994" w:rsidRPr="00765C97">
        <w:rPr>
          <w:rFonts w:ascii="Arial" w:hAnsi="Arial"/>
          <w:sz w:val="20"/>
          <w:lang w:val="pl-PL"/>
        </w:rPr>
        <w:t>1</w:t>
      </w:r>
      <w:r w:rsidR="00010FB6" w:rsidRPr="00765C97">
        <w:rPr>
          <w:rFonts w:ascii="Arial" w:hAnsi="Arial"/>
          <w:sz w:val="20"/>
          <w:lang w:val="pl-PL"/>
        </w:rPr>
        <w:t>2</w:t>
      </w:r>
      <w:r w:rsidRPr="00765C97">
        <w:rPr>
          <w:rFonts w:ascii="Arial" w:hAnsi="Arial"/>
          <w:sz w:val="20"/>
          <w:lang w:val="pl-PL"/>
        </w:rPr>
        <w:t xml:space="preserve"> roku</w:t>
      </w:r>
    </w:p>
    <w:p w:rsidR="003B28D8" w:rsidRPr="00765C97" w:rsidRDefault="003B28D8" w:rsidP="003B28D8">
      <w:pPr>
        <w:jc w:val="both"/>
        <w:rPr>
          <w:rFonts w:ascii="Arial" w:hAnsi="Arial"/>
          <w:sz w:val="20"/>
          <w:lang w:val="pl-PL"/>
        </w:rPr>
      </w:pPr>
      <w:r w:rsidRPr="00765C97">
        <w:rPr>
          <w:rFonts w:ascii="Arial" w:hAnsi="Arial"/>
          <w:sz w:val="20"/>
          <w:lang w:val="pl-PL"/>
        </w:rPr>
        <w:t xml:space="preserve">W dniach 10-17 września 2012 roku jedna z osób zarządzających Comarch S.A. zakupiła 100 akcji zwykłych na okaziciela </w:t>
      </w:r>
      <w:r w:rsidR="007621BE" w:rsidRPr="00765C97">
        <w:rPr>
          <w:rFonts w:ascii="Arial" w:hAnsi="Arial"/>
          <w:sz w:val="20"/>
          <w:lang w:val="pl-PL"/>
        </w:rPr>
        <w:t>S</w:t>
      </w:r>
      <w:r w:rsidRPr="00765C97">
        <w:rPr>
          <w:rFonts w:ascii="Arial" w:hAnsi="Arial"/>
          <w:sz w:val="20"/>
          <w:lang w:val="pl-PL"/>
        </w:rPr>
        <w:t xml:space="preserve">półki Comarch S.A. po średniej cenie 69,60 zł za 1 akcję oraz sprzedała 100 zwykłych na okaziciela </w:t>
      </w:r>
      <w:r w:rsidR="007621BE" w:rsidRPr="00765C97">
        <w:rPr>
          <w:rFonts w:ascii="Arial" w:hAnsi="Arial"/>
          <w:sz w:val="20"/>
          <w:lang w:val="pl-PL"/>
        </w:rPr>
        <w:t>S</w:t>
      </w:r>
      <w:r w:rsidRPr="00765C97">
        <w:rPr>
          <w:rFonts w:ascii="Arial" w:hAnsi="Arial"/>
          <w:sz w:val="20"/>
          <w:lang w:val="pl-PL"/>
        </w:rPr>
        <w:t>półki Comarch S.A. po średniej cenie 70,40 zł. Powyższe transakcje kupna i sprzedaży zostały zawarte na rynku regulowanym za pośrednictwem Giełdy Papierów Wartościowych w Warszawie S.A. Spółka informowała o szczegółach raportem bieżącym nr 14/2012 dnia 20 września 2012 roku.</w:t>
      </w:r>
    </w:p>
    <w:p w:rsidR="003B28D8" w:rsidRPr="00765C97" w:rsidRDefault="003B28D8" w:rsidP="003B28D8">
      <w:pPr>
        <w:jc w:val="both"/>
        <w:rPr>
          <w:rFonts w:ascii="Arial" w:hAnsi="Arial"/>
          <w:sz w:val="20"/>
          <w:lang w:val="pl-PL"/>
        </w:rPr>
      </w:pPr>
    </w:p>
    <w:p w:rsidR="003B28D8" w:rsidRPr="00765C97" w:rsidRDefault="003B28D8" w:rsidP="003B28D8">
      <w:pPr>
        <w:jc w:val="both"/>
        <w:rPr>
          <w:rFonts w:ascii="Arial" w:hAnsi="Arial"/>
          <w:sz w:val="20"/>
          <w:lang w:val="pl-PL"/>
        </w:rPr>
      </w:pPr>
      <w:r w:rsidRPr="00765C97">
        <w:rPr>
          <w:rFonts w:ascii="Arial" w:hAnsi="Arial"/>
          <w:sz w:val="20"/>
          <w:lang w:val="pl-PL"/>
        </w:rPr>
        <w:t xml:space="preserve">W dniach 24-26 października 2012 roku jedna z osób zarządzających Comarch S.A. sprzedała 595 akcji zwykłych na okaziciela </w:t>
      </w:r>
      <w:r w:rsidR="007621BE" w:rsidRPr="00765C97">
        <w:rPr>
          <w:rFonts w:ascii="Arial" w:hAnsi="Arial"/>
          <w:sz w:val="20"/>
          <w:lang w:val="pl-PL"/>
        </w:rPr>
        <w:t>S</w:t>
      </w:r>
      <w:r w:rsidRPr="00765C97">
        <w:rPr>
          <w:rFonts w:ascii="Arial" w:hAnsi="Arial"/>
          <w:sz w:val="20"/>
          <w:lang w:val="pl-PL"/>
        </w:rPr>
        <w:t>półki Comarch S.A. po średniej cenie 72 zł za 1 akcję. Poszczególne transakcje zostały dokonane w następujących terminach i wolumenach:</w:t>
      </w:r>
    </w:p>
    <w:p w:rsidR="003B28D8" w:rsidRPr="00765C97" w:rsidRDefault="003B28D8" w:rsidP="003B28D8">
      <w:pPr>
        <w:pStyle w:val="Zwykytekst"/>
        <w:rPr>
          <w:rFonts w:ascii="Arial" w:hAnsi="Arial" w:cs="Times New Roman"/>
          <w:szCs w:val="24"/>
          <w:lang w:eastAsia="en-US"/>
        </w:rPr>
      </w:pPr>
      <w:r w:rsidRPr="00765C97">
        <w:rPr>
          <w:rFonts w:ascii="Arial" w:hAnsi="Arial" w:cs="Times New Roman"/>
          <w:szCs w:val="24"/>
          <w:lang w:eastAsia="en-US"/>
        </w:rPr>
        <w:t xml:space="preserve">1. 24.10.2012 r.: wolumen: 200, cena jednostkowa: 72,00 PLN, wartość: 14 400,00 PLN, </w:t>
      </w:r>
    </w:p>
    <w:p w:rsidR="003B28D8" w:rsidRPr="00765C97" w:rsidRDefault="003B28D8" w:rsidP="003B28D8">
      <w:pPr>
        <w:pStyle w:val="Zwykytekst"/>
        <w:rPr>
          <w:rFonts w:ascii="Arial" w:hAnsi="Arial" w:cs="Times New Roman"/>
          <w:szCs w:val="24"/>
          <w:lang w:eastAsia="en-US"/>
        </w:rPr>
      </w:pPr>
      <w:r w:rsidRPr="00765C97">
        <w:rPr>
          <w:rFonts w:ascii="Arial" w:hAnsi="Arial" w:cs="Times New Roman"/>
          <w:szCs w:val="24"/>
          <w:lang w:eastAsia="en-US"/>
        </w:rPr>
        <w:t xml:space="preserve">2. 25.10.2012 r.: wolumen: 200, cena jednostkowa: 72,00 PLN, wartość: 14 400,00 PLN, </w:t>
      </w:r>
    </w:p>
    <w:p w:rsidR="003B28D8" w:rsidRPr="00765C97" w:rsidRDefault="003B28D8" w:rsidP="003B28D8">
      <w:pPr>
        <w:pStyle w:val="Zwykytekst"/>
        <w:rPr>
          <w:rFonts w:ascii="Arial" w:hAnsi="Arial" w:cs="Times New Roman"/>
          <w:szCs w:val="24"/>
          <w:lang w:eastAsia="en-US"/>
        </w:rPr>
      </w:pPr>
      <w:r w:rsidRPr="00765C97">
        <w:rPr>
          <w:rFonts w:ascii="Arial" w:hAnsi="Arial" w:cs="Times New Roman"/>
          <w:szCs w:val="24"/>
          <w:lang w:eastAsia="en-US"/>
        </w:rPr>
        <w:t xml:space="preserve">3. 26.10.2012 r.: wolumen: 195, cena jednostkowa: 72,00 PLN, wartość: 14 040,00 PLN. </w:t>
      </w:r>
    </w:p>
    <w:p w:rsidR="00B24DA9" w:rsidRPr="00765C97" w:rsidRDefault="003B28D8" w:rsidP="003B28D8">
      <w:pPr>
        <w:jc w:val="both"/>
        <w:rPr>
          <w:rFonts w:ascii="Arial" w:hAnsi="Arial"/>
          <w:b/>
          <w:sz w:val="20"/>
          <w:lang w:val="pl-PL"/>
        </w:rPr>
      </w:pPr>
      <w:r w:rsidRPr="00765C97">
        <w:rPr>
          <w:rFonts w:ascii="Arial" w:hAnsi="Arial"/>
          <w:sz w:val="20"/>
          <w:lang w:val="pl-PL"/>
        </w:rPr>
        <w:t>Powyższe transakcje sprzedaży zostały zawarte na rynku regulowanym za pośrednictwem Giełdy Papierów Wartościowych w Warszawie S.A. Spółka informowała o szczegółach raportem bieżącym nr 17/2012 dnia 31 października 2012 roku skorygowanym dnia 21 grudnia 2012 roku.</w:t>
      </w:r>
    </w:p>
    <w:p w:rsidR="00B24DA9" w:rsidRPr="00765C97" w:rsidRDefault="00B24DA9" w:rsidP="00135A9A">
      <w:pPr>
        <w:pStyle w:val="Nagwek4"/>
        <w:numPr>
          <w:ilvl w:val="2"/>
          <w:numId w:val="15"/>
        </w:numPr>
        <w:spacing w:before="240" w:after="60"/>
        <w:ind w:left="1276" w:hanging="851"/>
        <w:rPr>
          <w:rFonts w:ascii="Arial" w:hAnsi="Arial"/>
          <w:b w:val="0"/>
          <w:sz w:val="20"/>
          <w:lang w:val="pl-PL"/>
        </w:rPr>
      </w:pPr>
      <w:r w:rsidRPr="00765C97">
        <w:rPr>
          <w:rFonts w:ascii="Arial" w:hAnsi="Arial"/>
          <w:sz w:val="20"/>
          <w:lang w:val="pl-PL"/>
        </w:rPr>
        <w:t>Program opcji menedżerskich dla Członków Zarządu oraz Kluczowych Pracowników Spółki Com</w:t>
      </w:r>
      <w:r w:rsidR="007171EC" w:rsidRPr="00765C97">
        <w:rPr>
          <w:rFonts w:ascii="Arial" w:hAnsi="Arial"/>
          <w:sz w:val="20"/>
          <w:lang w:val="pl-PL"/>
        </w:rPr>
        <w:t>a</w:t>
      </w:r>
      <w:r w:rsidRPr="00765C97">
        <w:rPr>
          <w:rFonts w:ascii="Arial" w:hAnsi="Arial"/>
          <w:sz w:val="20"/>
          <w:lang w:val="pl-PL"/>
        </w:rPr>
        <w:t>rch S.A.</w:t>
      </w:r>
      <w:r w:rsidR="00333828" w:rsidRPr="00765C97">
        <w:rPr>
          <w:rFonts w:ascii="Arial" w:hAnsi="Arial"/>
          <w:sz w:val="20"/>
          <w:lang w:val="pl-PL"/>
        </w:rPr>
        <w:t xml:space="preserve"> </w:t>
      </w:r>
    </w:p>
    <w:p w:rsidR="00151A83" w:rsidRPr="00765C97" w:rsidRDefault="00151A83" w:rsidP="00797B97">
      <w:pPr>
        <w:pStyle w:val="NormalnyWeb"/>
        <w:spacing w:before="0" w:beforeAutospacing="0" w:after="0" w:afterAutospacing="0"/>
        <w:ind w:left="181"/>
        <w:jc w:val="both"/>
        <w:rPr>
          <w:rFonts w:ascii="Arial" w:hAnsi="Arial"/>
          <w:sz w:val="20"/>
        </w:rPr>
      </w:pPr>
    </w:p>
    <w:p w:rsidR="00151A83" w:rsidRPr="00765C97" w:rsidRDefault="00151A83" w:rsidP="0090029F">
      <w:pPr>
        <w:pStyle w:val="NormalnyWeb"/>
        <w:spacing w:before="0" w:beforeAutospacing="0" w:after="0" w:afterAutospacing="0"/>
        <w:jc w:val="both"/>
        <w:rPr>
          <w:rFonts w:ascii="Arial" w:hAnsi="Arial"/>
          <w:sz w:val="20"/>
        </w:rPr>
      </w:pPr>
      <w:r w:rsidRPr="00765C97">
        <w:rPr>
          <w:rFonts w:ascii="Arial" w:hAnsi="Arial" w:cs="Arial"/>
          <w:sz w:val="20"/>
          <w:szCs w:val="20"/>
        </w:rPr>
        <w:t xml:space="preserve">W dniu </w:t>
      </w:r>
      <w:r w:rsidRPr="00765C97">
        <w:rPr>
          <w:rFonts w:ascii="Arial" w:hAnsi="Arial"/>
          <w:sz w:val="20"/>
        </w:rPr>
        <w:t xml:space="preserve">28 czerwca 2010 r. Walne Zgromadzenie Akcjonariuszy Comarch S.A. podjęło uchwałę nr 23 w sprawie uchwalenia programu opcji menedżerskich dla Kluczowych Pracowników Spółki na lata 2011-2013. Celem Programu jest stworzenie dodatkowej motywacji dla Pracowników Kluczowych Grupy Kapitałowej poprzez przyznanie uprawnionym premii (zwanej dalej "Opcją") uzależnionej od wzrostu wartości Spółki i wzrostu jej kapitalizacji giełdowej. Program jest realizowany poprzez oferowanie Pracownikom Kluczowym kolejno w 2012 roku, w 2013 roku i w 2014 roku nowoemitowanych akcji Spółki w taki sposób, aby za każdym razem wartość Opcji stanowiła iloczyn różnicy pomiędzy średnim giełdowym kursem zamknięcia akcji Spółki z każdego kolejnego roku realizacji Programu począwszy od 2011 roku, a ceną emisyjną akcji oferowanych Pracownikowi Kluczowemu i ilości akcji oferowanych Pracownikowi Kluczowemu. Podstawą </w:t>
      </w:r>
      <w:r w:rsidR="0074647D" w:rsidRPr="00765C97">
        <w:rPr>
          <w:rFonts w:ascii="Arial" w:hAnsi="Arial"/>
          <w:sz w:val="20"/>
        </w:rPr>
        <w:t>obliczenia wartości Opcji jest</w:t>
      </w:r>
      <w:r w:rsidRPr="00765C97">
        <w:rPr>
          <w:rFonts w:ascii="Arial" w:hAnsi="Arial"/>
          <w:sz w:val="20"/>
        </w:rPr>
        <w:t xml:space="preserve"> wzrost kapitalizacji Spółki, liczony:</w:t>
      </w:r>
    </w:p>
    <w:p w:rsidR="00151A83" w:rsidRPr="00765C97" w:rsidRDefault="00151A83" w:rsidP="0090029F">
      <w:pPr>
        <w:pStyle w:val="NormalnyWeb"/>
        <w:spacing w:before="0" w:beforeAutospacing="0" w:after="0" w:afterAutospacing="0"/>
        <w:jc w:val="both"/>
        <w:rPr>
          <w:rFonts w:ascii="Arial" w:hAnsi="Arial"/>
          <w:sz w:val="20"/>
        </w:rPr>
      </w:pPr>
      <w:r w:rsidRPr="00765C97">
        <w:rPr>
          <w:rFonts w:ascii="Arial" w:hAnsi="Arial"/>
          <w:sz w:val="20"/>
        </w:rPr>
        <w:t>•</w:t>
      </w:r>
      <w:r w:rsidRPr="00765C97">
        <w:rPr>
          <w:rFonts w:ascii="Arial" w:hAnsi="Arial"/>
          <w:sz w:val="20"/>
        </w:rPr>
        <w:tab/>
        <w:t xml:space="preserve"> dla 2011 roku – jako różnica pomiędzy średnią kapitalizacją Spółki w 2011 roku, a średnią kapitalizacją Spółki w 2010 roku,</w:t>
      </w:r>
    </w:p>
    <w:p w:rsidR="00151A83" w:rsidRPr="00765C97" w:rsidRDefault="00151A83" w:rsidP="0090029F">
      <w:pPr>
        <w:pStyle w:val="NormalnyWeb"/>
        <w:spacing w:before="0" w:beforeAutospacing="0" w:after="0" w:afterAutospacing="0"/>
        <w:jc w:val="both"/>
        <w:rPr>
          <w:rFonts w:ascii="Arial" w:hAnsi="Arial"/>
          <w:sz w:val="20"/>
        </w:rPr>
      </w:pPr>
      <w:r w:rsidRPr="00765C97">
        <w:rPr>
          <w:rFonts w:ascii="Arial" w:hAnsi="Arial"/>
          <w:sz w:val="20"/>
        </w:rPr>
        <w:t>•</w:t>
      </w:r>
      <w:r w:rsidRPr="00765C97">
        <w:rPr>
          <w:rFonts w:ascii="Arial" w:hAnsi="Arial"/>
          <w:sz w:val="20"/>
        </w:rPr>
        <w:tab/>
        <w:t xml:space="preserve"> dla 2012 roku – jako różnica pomiędzy średnią kapitalizacją Spółki w 2012 roku, a średnią kapitalizacją Spółki w 2011 roku,</w:t>
      </w:r>
    </w:p>
    <w:p w:rsidR="00151A83" w:rsidRPr="00765C97" w:rsidRDefault="00151A83" w:rsidP="0090029F">
      <w:pPr>
        <w:pStyle w:val="NormalnyWeb"/>
        <w:spacing w:before="0" w:beforeAutospacing="0" w:after="0" w:afterAutospacing="0"/>
        <w:jc w:val="both"/>
        <w:rPr>
          <w:rFonts w:ascii="Arial" w:hAnsi="Arial"/>
          <w:sz w:val="20"/>
        </w:rPr>
      </w:pPr>
      <w:r w:rsidRPr="00765C97">
        <w:rPr>
          <w:rFonts w:ascii="Arial" w:hAnsi="Arial"/>
          <w:sz w:val="20"/>
        </w:rPr>
        <w:t>•</w:t>
      </w:r>
      <w:r w:rsidRPr="00765C97">
        <w:rPr>
          <w:rFonts w:ascii="Arial" w:hAnsi="Arial"/>
          <w:sz w:val="20"/>
        </w:rPr>
        <w:tab/>
        <w:t>dla 2013 roku – jako różnica pomiędzy średnią kapitalizacją Spółki w 2013 roku, a średnią kapitalizacją Spółki w 2012 roku,</w:t>
      </w:r>
    </w:p>
    <w:p w:rsidR="00151A83" w:rsidRPr="00765C97" w:rsidRDefault="00151A83" w:rsidP="0090029F">
      <w:pPr>
        <w:pStyle w:val="NormalnyWeb"/>
        <w:spacing w:before="0" w:beforeAutospacing="0" w:after="0" w:afterAutospacing="0"/>
        <w:jc w:val="both"/>
        <w:rPr>
          <w:rFonts w:ascii="Arial" w:hAnsi="Arial"/>
          <w:sz w:val="20"/>
        </w:rPr>
      </w:pPr>
      <w:r w:rsidRPr="00765C97">
        <w:rPr>
          <w:rFonts w:ascii="Arial" w:hAnsi="Arial"/>
          <w:sz w:val="20"/>
        </w:rPr>
        <w:t>gdzie średnia kapitalizacja Spółki w danym roku jest średnią arytmetyczną z dziennych kapitalizacji Spółki w danym roku, przy czym dzienna kapitalizacja Spółki jest iloczynem ilości akcji Spółki oraz giełdowego kursu zamknięcia akcji Spółki w danym dniu.</w:t>
      </w:r>
    </w:p>
    <w:p w:rsidR="00151A83" w:rsidRPr="00765C97" w:rsidRDefault="00151A83" w:rsidP="0090029F">
      <w:pPr>
        <w:pStyle w:val="NormalnyWeb"/>
        <w:spacing w:before="0" w:beforeAutospacing="0" w:after="0" w:afterAutospacing="0"/>
        <w:jc w:val="both"/>
        <w:rPr>
          <w:rFonts w:ascii="Arial" w:hAnsi="Arial"/>
          <w:sz w:val="20"/>
        </w:rPr>
      </w:pPr>
      <w:r w:rsidRPr="00765C97">
        <w:rPr>
          <w:rFonts w:ascii="Arial" w:hAnsi="Arial"/>
          <w:sz w:val="20"/>
        </w:rPr>
        <w:t xml:space="preserve">W czwartym kwartale roku poprzedzającego dany rok realizacji Programu, Rada Nadzorcza ustala w drodze uchwały listę Pracowników Kluczowych oraz współczynniki Opcji indywidualnych. Lista Pracowników Kluczowych oraz współczynników Opcji indywidualnych ustalane </w:t>
      </w:r>
      <w:r w:rsidR="0074647D" w:rsidRPr="00765C97">
        <w:rPr>
          <w:rFonts w:ascii="Arial" w:hAnsi="Arial"/>
          <w:sz w:val="20"/>
        </w:rPr>
        <w:t>są</w:t>
      </w:r>
      <w:r w:rsidRPr="00765C97">
        <w:rPr>
          <w:rFonts w:ascii="Arial" w:hAnsi="Arial"/>
          <w:sz w:val="20"/>
        </w:rPr>
        <w:t xml:space="preserve"> niezależnie dla każdego kolejnego roku trwania Programu. Łączna wartość współczynników Opcji indywidualnych dla wszystkich Pracowników Kluczowych w danym roku realizacji Programu wynosi 3,6% (trzy i sześć dziesiątych procent) wzrostu kapitalizacji Spółki.</w:t>
      </w:r>
    </w:p>
    <w:p w:rsidR="00151A83" w:rsidRPr="00765C97" w:rsidRDefault="00151A83" w:rsidP="0090029F">
      <w:pPr>
        <w:pStyle w:val="NormalnyWeb"/>
        <w:spacing w:before="0" w:beforeAutospacing="0" w:after="0" w:afterAutospacing="0"/>
        <w:jc w:val="both"/>
        <w:rPr>
          <w:rFonts w:ascii="Arial" w:hAnsi="Arial"/>
          <w:sz w:val="20"/>
        </w:rPr>
      </w:pPr>
      <w:r w:rsidRPr="00765C97">
        <w:rPr>
          <w:rFonts w:ascii="Arial" w:hAnsi="Arial"/>
          <w:sz w:val="20"/>
        </w:rPr>
        <w:t>Zgodnie z MSSF2 Spółka jest zobowiązana obliczyć wartość opcji, a następnie ujmować ją jako koszt w rachunku zysków i strat w okresie życia danej opcji, tj. od dnia przyznania do dnia wygaśnięcia. Spółka ujm</w:t>
      </w:r>
      <w:r w:rsidR="0074647D" w:rsidRPr="00765C97">
        <w:rPr>
          <w:rFonts w:ascii="Arial" w:hAnsi="Arial"/>
          <w:sz w:val="20"/>
        </w:rPr>
        <w:t>uje</w:t>
      </w:r>
      <w:r w:rsidRPr="00765C97">
        <w:rPr>
          <w:rFonts w:ascii="Arial" w:hAnsi="Arial"/>
          <w:sz w:val="20"/>
        </w:rPr>
        <w:t xml:space="preserve"> w rachunku wyników wartość poszczególnych opcji począwszy od momentu przyznania opcji dla Pracowników Kluczowych za dany rok trwania programu. </w:t>
      </w:r>
    </w:p>
    <w:p w:rsidR="00151A83" w:rsidRPr="00765C97" w:rsidRDefault="00151A83" w:rsidP="0090029F">
      <w:pPr>
        <w:pStyle w:val="NormalnyWeb"/>
        <w:spacing w:before="0" w:beforeAutospacing="0" w:after="0" w:afterAutospacing="0"/>
        <w:jc w:val="both"/>
        <w:rPr>
          <w:rFonts w:ascii="Arial" w:hAnsi="Arial"/>
          <w:sz w:val="20"/>
        </w:rPr>
      </w:pPr>
      <w:r w:rsidRPr="00765C97">
        <w:rPr>
          <w:rFonts w:ascii="Arial" w:hAnsi="Arial"/>
          <w:sz w:val="20"/>
        </w:rPr>
        <w:t>Spółka zwraca uwagę, że mimo iż wartość opcji każdorazowo pomniejsza zysk netto Spółki i Grupy, to jednak operacja ta nie wpływa na wartość przepływów pieniężnych w Spółce. Ponadto ekonomiczny koszt opcji ujmowany jest w rachunku wyników poprzez uwzględnienie w „rozwodnionym zysku netto” nowoemitowanych akcji dla uczestników Programu. Pomimo iż standard MSSF2 został oficjalnie przyjęty przez Unię Europejską do stosowania przez spółki giełdowe do sporządzania sprawozdań skonsolidowanych, to jednak przez wielu ekspertów jest on wskazywany jako kontrowersyjny, gdyż w ich ocenie ujęcie kosztu opcji w rachunku wyników prowadzi do podwójnego liczenia wpływu programu opcyjnego (raz przez wynik i drugi raz poprzez rozwodnienie).</w:t>
      </w:r>
    </w:p>
    <w:p w:rsidR="00151A83" w:rsidRPr="00765C97" w:rsidRDefault="00151A83" w:rsidP="0090029F">
      <w:pPr>
        <w:pStyle w:val="NormalnyWeb"/>
        <w:spacing w:before="0" w:beforeAutospacing="0" w:after="0" w:afterAutospacing="0"/>
        <w:jc w:val="both"/>
        <w:rPr>
          <w:rFonts w:ascii="Arial" w:hAnsi="Arial" w:cs="Arial"/>
          <w:sz w:val="20"/>
          <w:szCs w:val="20"/>
        </w:rPr>
      </w:pPr>
    </w:p>
    <w:p w:rsidR="00151A83" w:rsidRPr="00765C97" w:rsidRDefault="00151A83" w:rsidP="0090029F">
      <w:pPr>
        <w:pStyle w:val="NormalnyWeb"/>
        <w:spacing w:before="0" w:beforeAutospacing="0" w:after="0" w:afterAutospacing="0"/>
        <w:jc w:val="both"/>
        <w:rPr>
          <w:rFonts w:ascii="Arial" w:hAnsi="Arial" w:cs="Arial"/>
          <w:sz w:val="20"/>
          <w:szCs w:val="20"/>
        </w:rPr>
      </w:pPr>
      <w:r w:rsidRPr="00765C97">
        <w:rPr>
          <w:rFonts w:ascii="Arial" w:hAnsi="Arial" w:cs="Arial"/>
          <w:sz w:val="20"/>
          <w:szCs w:val="20"/>
        </w:rPr>
        <w:t>Różnica pomiędzy średnią kapitalizacją w 2011 r. i średnią kapitalizacją w 2010 r. była ujemna, co oznacza, iż nie został spełniony podstawowy warunek Programu. W efekcie w 2012 r. nie zostały wyemitowane akcje dla Członków Zarządu i Pracowników Kluczowych.</w:t>
      </w:r>
    </w:p>
    <w:p w:rsidR="00151A83" w:rsidRPr="00765C97" w:rsidRDefault="00151A83" w:rsidP="0090029F">
      <w:pPr>
        <w:pStyle w:val="NormalnyWeb"/>
        <w:spacing w:before="0" w:beforeAutospacing="0" w:after="0" w:afterAutospacing="0"/>
        <w:jc w:val="both"/>
        <w:rPr>
          <w:rFonts w:ascii="Arial" w:hAnsi="Arial" w:cs="Arial"/>
          <w:sz w:val="20"/>
          <w:szCs w:val="20"/>
        </w:rPr>
      </w:pPr>
    </w:p>
    <w:p w:rsidR="00151A83" w:rsidRPr="00765C97" w:rsidRDefault="00151A83" w:rsidP="0090029F">
      <w:pPr>
        <w:pStyle w:val="NormalnyWeb"/>
        <w:spacing w:before="0" w:beforeAutospacing="0" w:after="0" w:afterAutospacing="0"/>
        <w:jc w:val="both"/>
      </w:pPr>
      <w:r w:rsidRPr="00765C97">
        <w:rPr>
          <w:rFonts w:ascii="Arial" w:hAnsi="Arial" w:cs="Arial"/>
          <w:sz w:val="20"/>
          <w:szCs w:val="20"/>
        </w:rPr>
        <w:t>Różnica pomiędzy średnią kapitalizacją w 2012 r. i średnią kapitalizacją w 2011 r. była ujemna, co oznacza, iż nie został spełniony podstawowy warunek Programu. W efekcie w 2013 r. nie zostaną wyemitowane akcje dla Członków Zarządu i Pracowników Kluczowych.</w:t>
      </w:r>
    </w:p>
    <w:p w:rsidR="00797B97" w:rsidRPr="00765C97" w:rsidRDefault="00797B97" w:rsidP="0090029F">
      <w:pPr>
        <w:spacing w:before="120" w:after="120" w:line="264" w:lineRule="auto"/>
        <w:jc w:val="both"/>
        <w:rPr>
          <w:rFonts w:ascii="Arial" w:hAnsi="Arial" w:cs="Arial"/>
          <w:sz w:val="20"/>
          <w:szCs w:val="20"/>
          <w:lang w:val="pl-PL"/>
        </w:rPr>
      </w:pPr>
      <w:r w:rsidRPr="00765C97">
        <w:rPr>
          <w:rFonts w:ascii="Arial" w:hAnsi="Arial" w:cs="Arial"/>
          <w:sz w:val="20"/>
          <w:szCs w:val="20"/>
          <w:lang w:val="pl-PL"/>
        </w:rPr>
        <w:t>W bieżącym i porównywalnych okresach sprawozdawczych występowały następujące płatności realizowane w formie akcji własnych:</w:t>
      </w:r>
    </w:p>
    <w:tbl>
      <w:tblPr>
        <w:tblW w:w="4913" w:type="pct"/>
        <w:tblInd w:w="157" w:type="dxa"/>
        <w:tblCellMar>
          <w:left w:w="0" w:type="dxa"/>
          <w:right w:w="0" w:type="dxa"/>
        </w:tblCellMar>
        <w:tblLook w:val="04A0"/>
      </w:tblPr>
      <w:tblGrid>
        <w:gridCol w:w="1418"/>
        <w:gridCol w:w="2270"/>
        <w:gridCol w:w="876"/>
        <w:gridCol w:w="992"/>
        <w:gridCol w:w="850"/>
        <w:gridCol w:w="1957"/>
      </w:tblGrid>
      <w:tr w:rsidR="00797B97" w:rsidRPr="00765C97" w:rsidTr="00665077">
        <w:trPr>
          <w:trHeight w:val="673"/>
        </w:trPr>
        <w:tc>
          <w:tcPr>
            <w:tcW w:w="848" w:type="pct"/>
            <w:tcBorders>
              <w:top w:val="nil"/>
              <w:left w:val="nil"/>
              <w:bottom w:val="single" w:sz="12" w:space="0" w:color="auto"/>
              <w:right w:val="nil"/>
            </w:tcBorders>
            <w:shd w:val="clear" w:color="auto" w:fill="FFFFFF"/>
            <w:tcMar>
              <w:top w:w="15" w:type="dxa"/>
              <w:left w:w="15" w:type="dxa"/>
              <w:bottom w:w="0" w:type="dxa"/>
              <w:right w:w="15" w:type="dxa"/>
            </w:tcMar>
            <w:vAlign w:val="center"/>
            <w:hideMark/>
          </w:tcPr>
          <w:p w:rsidR="00797B97" w:rsidRPr="00765C97" w:rsidRDefault="00797B97" w:rsidP="00797B97">
            <w:pPr>
              <w:spacing w:line="276" w:lineRule="auto"/>
              <w:rPr>
                <w:rFonts w:ascii="Arial" w:eastAsia="Calibri" w:hAnsi="Arial" w:cs="Arial"/>
                <w:b/>
                <w:bCs/>
                <w:sz w:val="16"/>
                <w:szCs w:val="16"/>
              </w:rPr>
            </w:pPr>
            <w:r w:rsidRPr="00765C97">
              <w:rPr>
                <w:rFonts w:ascii="Arial" w:hAnsi="Arial" w:cs="Arial"/>
                <w:b/>
                <w:bCs/>
                <w:sz w:val="16"/>
                <w:szCs w:val="16"/>
              </w:rPr>
              <w:t>Serie opcji</w:t>
            </w:r>
          </w:p>
        </w:tc>
        <w:tc>
          <w:tcPr>
            <w:tcW w:w="1357" w:type="pct"/>
            <w:tcBorders>
              <w:top w:val="nil"/>
              <w:left w:val="nil"/>
              <w:bottom w:val="single" w:sz="12" w:space="0" w:color="auto"/>
              <w:right w:val="nil"/>
            </w:tcBorders>
            <w:shd w:val="clear" w:color="auto" w:fill="FFFFFF"/>
            <w:tcMar>
              <w:top w:w="15" w:type="dxa"/>
              <w:left w:w="15" w:type="dxa"/>
              <w:bottom w:w="0" w:type="dxa"/>
              <w:right w:w="15" w:type="dxa"/>
            </w:tcMar>
            <w:vAlign w:val="center"/>
            <w:hideMark/>
          </w:tcPr>
          <w:p w:rsidR="00797B97" w:rsidRPr="00765C97" w:rsidRDefault="00797B97" w:rsidP="00665077">
            <w:pPr>
              <w:spacing w:line="276" w:lineRule="auto"/>
              <w:jc w:val="right"/>
              <w:rPr>
                <w:rFonts w:ascii="Arial" w:eastAsia="Calibri" w:hAnsi="Arial" w:cs="Arial"/>
                <w:b/>
                <w:bCs/>
                <w:sz w:val="16"/>
                <w:szCs w:val="16"/>
              </w:rPr>
            </w:pPr>
            <w:r w:rsidRPr="00765C97">
              <w:rPr>
                <w:rFonts w:ascii="Arial" w:hAnsi="Arial" w:cs="Arial"/>
                <w:b/>
                <w:bCs/>
                <w:sz w:val="16"/>
                <w:szCs w:val="16"/>
              </w:rPr>
              <w:t>Liczba</w:t>
            </w:r>
          </w:p>
        </w:tc>
        <w:tc>
          <w:tcPr>
            <w:tcW w:w="524" w:type="pct"/>
            <w:tcBorders>
              <w:top w:val="nil"/>
              <w:left w:val="nil"/>
              <w:bottom w:val="single" w:sz="12" w:space="0" w:color="auto"/>
              <w:right w:val="nil"/>
            </w:tcBorders>
            <w:shd w:val="clear" w:color="auto" w:fill="FFFFFF"/>
            <w:tcMar>
              <w:top w:w="15" w:type="dxa"/>
              <w:left w:w="15" w:type="dxa"/>
              <w:bottom w:w="0" w:type="dxa"/>
              <w:right w:w="15" w:type="dxa"/>
            </w:tcMar>
            <w:vAlign w:val="center"/>
            <w:hideMark/>
          </w:tcPr>
          <w:p w:rsidR="00797B97" w:rsidRPr="00765C97" w:rsidRDefault="00797B97" w:rsidP="00665077">
            <w:pPr>
              <w:spacing w:line="276" w:lineRule="auto"/>
              <w:jc w:val="right"/>
              <w:rPr>
                <w:rFonts w:ascii="Arial" w:eastAsia="Calibri" w:hAnsi="Arial" w:cs="Arial"/>
                <w:b/>
                <w:bCs/>
                <w:sz w:val="16"/>
                <w:szCs w:val="16"/>
              </w:rPr>
            </w:pPr>
            <w:r w:rsidRPr="00765C97">
              <w:rPr>
                <w:rFonts w:ascii="Arial" w:hAnsi="Arial" w:cs="Arial"/>
                <w:b/>
                <w:bCs/>
                <w:sz w:val="16"/>
                <w:szCs w:val="16"/>
              </w:rPr>
              <w:t>Data przyznania</w:t>
            </w:r>
          </w:p>
        </w:tc>
        <w:tc>
          <w:tcPr>
            <w:tcW w:w="593" w:type="pct"/>
            <w:tcBorders>
              <w:top w:val="nil"/>
              <w:left w:val="nil"/>
              <w:bottom w:val="single" w:sz="12" w:space="0" w:color="auto"/>
              <w:right w:val="nil"/>
            </w:tcBorders>
            <w:shd w:val="clear" w:color="auto" w:fill="FFFFFF"/>
            <w:tcMar>
              <w:top w:w="15" w:type="dxa"/>
              <w:left w:w="15" w:type="dxa"/>
              <w:bottom w:w="0" w:type="dxa"/>
              <w:right w:w="15" w:type="dxa"/>
            </w:tcMar>
            <w:vAlign w:val="center"/>
            <w:hideMark/>
          </w:tcPr>
          <w:p w:rsidR="00797B97" w:rsidRPr="00765C97" w:rsidRDefault="00797B97" w:rsidP="00665077">
            <w:pPr>
              <w:spacing w:line="276" w:lineRule="auto"/>
              <w:jc w:val="right"/>
              <w:rPr>
                <w:rFonts w:ascii="Arial" w:eastAsia="Calibri" w:hAnsi="Arial" w:cs="Arial"/>
                <w:b/>
                <w:bCs/>
                <w:sz w:val="16"/>
                <w:szCs w:val="16"/>
              </w:rPr>
            </w:pPr>
            <w:r w:rsidRPr="00765C97">
              <w:rPr>
                <w:rFonts w:ascii="Arial" w:hAnsi="Arial" w:cs="Arial"/>
                <w:b/>
                <w:bCs/>
                <w:sz w:val="16"/>
                <w:szCs w:val="16"/>
              </w:rPr>
              <w:t>Data wygaśnięcia</w:t>
            </w:r>
          </w:p>
        </w:tc>
        <w:tc>
          <w:tcPr>
            <w:tcW w:w="508" w:type="pct"/>
            <w:tcBorders>
              <w:top w:val="nil"/>
              <w:left w:val="nil"/>
              <w:bottom w:val="single" w:sz="12" w:space="0" w:color="auto"/>
              <w:right w:val="nil"/>
            </w:tcBorders>
            <w:shd w:val="clear" w:color="auto" w:fill="FFFFFF"/>
            <w:tcMar>
              <w:top w:w="15" w:type="dxa"/>
              <w:left w:w="15" w:type="dxa"/>
              <w:bottom w:w="0" w:type="dxa"/>
              <w:right w:w="15" w:type="dxa"/>
            </w:tcMar>
            <w:vAlign w:val="center"/>
            <w:hideMark/>
          </w:tcPr>
          <w:p w:rsidR="00797B97" w:rsidRPr="00765C97" w:rsidRDefault="00797B97" w:rsidP="00665077">
            <w:pPr>
              <w:spacing w:line="276" w:lineRule="auto"/>
              <w:jc w:val="right"/>
              <w:rPr>
                <w:rFonts w:ascii="Arial" w:hAnsi="Arial" w:cs="Arial"/>
                <w:b/>
                <w:bCs/>
                <w:sz w:val="16"/>
                <w:szCs w:val="16"/>
              </w:rPr>
            </w:pPr>
            <w:r w:rsidRPr="00765C97">
              <w:rPr>
                <w:rFonts w:ascii="Arial" w:hAnsi="Arial" w:cs="Arial"/>
                <w:b/>
                <w:bCs/>
                <w:sz w:val="16"/>
                <w:szCs w:val="16"/>
              </w:rPr>
              <w:t>Cena wykonania</w:t>
            </w:r>
          </w:p>
          <w:p w:rsidR="00797B97" w:rsidRPr="00765C97" w:rsidRDefault="00797B97" w:rsidP="00665077">
            <w:pPr>
              <w:spacing w:line="276" w:lineRule="auto"/>
              <w:jc w:val="right"/>
              <w:rPr>
                <w:rFonts w:ascii="Arial" w:eastAsia="Calibri" w:hAnsi="Arial" w:cs="Arial"/>
                <w:b/>
                <w:bCs/>
                <w:sz w:val="16"/>
                <w:szCs w:val="16"/>
              </w:rPr>
            </w:pPr>
            <w:r w:rsidRPr="00765C97">
              <w:rPr>
                <w:rFonts w:ascii="Arial" w:hAnsi="Arial" w:cs="Arial"/>
                <w:b/>
                <w:bCs/>
                <w:sz w:val="16"/>
                <w:szCs w:val="16"/>
              </w:rPr>
              <w:t>w PLN</w:t>
            </w:r>
          </w:p>
        </w:tc>
        <w:tc>
          <w:tcPr>
            <w:tcW w:w="1170" w:type="pct"/>
            <w:tcBorders>
              <w:top w:val="nil"/>
              <w:left w:val="nil"/>
              <w:bottom w:val="single" w:sz="12" w:space="0" w:color="auto"/>
              <w:right w:val="nil"/>
            </w:tcBorders>
            <w:shd w:val="clear" w:color="auto" w:fill="FFFFFF"/>
            <w:tcMar>
              <w:top w:w="15" w:type="dxa"/>
              <w:left w:w="15" w:type="dxa"/>
              <w:bottom w:w="0" w:type="dxa"/>
              <w:right w:w="15" w:type="dxa"/>
            </w:tcMar>
            <w:vAlign w:val="center"/>
            <w:hideMark/>
          </w:tcPr>
          <w:p w:rsidR="00797B97" w:rsidRPr="00765C97" w:rsidRDefault="00797B97" w:rsidP="00665077">
            <w:pPr>
              <w:spacing w:line="276" w:lineRule="auto"/>
              <w:jc w:val="right"/>
              <w:rPr>
                <w:rFonts w:ascii="Arial" w:hAnsi="Arial" w:cs="Arial"/>
                <w:b/>
                <w:bCs/>
                <w:sz w:val="16"/>
                <w:szCs w:val="16"/>
                <w:lang w:val="pl-PL"/>
              </w:rPr>
            </w:pPr>
            <w:r w:rsidRPr="00765C97">
              <w:rPr>
                <w:rFonts w:ascii="Arial" w:hAnsi="Arial" w:cs="Arial"/>
                <w:b/>
                <w:bCs/>
                <w:sz w:val="16"/>
                <w:szCs w:val="16"/>
                <w:lang w:val="pl-PL"/>
              </w:rPr>
              <w:t>Wartość godziwa na dzień przyznania</w:t>
            </w:r>
          </w:p>
          <w:p w:rsidR="00797B97" w:rsidRPr="00765C97" w:rsidRDefault="00665077" w:rsidP="00665077">
            <w:pPr>
              <w:spacing w:line="276" w:lineRule="auto"/>
              <w:jc w:val="right"/>
              <w:rPr>
                <w:rFonts w:ascii="Arial" w:eastAsia="Calibri" w:hAnsi="Arial" w:cs="Arial"/>
                <w:b/>
                <w:bCs/>
                <w:sz w:val="16"/>
                <w:szCs w:val="16"/>
                <w:lang w:val="pl-PL"/>
              </w:rPr>
            </w:pPr>
            <w:r w:rsidRPr="00765C97">
              <w:rPr>
                <w:rFonts w:ascii="Arial" w:hAnsi="Arial" w:cs="Arial"/>
                <w:b/>
                <w:bCs/>
                <w:sz w:val="16"/>
                <w:szCs w:val="16"/>
                <w:lang w:val="pl-PL"/>
              </w:rPr>
              <w:t xml:space="preserve">w </w:t>
            </w:r>
            <w:r w:rsidR="00797B97" w:rsidRPr="00765C97">
              <w:rPr>
                <w:rFonts w:ascii="Arial" w:hAnsi="Arial" w:cs="Arial"/>
                <w:b/>
                <w:bCs/>
                <w:sz w:val="16"/>
                <w:szCs w:val="16"/>
                <w:lang w:val="pl-PL"/>
              </w:rPr>
              <w:t>tys. PLN</w:t>
            </w:r>
          </w:p>
        </w:tc>
      </w:tr>
      <w:tr w:rsidR="00797B97" w:rsidRPr="00765C97" w:rsidTr="00665077">
        <w:trPr>
          <w:trHeight w:val="225"/>
        </w:trPr>
        <w:tc>
          <w:tcPr>
            <w:tcW w:w="848" w:type="pct"/>
            <w:shd w:val="clear" w:color="auto" w:fill="FFFFFF"/>
            <w:tcMar>
              <w:top w:w="15" w:type="dxa"/>
              <w:left w:w="15" w:type="dxa"/>
              <w:bottom w:w="0" w:type="dxa"/>
              <w:right w:w="15" w:type="dxa"/>
            </w:tcMar>
            <w:vAlign w:val="center"/>
            <w:hideMark/>
          </w:tcPr>
          <w:p w:rsidR="00797B97" w:rsidRPr="00765C97" w:rsidRDefault="00797B97" w:rsidP="00665077">
            <w:pPr>
              <w:spacing w:line="276" w:lineRule="auto"/>
              <w:rPr>
                <w:rFonts w:ascii="Arial" w:eastAsia="Calibri" w:hAnsi="Arial" w:cs="Arial"/>
                <w:sz w:val="16"/>
                <w:szCs w:val="16"/>
              </w:rPr>
            </w:pPr>
            <w:r w:rsidRPr="00765C97">
              <w:rPr>
                <w:rFonts w:ascii="Arial" w:hAnsi="Arial" w:cs="Arial"/>
                <w:sz w:val="16"/>
                <w:szCs w:val="16"/>
              </w:rPr>
              <w:t>(1) Wyemitowane</w:t>
            </w:r>
            <w:r w:rsidR="00665077" w:rsidRPr="00765C97">
              <w:rPr>
                <w:rFonts w:ascii="Arial" w:hAnsi="Arial" w:cs="Arial"/>
                <w:sz w:val="16"/>
                <w:szCs w:val="16"/>
              </w:rPr>
              <w:t xml:space="preserve"> </w:t>
            </w:r>
            <w:r w:rsidRPr="00765C97">
              <w:rPr>
                <w:rFonts w:ascii="Arial" w:hAnsi="Arial" w:cs="Arial"/>
                <w:sz w:val="16"/>
                <w:szCs w:val="16"/>
              </w:rPr>
              <w:t>31 grudnia 2009</w:t>
            </w:r>
            <w:r w:rsidR="00665077" w:rsidRPr="00765C97">
              <w:rPr>
                <w:rFonts w:ascii="Arial" w:hAnsi="Arial" w:cs="Arial"/>
                <w:sz w:val="16"/>
                <w:szCs w:val="16"/>
              </w:rPr>
              <w:t xml:space="preserve"> r.</w:t>
            </w:r>
          </w:p>
        </w:tc>
        <w:tc>
          <w:tcPr>
            <w:tcW w:w="1357" w:type="pct"/>
            <w:shd w:val="clear" w:color="auto" w:fill="FFFFFF"/>
            <w:tcMar>
              <w:top w:w="15" w:type="dxa"/>
              <w:left w:w="15" w:type="dxa"/>
              <w:bottom w:w="0" w:type="dxa"/>
              <w:right w:w="15" w:type="dxa"/>
            </w:tcMar>
            <w:vAlign w:val="center"/>
            <w:hideMark/>
          </w:tcPr>
          <w:p w:rsidR="00797B97" w:rsidRPr="00765C97" w:rsidRDefault="00797B97" w:rsidP="00432736">
            <w:pPr>
              <w:spacing w:line="276" w:lineRule="auto"/>
              <w:jc w:val="right"/>
              <w:rPr>
                <w:rFonts w:ascii="Arial" w:eastAsia="Calibri" w:hAnsi="Arial" w:cs="Arial"/>
                <w:sz w:val="16"/>
                <w:szCs w:val="16"/>
                <w:lang w:val="pl-PL"/>
              </w:rPr>
            </w:pPr>
            <w:r w:rsidRPr="00765C97">
              <w:rPr>
                <w:rFonts w:ascii="Arial" w:hAnsi="Arial" w:cs="Arial"/>
                <w:sz w:val="16"/>
                <w:szCs w:val="16"/>
                <w:lang w:val="pl-PL"/>
              </w:rPr>
              <w:t>Zależna od sytuacji rynkowej, odpowiadająca 3,0% wzrostu kapitalizacji Comarch S.A.</w:t>
            </w:r>
          </w:p>
        </w:tc>
        <w:tc>
          <w:tcPr>
            <w:tcW w:w="524" w:type="pct"/>
            <w:shd w:val="clear" w:color="auto" w:fill="FFFFFF"/>
            <w:tcMar>
              <w:top w:w="15" w:type="dxa"/>
              <w:left w:w="15" w:type="dxa"/>
              <w:bottom w:w="0" w:type="dxa"/>
              <w:right w:w="15" w:type="dxa"/>
            </w:tcMar>
            <w:vAlign w:val="center"/>
            <w:hideMark/>
          </w:tcPr>
          <w:p w:rsidR="00797B97" w:rsidRPr="00765C97" w:rsidRDefault="00797B97" w:rsidP="00665077">
            <w:pPr>
              <w:spacing w:line="276" w:lineRule="auto"/>
              <w:jc w:val="right"/>
              <w:rPr>
                <w:rFonts w:ascii="Arial" w:eastAsia="Calibri" w:hAnsi="Arial" w:cs="Arial"/>
                <w:sz w:val="16"/>
                <w:szCs w:val="16"/>
              </w:rPr>
            </w:pPr>
            <w:r w:rsidRPr="00765C97">
              <w:rPr>
                <w:rFonts w:ascii="Arial" w:hAnsi="Arial" w:cs="Arial"/>
                <w:sz w:val="16"/>
                <w:szCs w:val="16"/>
              </w:rPr>
              <w:t>31/12/2009</w:t>
            </w:r>
          </w:p>
        </w:tc>
        <w:tc>
          <w:tcPr>
            <w:tcW w:w="593" w:type="pct"/>
            <w:shd w:val="clear" w:color="auto" w:fill="FFFFFF"/>
            <w:tcMar>
              <w:top w:w="15" w:type="dxa"/>
              <w:left w:w="15" w:type="dxa"/>
              <w:bottom w:w="0" w:type="dxa"/>
              <w:right w:w="15" w:type="dxa"/>
            </w:tcMar>
            <w:vAlign w:val="center"/>
            <w:hideMark/>
          </w:tcPr>
          <w:p w:rsidR="00797B97" w:rsidRPr="00765C97" w:rsidRDefault="00797B97" w:rsidP="00665077">
            <w:pPr>
              <w:spacing w:line="276" w:lineRule="auto"/>
              <w:jc w:val="right"/>
              <w:rPr>
                <w:rFonts w:ascii="Arial" w:eastAsia="Calibri" w:hAnsi="Arial" w:cs="Arial"/>
                <w:sz w:val="16"/>
                <w:szCs w:val="16"/>
              </w:rPr>
            </w:pPr>
            <w:r w:rsidRPr="00765C97">
              <w:rPr>
                <w:rFonts w:ascii="Arial" w:hAnsi="Arial" w:cs="Arial"/>
                <w:sz w:val="16"/>
                <w:szCs w:val="16"/>
              </w:rPr>
              <w:t>31/12/2010</w:t>
            </w:r>
          </w:p>
        </w:tc>
        <w:tc>
          <w:tcPr>
            <w:tcW w:w="508" w:type="pct"/>
            <w:shd w:val="clear" w:color="auto" w:fill="FFFFFF"/>
            <w:tcMar>
              <w:top w:w="15" w:type="dxa"/>
              <w:left w:w="15" w:type="dxa"/>
              <w:bottom w:w="0" w:type="dxa"/>
              <w:right w:w="15" w:type="dxa"/>
            </w:tcMar>
            <w:vAlign w:val="center"/>
            <w:hideMark/>
          </w:tcPr>
          <w:p w:rsidR="00797B97" w:rsidRPr="00765C97" w:rsidRDefault="00797B97" w:rsidP="00665077">
            <w:pPr>
              <w:spacing w:line="276" w:lineRule="auto"/>
              <w:jc w:val="right"/>
              <w:rPr>
                <w:rFonts w:ascii="Arial" w:eastAsia="Calibri" w:hAnsi="Arial" w:cs="Arial"/>
                <w:sz w:val="16"/>
                <w:szCs w:val="16"/>
              </w:rPr>
            </w:pPr>
            <w:r w:rsidRPr="00765C97">
              <w:rPr>
                <w:rFonts w:ascii="Arial" w:hAnsi="Arial" w:cs="Arial"/>
                <w:sz w:val="16"/>
                <w:szCs w:val="16"/>
              </w:rPr>
              <w:t xml:space="preserve">1,00 </w:t>
            </w:r>
          </w:p>
        </w:tc>
        <w:tc>
          <w:tcPr>
            <w:tcW w:w="1170" w:type="pct"/>
            <w:shd w:val="clear" w:color="auto" w:fill="FFFFFF"/>
            <w:tcMar>
              <w:top w:w="15" w:type="dxa"/>
              <w:left w:w="15" w:type="dxa"/>
              <w:bottom w:w="0" w:type="dxa"/>
              <w:right w:w="15" w:type="dxa"/>
            </w:tcMar>
            <w:vAlign w:val="center"/>
            <w:hideMark/>
          </w:tcPr>
          <w:p w:rsidR="00797B97" w:rsidRPr="00765C97" w:rsidRDefault="00797B97" w:rsidP="00665077">
            <w:pPr>
              <w:spacing w:line="276" w:lineRule="auto"/>
              <w:jc w:val="right"/>
              <w:rPr>
                <w:rFonts w:ascii="Arial" w:eastAsia="Calibri" w:hAnsi="Arial" w:cs="Arial"/>
                <w:sz w:val="16"/>
                <w:szCs w:val="16"/>
              </w:rPr>
            </w:pPr>
            <w:r w:rsidRPr="00765C97">
              <w:rPr>
                <w:rFonts w:ascii="Arial" w:hAnsi="Arial" w:cs="Arial"/>
                <w:sz w:val="16"/>
                <w:szCs w:val="16"/>
              </w:rPr>
              <w:t>2 980</w:t>
            </w:r>
          </w:p>
        </w:tc>
      </w:tr>
      <w:tr w:rsidR="00797B97" w:rsidRPr="00765C97" w:rsidTr="00665077">
        <w:trPr>
          <w:trHeight w:val="275"/>
        </w:trPr>
        <w:tc>
          <w:tcPr>
            <w:tcW w:w="848" w:type="pct"/>
            <w:shd w:val="clear" w:color="auto" w:fill="FFFFFF"/>
            <w:tcMar>
              <w:top w:w="15" w:type="dxa"/>
              <w:left w:w="15" w:type="dxa"/>
              <w:bottom w:w="0" w:type="dxa"/>
              <w:right w:w="15" w:type="dxa"/>
            </w:tcMar>
            <w:vAlign w:val="center"/>
            <w:hideMark/>
          </w:tcPr>
          <w:p w:rsidR="00797B97" w:rsidRPr="00765C97" w:rsidRDefault="00665077" w:rsidP="00665077">
            <w:pPr>
              <w:spacing w:line="276" w:lineRule="auto"/>
              <w:rPr>
                <w:rFonts w:ascii="Arial" w:eastAsia="Calibri" w:hAnsi="Arial" w:cs="Arial"/>
                <w:sz w:val="16"/>
                <w:szCs w:val="16"/>
              </w:rPr>
            </w:pPr>
            <w:r w:rsidRPr="00765C97">
              <w:rPr>
                <w:rFonts w:ascii="Arial" w:hAnsi="Arial" w:cs="Arial"/>
                <w:sz w:val="16"/>
                <w:szCs w:val="16"/>
              </w:rPr>
              <w:t>(2) Wyemitowane 31 grudnia 2010 r.</w:t>
            </w:r>
          </w:p>
        </w:tc>
        <w:tc>
          <w:tcPr>
            <w:tcW w:w="1357" w:type="pct"/>
            <w:shd w:val="clear" w:color="auto" w:fill="FFFFFF"/>
            <w:tcMar>
              <w:top w:w="15" w:type="dxa"/>
              <w:left w:w="15" w:type="dxa"/>
              <w:bottom w:w="0" w:type="dxa"/>
              <w:right w:w="15" w:type="dxa"/>
            </w:tcMar>
            <w:vAlign w:val="center"/>
            <w:hideMark/>
          </w:tcPr>
          <w:p w:rsidR="00797B97" w:rsidRPr="00765C97" w:rsidRDefault="00797B97" w:rsidP="00432736">
            <w:pPr>
              <w:spacing w:line="276" w:lineRule="auto"/>
              <w:jc w:val="right"/>
              <w:rPr>
                <w:rFonts w:ascii="Arial" w:eastAsia="Calibri" w:hAnsi="Arial" w:cs="Arial"/>
                <w:sz w:val="16"/>
                <w:szCs w:val="16"/>
                <w:lang w:val="pl-PL"/>
              </w:rPr>
            </w:pPr>
            <w:r w:rsidRPr="00765C97">
              <w:rPr>
                <w:rFonts w:ascii="Arial" w:hAnsi="Arial" w:cs="Arial"/>
                <w:sz w:val="16"/>
                <w:szCs w:val="16"/>
                <w:lang w:val="pl-PL"/>
              </w:rPr>
              <w:t>Zależna od sytuacji rynkowej, odpowiadająca 3,6% wzrostu kapitalizacji Comarch S.A.</w:t>
            </w:r>
          </w:p>
        </w:tc>
        <w:tc>
          <w:tcPr>
            <w:tcW w:w="524" w:type="pct"/>
            <w:shd w:val="clear" w:color="auto" w:fill="FFFFFF"/>
            <w:tcMar>
              <w:top w:w="15" w:type="dxa"/>
              <w:left w:w="15" w:type="dxa"/>
              <w:bottom w:w="0" w:type="dxa"/>
              <w:right w:w="15" w:type="dxa"/>
            </w:tcMar>
            <w:vAlign w:val="center"/>
            <w:hideMark/>
          </w:tcPr>
          <w:p w:rsidR="00797B97" w:rsidRPr="00765C97" w:rsidRDefault="00797B97" w:rsidP="00665077">
            <w:pPr>
              <w:spacing w:line="276" w:lineRule="auto"/>
              <w:jc w:val="right"/>
              <w:rPr>
                <w:rFonts w:ascii="Arial" w:eastAsia="Calibri" w:hAnsi="Arial" w:cs="Arial"/>
                <w:sz w:val="16"/>
                <w:szCs w:val="16"/>
              </w:rPr>
            </w:pPr>
            <w:r w:rsidRPr="00765C97">
              <w:rPr>
                <w:rFonts w:ascii="Arial" w:hAnsi="Arial" w:cs="Arial"/>
                <w:sz w:val="16"/>
                <w:szCs w:val="16"/>
              </w:rPr>
              <w:t>31/12/2010</w:t>
            </w:r>
          </w:p>
        </w:tc>
        <w:tc>
          <w:tcPr>
            <w:tcW w:w="593" w:type="pct"/>
            <w:shd w:val="clear" w:color="auto" w:fill="FFFFFF"/>
            <w:tcMar>
              <w:top w:w="15" w:type="dxa"/>
              <w:left w:w="15" w:type="dxa"/>
              <w:bottom w:w="0" w:type="dxa"/>
              <w:right w:w="15" w:type="dxa"/>
            </w:tcMar>
            <w:vAlign w:val="center"/>
            <w:hideMark/>
          </w:tcPr>
          <w:p w:rsidR="00797B97" w:rsidRPr="00765C97" w:rsidRDefault="00797B97" w:rsidP="00665077">
            <w:pPr>
              <w:spacing w:line="276" w:lineRule="auto"/>
              <w:jc w:val="right"/>
              <w:rPr>
                <w:rFonts w:ascii="Arial" w:eastAsia="Calibri" w:hAnsi="Arial" w:cs="Arial"/>
                <w:sz w:val="16"/>
                <w:szCs w:val="16"/>
              </w:rPr>
            </w:pPr>
            <w:r w:rsidRPr="00765C97">
              <w:rPr>
                <w:rFonts w:ascii="Arial" w:hAnsi="Arial" w:cs="Arial"/>
                <w:sz w:val="16"/>
                <w:szCs w:val="16"/>
              </w:rPr>
              <w:t>31/12/2011</w:t>
            </w:r>
          </w:p>
        </w:tc>
        <w:tc>
          <w:tcPr>
            <w:tcW w:w="508" w:type="pct"/>
            <w:shd w:val="clear" w:color="auto" w:fill="FFFFFF"/>
            <w:tcMar>
              <w:top w:w="15" w:type="dxa"/>
              <w:left w:w="15" w:type="dxa"/>
              <w:bottom w:w="0" w:type="dxa"/>
              <w:right w:w="15" w:type="dxa"/>
            </w:tcMar>
            <w:vAlign w:val="center"/>
            <w:hideMark/>
          </w:tcPr>
          <w:p w:rsidR="00797B97" w:rsidRPr="00765C97" w:rsidRDefault="00665077" w:rsidP="00665077">
            <w:pPr>
              <w:spacing w:line="276" w:lineRule="auto"/>
              <w:jc w:val="right"/>
              <w:rPr>
                <w:rFonts w:ascii="Arial" w:eastAsia="Calibri" w:hAnsi="Arial" w:cs="Arial"/>
                <w:sz w:val="16"/>
                <w:szCs w:val="16"/>
              </w:rPr>
            </w:pPr>
            <w:r w:rsidRPr="00765C97">
              <w:rPr>
                <w:rFonts w:ascii="Arial" w:hAnsi="Arial" w:cs="Arial"/>
                <w:sz w:val="16"/>
                <w:szCs w:val="16"/>
              </w:rPr>
              <w:t>1,00</w:t>
            </w:r>
            <w:r w:rsidR="00797B97" w:rsidRPr="00765C97">
              <w:rPr>
                <w:rFonts w:ascii="Arial" w:hAnsi="Arial" w:cs="Arial"/>
                <w:sz w:val="16"/>
                <w:szCs w:val="16"/>
              </w:rPr>
              <w:t xml:space="preserve"> </w:t>
            </w:r>
          </w:p>
        </w:tc>
        <w:tc>
          <w:tcPr>
            <w:tcW w:w="1170" w:type="pct"/>
            <w:shd w:val="clear" w:color="auto" w:fill="FFFFFF"/>
            <w:tcMar>
              <w:top w:w="15" w:type="dxa"/>
              <w:left w:w="15" w:type="dxa"/>
              <w:bottom w:w="0" w:type="dxa"/>
              <w:right w:w="15" w:type="dxa"/>
            </w:tcMar>
            <w:vAlign w:val="center"/>
            <w:hideMark/>
          </w:tcPr>
          <w:p w:rsidR="00797B97" w:rsidRPr="00765C97" w:rsidRDefault="00665077" w:rsidP="00665077">
            <w:pPr>
              <w:spacing w:line="276" w:lineRule="auto"/>
              <w:jc w:val="right"/>
              <w:rPr>
                <w:rFonts w:ascii="Arial" w:eastAsia="Calibri" w:hAnsi="Arial" w:cs="Arial"/>
                <w:sz w:val="16"/>
                <w:szCs w:val="16"/>
              </w:rPr>
            </w:pPr>
            <w:r w:rsidRPr="00765C97">
              <w:rPr>
                <w:rFonts w:ascii="Arial" w:hAnsi="Arial" w:cs="Arial"/>
                <w:sz w:val="16"/>
                <w:szCs w:val="16"/>
              </w:rPr>
              <w:t>2 643</w:t>
            </w:r>
          </w:p>
        </w:tc>
      </w:tr>
      <w:tr w:rsidR="00797B97" w:rsidRPr="00765C97" w:rsidTr="00665077">
        <w:trPr>
          <w:trHeight w:val="312"/>
        </w:trPr>
        <w:tc>
          <w:tcPr>
            <w:tcW w:w="848" w:type="pct"/>
            <w:shd w:val="clear" w:color="auto" w:fill="FFFFFF"/>
            <w:tcMar>
              <w:top w:w="15" w:type="dxa"/>
              <w:left w:w="15" w:type="dxa"/>
              <w:bottom w:w="0" w:type="dxa"/>
              <w:right w:w="15" w:type="dxa"/>
            </w:tcMar>
            <w:vAlign w:val="center"/>
            <w:hideMark/>
          </w:tcPr>
          <w:p w:rsidR="00797B97" w:rsidRPr="00765C97" w:rsidRDefault="00797B97" w:rsidP="00665077">
            <w:pPr>
              <w:spacing w:line="276" w:lineRule="auto"/>
              <w:rPr>
                <w:rFonts w:ascii="Arial" w:eastAsia="Calibri" w:hAnsi="Arial" w:cs="Arial"/>
                <w:sz w:val="16"/>
                <w:szCs w:val="16"/>
                <w:lang w:val="pl-PL"/>
              </w:rPr>
            </w:pPr>
            <w:r w:rsidRPr="00765C97">
              <w:rPr>
                <w:rFonts w:ascii="Arial" w:hAnsi="Arial" w:cs="Arial"/>
                <w:sz w:val="16"/>
                <w:szCs w:val="16"/>
                <w:lang w:val="pl-PL"/>
              </w:rPr>
              <w:t>(3) Wyemitowane 31 grudnia 2011</w:t>
            </w:r>
            <w:r w:rsidR="00665077" w:rsidRPr="00765C97">
              <w:rPr>
                <w:rFonts w:ascii="Arial" w:hAnsi="Arial" w:cs="Arial"/>
                <w:sz w:val="16"/>
                <w:szCs w:val="16"/>
                <w:lang w:val="pl-PL"/>
              </w:rPr>
              <w:t xml:space="preserve"> </w:t>
            </w:r>
            <w:r w:rsidRPr="00765C97">
              <w:rPr>
                <w:rFonts w:ascii="Arial" w:hAnsi="Arial" w:cs="Arial"/>
                <w:sz w:val="16"/>
                <w:szCs w:val="16"/>
                <w:lang w:val="pl-PL"/>
              </w:rPr>
              <w:t>r</w:t>
            </w:r>
            <w:r w:rsidR="00665077" w:rsidRPr="00765C97">
              <w:rPr>
                <w:rFonts w:ascii="Arial" w:hAnsi="Arial" w:cs="Arial"/>
                <w:sz w:val="16"/>
                <w:szCs w:val="16"/>
                <w:lang w:val="pl-PL"/>
              </w:rPr>
              <w:t xml:space="preserve">. </w:t>
            </w:r>
          </w:p>
        </w:tc>
        <w:tc>
          <w:tcPr>
            <w:tcW w:w="1357" w:type="pct"/>
            <w:shd w:val="clear" w:color="auto" w:fill="FFFFFF"/>
            <w:tcMar>
              <w:top w:w="15" w:type="dxa"/>
              <w:left w:w="15" w:type="dxa"/>
              <w:bottom w:w="0" w:type="dxa"/>
              <w:right w:w="15" w:type="dxa"/>
            </w:tcMar>
            <w:vAlign w:val="center"/>
            <w:hideMark/>
          </w:tcPr>
          <w:p w:rsidR="00797B97" w:rsidRPr="00765C97" w:rsidRDefault="00797B97" w:rsidP="00432736">
            <w:pPr>
              <w:spacing w:line="276" w:lineRule="auto"/>
              <w:jc w:val="right"/>
              <w:rPr>
                <w:rFonts w:ascii="Arial" w:eastAsia="Calibri" w:hAnsi="Arial" w:cs="Arial"/>
                <w:sz w:val="16"/>
                <w:szCs w:val="16"/>
                <w:lang w:val="pl-PL"/>
              </w:rPr>
            </w:pPr>
            <w:r w:rsidRPr="00765C97">
              <w:rPr>
                <w:rFonts w:ascii="Arial" w:hAnsi="Arial" w:cs="Arial"/>
                <w:sz w:val="16"/>
                <w:szCs w:val="16"/>
                <w:lang w:val="pl-PL"/>
              </w:rPr>
              <w:t xml:space="preserve">Zależna od sytuacji rynkowej, odpowiadająca 3,6% wzrostu kapitalizacji Comarch S.A. </w:t>
            </w:r>
          </w:p>
        </w:tc>
        <w:tc>
          <w:tcPr>
            <w:tcW w:w="524" w:type="pct"/>
            <w:shd w:val="clear" w:color="auto" w:fill="FFFFFF"/>
            <w:tcMar>
              <w:top w:w="15" w:type="dxa"/>
              <w:left w:w="15" w:type="dxa"/>
              <w:bottom w:w="0" w:type="dxa"/>
              <w:right w:w="15" w:type="dxa"/>
            </w:tcMar>
            <w:vAlign w:val="center"/>
            <w:hideMark/>
          </w:tcPr>
          <w:p w:rsidR="00797B97" w:rsidRPr="00765C97" w:rsidRDefault="00797B97" w:rsidP="00665077">
            <w:pPr>
              <w:spacing w:line="276" w:lineRule="auto"/>
              <w:jc w:val="right"/>
              <w:rPr>
                <w:rFonts w:ascii="Arial" w:eastAsia="Calibri" w:hAnsi="Arial" w:cs="Arial"/>
                <w:sz w:val="16"/>
                <w:szCs w:val="16"/>
                <w:lang w:val="pl-PL"/>
              </w:rPr>
            </w:pPr>
            <w:r w:rsidRPr="00765C97">
              <w:rPr>
                <w:rFonts w:ascii="Arial" w:hAnsi="Arial" w:cs="Arial"/>
                <w:sz w:val="16"/>
                <w:szCs w:val="16"/>
                <w:lang w:val="pl-PL"/>
              </w:rPr>
              <w:t>31/12/2011</w:t>
            </w:r>
          </w:p>
        </w:tc>
        <w:tc>
          <w:tcPr>
            <w:tcW w:w="593" w:type="pct"/>
            <w:shd w:val="clear" w:color="auto" w:fill="FFFFFF"/>
            <w:tcMar>
              <w:top w:w="15" w:type="dxa"/>
              <w:left w:w="15" w:type="dxa"/>
              <w:bottom w:w="0" w:type="dxa"/>
              <w:right w:w="15" w:type="dxa"/>
            </w:tcMar>
            <w:vAlign w:val="center"/>
            <w:hideMark/>
          </w:tcPr>
          <w:p w:rsidR="00797B97" w:rsidRPr="00765C97" w:rsidRDefault="00797B97" w:rsidP="00665077">
            <w:pPr>
              <w:spacing w:line="276" w:lineRule="auto"/>
              <w:jc w:val="right"/>
              <w:rPr>
                <w:rFonts w:ascii="Arial" w:eastAsia="Calibri" w:hAnsi="Arial" w:cs="Arial"/>
                <w:sz w:val="16"/>
                <w:szCs w:val="16"/>
                <w:lang w:val="pl-PL"/>
              </w:rPr>
            </w:pPr>
            <w:r w:rsidRPr="00765C97">
              <w:rPr>
                <w:rFonts w:ascii="Arial" w:hAnsi="Arial" w:cs="Arial"/>
                <w:sz w:val="16"/>
                <w:szCs w:val="16"/>
                <w:lang w:val="pl-PL"/>
              </w:rPr>
              <w:t>31/12/2012</w:t>
            </w:r>
          </w:p>
        </w:tc>
        <w:tc>
          <w:tcPr>
            <w:tcW w:w="508" w:type="pct"/>
            <w:shd w:val="clear" w:color="auto" w:fill="FFFFFF"/>
            <w:tcMar>
              <w:top w:w="15" w:type="dxa"/>
              <w:left w:w="15" w:type="dxa"/>
              <w:bottom w:w="0" w:type="dxa"/>
              <w:right w:w="15" w:type="dxa"/>
            </w:tcMar>
            <w:vAlign w:val="center"/>
            <w:hideMark/>
          </w:tcPr>
          <w:p w:rsidR="00797B97" w:rsidRPr="00765C97" w:rsidRDefault="00797B97" w:rsidP="00665077">
            <w:pPr>
              <w:spacing w:line="276" w:lineRule="auto"/>
              <w:jc w:val="right"/>
              <w:rPr>
                <w:rFonts w:ascii="Arial" w:eastAsia="Calibri" w:hAnsi="Arial" w:cs="Arial"/>
                <w:sz w:val="16"/>
                <w:szCs w:val="16"/>
                <w:lang w:val="pl-PL"/>
              </w:rPr>
            </w:pPr>
            <w:r w:rsidRPr="00765C97">
              <w:rPr>
                <w:rFonts w:ascii="Arial" w:hAnsi="Arial" w:cs="Arial"/>
                <w:sz w:val="16"/>
                <w:szCs w:val="16"/>
                <w:lang w:val="pl-PL"/>
              </w:rPr>
              <w:t>1,00</w:t>
            </w:r>
          </w:p>
        </w:tc>
        <w:tc>
          <w:tcPr>
            <w:tcW w:w="1170" w:type="pct"/>
            <w:shd w:val="clear" w:color="auto" w:fill="FFFFFF"/>
            <w:tcMar>
              <w:top w:w="15" w:type="dxa"/>
              <w:left w:w="15" w:type="dxa"/>
              <w:bottom w:w="0" w:type="dxa"/>
              <w:right w:w="15" w:type="dxa"/>
            </w:tcMar>
            <w:vAlign w:val="center"/>
            <w:hideMark/>
          </w:tcPr>
          <w:p w:rsidR="00797B97" w:rsidRPr="00765C97" w:rsidRDefault="00797B97" w:rsidP="00665077">
            <w:pPr>
              <w:spacing w:line="276" w:lineRule="auto"/>
              <w:jc w:val="right"/>
              <w:rPr>
                <w:rFonts w:ascii="Arial" w:eastAsia="Calibri" w:hAnsi="Arial" w:cs="Arial"/>
                <w:sz w:val="16"/>
                <w:szCs w:val="16"/>
                <w:lang w:val="pl-PL"/>
              </w:rPr>
            </w:pPr>
            <w:r w:rsidRPr="00765C97">
              <w:rPr>
                <w:rFonts w:ascii="Arial" w:hAnsi="Arial" w:cs="Arial"/>
                <w:sz w:val="16"/>
                <w:szCs w:val="16"/>
                <w:lang w:val="pl-PL"/>
              </w:rPr>
              <w:t>1 566</w:t>
            </w:r>
          </w:p>
        </w:tc>
      </w:tr>
    </w:tbl>
    <w:p w:rsidR="00B24DA9" w:rsidRPr="00765C97" w:rsidRDefault="00B24DA9" w:rsidP="00135A9A">
      <w:pPr>
        <w:pStyle w:val="Nagwek4"/>
        <w:numPr>
          <w:ilvl w:val="2"/>
          <w:numId w:val="15"/>
        </w:numPr>
        <w:spacing w:before="240" w:after="60"/>
        <w:ind w:left="1276" w:hanging="851"/>
        <w:rPr>
          <w:rFonts w:ascii="Arial" w:hAnsi="Arial"/>
          <w:sz w:val="20"/>
          <w:lang w:val="pl-PL"/>
        </w:rPr>
      </w:pPr>
      <w:r w:rsidRPr="00765C97">
        <w:rPr>
          <w:rFonts w:ascii="Arial" w:hAnsi="Arial"/>
          <w:sz w:val="20"/>
          <w:lang w:val="pl-PL"/>
        </w:rPr>
        <w:t xml:space="preserve">Zmiany w stanie kapitału zakładowego po dacie bilansu  </w:t>
      </w:r>
    </w:p>
    <w:p w:rsidR="00B069E7" w:rsidRPr="00765C97" w:rsidRDefault="003B604E" w:rsidP="00B069E7">
      <w:pPr>
        <w:widowControl/>
        <w:adjustRightInd w:val="0"/>
        <w:ind w:left="181"/>
        <w:jc w:val="both"/>
        <w:rPr>
          <w:rFonts w:ascii="Arial" w:hAnsi="Arial" w:cs="Arial"/>
          <w:sz w:val="20"/>
          <w:szCs w:val="20"/>
          <w:lang w:val="pl-PL"/>
        </w:rPr>
      </w:pPr>
      <w:r w:rsidRPr="00765C97">
        <w:rPr>
          <w:rFonts w:ascii="Arial" w:hAnsi="Arial" w:cs="Arial"/>
          <w:sz w:val="20"/>
          <w:szCs w:val="20"/>
          <w:lang w:val="pl-PL"/>
        </w:rPr>
        <w:t>Nie wystąpiły.</w:t>
      </w:r>
    </w:p>
    <w:p w:rsidR="00B24DA9" w:rsidRPr="00765C97" w:rsidRDefault="00B24DA9" w:rsidP="00135A9A">
      <w:pPr>
        <w:pStyle w:val="Nagwek3"/>
        <w:numPr>
          <w:ilvl w:val="1"/>
          <w:numId w:val="22"/>
        </w:numPr>
        <w:spacing w:after="240"/>
        <w:ind w:left="709" w:hanging="567"/>
        <w:rPr>
          <w:sz w:val="20"/>
          <w:lang w:val="pl-PL"/>
        </w:rPr>
      </w:pPr>
      <w:bookmarkStart w:id="62" w:name="_Toc353973223"/>
      <w:r w:rsidRPr="00765C97">
        <w:rPr>
          <w:sz w:val="20"/>
          <w:lang w:val="pl-PL"/>
        </w:rPr>
        <w:t>Pozostałe kapitały</w:t>
      </w:r>
      <w:bookmarkEnd w:id="62"/>
    </w:p>
    <w:p w:rsidR="00B24DA9" w:rsidRPr="00765C97" w:rsidRDefault="00B24DA9" w:rsidP="00135A9A">
      <w:pPr>
        <w:pStyle w:val="Nagwek4"/>
        <w:numPr>
          <w:ilvl w:val="2"/>
          <w:numId w:val="16"/>
        </w:numPr>
        <w:spacing w:before="240" w:after="120"/>
        <w:ind w:left="1276" w:hanging="851"/>
        <w:rPr>
          <w:rFonts w:ascii="Arial" w:hAnsi="Arial"/>
          <w:sz w:val="20"/>
          <w:lang w:val="pl-PL"/>
        </w:rPr>
      </w:pPr>
      <w:r w:rsidRPr="00765C97">
        <w:rPr>
          <w:rFonts w:ascii="Arial" w:hAnsi="Arial"/>
          <w:sz w:val="20"/>
          <w:lang w:val="pl-PL"/>
        </w:rPr>
        <w:t xml:space="preserve">Kapitał </w:t>
      </w:r>
      <w:r w:rsidR="00602750" w:rsidRPr="00765C97">
        <w:rPr>
          <w:rFonts w:ascii="Arial" w:hAnsi="Arial"/>
          <w:sz w:val="20"/>
          <w:lang w:val="pl-PL"/>
        </w:rPr>
        <w:t>akcjonariuszy</w:t>
      </w:r>
      <w:r w:rsidRPr="00765C97">
        <w:rPr>
          <w:rFonts w:ascii="Arial" w:hAnsi="Arial"/>
          <w:sz w:val="20"/>
          <w:lang w:val="pl-PL"/>
        </w:rPr>
        <w:t xml:space="preserve"> Spółki</w:t>
      </w:r>
    </w:p>
    <w:tbl>
      <w:tblPr>
        <w:tblW w:w="0" w:type="auto"/>
        <w:tblInd w:w="142" w:type="dxa"/>
        <w:tblLayout w:type="fixed"/>
        <w:tblCellMar>
          <w:left w:w="0" w:type="dxa"/>
          <w:right w:w="0" w:type="dxa"/>
        </w:tblCellMar>
        <w:tblLook w:val="0000"/>
      </w:tblPr>
      <w:tblGrid>
        <w:gridCol w:w="2693"/>
        <w:gridCol w:w="1560"/>
        <w:gridCol w:w="1275"/>
        <w:gridCol w:w="1560"/>
        <w:gridCol w:w="994"/>
      </w:tblGrid>
      <w:tr w:rsidR="00602750" w:rsidRPr="00765C97" w:rsidTr="006E05F7">
        <w:trPr>
          <w:trHeight w:val="255"/>
        </w:trPr>
        <w:tc>
          <w:tcPr>
            <w:tcW w:w="2693" w:type="dxa"/>
            <w:tcBorders>
              <w:top w:val="nil"/>
              <w:left w:val="nil"/>
              <w:bottom w:val="nil"/>
              <w:right w:val="nil"/>
            </w:tcBorders>
          </w:tcPr>
          <w:p w:rsidR="00602750" w:rsidRPr="00765C97" w:rsidRDefault="00602750">
            <w:pPr>
              <w:jc w:val="right"/>
              <w:rPr>
                <w:rFonts w:ascii="Arial" w:hAnsi="Arial"/>
                <w:b/>
                <w:sz w:val="20"/>
                <w:lang w:val="pl-PL"/>
              </w:rPr>
            </w:pPr>
            <w:r w:rsidRPr="00765C97">
              <w:rPr>
                <w:rFonts w:ascii="Arial" w:hAnsi="Arial"/>
                <w:b/>
                <w:sz w:val="20"/>
                <w:lang w:val="pl-PL"/>
              </w:rPr>
              <w:t xml:space="preserve">  </w:t>
            </w:r>
          </w:p>
        </w:tc>
        <w:tc>
          <w:tcPr>
            <w:tcW w:w="1560" w:type="dxa"/>
            <w:tcBorders>
              <w:top w:val="nil"/>
              <w:left w:val="nil"/>
              <w:bottom w:val="nil"/>
              <w:right w:val="nil"/>
            </w:tcBorders>
            <w:vAlign w:val="center"/>
          </w:tcPr>
          <w:p w:rsidR="00602750" w:rsidRPr="00765C97" w:rsidRDefault="00602750" w:rsidP="00665588">
            <w:pPr>
              <w:tabs>
                <w:tab w:val="left" w:pos="900"/>
              </w:tabs>
              <w:ind w:right="126"/>
              <w:jc w:val="right"/>
              <w:rPr>
                <w:rFonts w:ascii="Arial" w:hAnsi="Arial"/>
                <w:b/>
                <w:sz w:val="18"/>
                <w:szCs w:val="18"/>
                <w:lang w:val="pl-PL"/>
              </w:rPr>
            </w:pPr>
            <w:r w:rsidRPr="00765C97">
              <w:rPr>
                <w:rFonts w:ascii="Arial" w:hAnsi="Arial"/>
                <w:b/>
                <w:sz w:val="18"/>
                <w:szCs w:val="18"/>
                <w:lang w:val="pl-PL"/>
              </w:rPr>
              <w:t xml:space="preserve">Kapitał z wyceny opcji menedżerskiej </w:t>
            </w:r>
          </w:p>
        </w:tc>
        <w:tc>
          <w:tcPr>
            <w:tcW w:w="1275" w:type="dxa"/>
            <w:tcBorders>
              <w:top w:val="nil"/>
              <w:left w:val="nil"/>
              <w:bottom w:val="nil"/>
              <w:right w:val="nil"/>
            </w:tcBorders>
            <w:vAlign w:val="center"/>
          </w:tcPr>
          <w:p w:rsidR="00602750" w:rsidRPr="00765C97" w:rsidRDefault="00602750" w:rsidP="00602750">
            <w:pPr>
              <w:tabs>
                <w:tab w:val="left" w:pos="900"/>
              </w:tabs>
              <w:ind w:right="126"/>
              <w:jc w:val="right"/>
              <w:rPr>
                <w:rFonts w:ascii="Arial" w:hAnsi="Arial"/>
                <w:b/>
                <w:sz w:val="18"/>
                <w:szCs w:val="18"/>
                <w:lang w:val="pl-PL"/>
              </w:rPr>
            </w:pPr>
            <w:r w:rsidRPr="00765C97">
              <w:rPr>
                <w:rFonts w:ascii="Arial" w:hAnsi="Arial"/>
                <w:b/>
                <w:sz w:val="18"/>
                <w:szCs w:val="18"/>
                <w:lang w:val="pl-PL"/>
              </w:rPr>
              <w:t>Kapitał inwestycyjny i na pokrycie zobowiązań wobec budżetu</w:t>
            </w:r>
          </w:p>
        </w:tc>
        <w:tc>
          <w:tcPr>
            <w:tcW w:w="1560" w:type="dxa"/>
            <w:tcBorders>
              <w:top w:val="nil"/>
              <w:left w:val="nil"/>
              <w:bottom w:val="nil"/>
              <w:right w:val="nil"/>
            </w:tcBorders>
            <w:vAlign w:val="center"/>
          </w:tcPr>
          <w:p w:rsidR="00602750" w:rsidRPr="00765C97" w:rsidRDefault="00602750" w:rsidP="00665588">
            <w:pPr>
              <w:ind w:right="126"/>
              <w:jc w:val="right"/>
              <w:rPr>
                <w:rFonts w:ascii="Arial" w:hAnsi="Arial"/>
                <w:b/>
                <w:sz w:val="18"/>
                <w:szCs w:val="18"/>
                <w:lang w:val="pl-PL"/>
              </w:rPr>
            </w:pPr>
            <w:r w:rsidRPr="00765C97">
              <w:rPr>
                <w:rFonts w:ascii="Arial" w:hAnsi="Arial"/>
                <w:b/>
                <w:sz w:val="18"/>
                <w:szCs w:val="18"/>
                <w:lang w:val="pl-PL"/>
              </w:rPr>
              <w:t>Kapitał zapasowy ze sprzedaży akcji powyżej wartości nominalnej</w:t>
            </w:r>
          </w:p>
        </w:tc>
        <w:tc>
          <w:tcPr>
            <w:tcW w:w="994" w:type="dxa"/>
            <w:tcBorders>
              <w:top w:val="nil"/>
              <w:left w:val="nil"/>
              <w:bottom w:val="nil"/>
              <w:right w:val="nil"/>
            </w:tcBorders>
            <w:vAlign w:val="center"/>
          </w:tcPr>
          <w:p w:rsidR="00602750" w:rsidRPr="00765C97" w:rsidRDefault="00602750" w:rsidP="00665588">
            <w:pPr>
              <w:ind w:right="126"/>
              <w:jc w:val="right"/>
              <w:rPr>
                <w:rFonts w:ascii="Arial" w:hAnsi="Arial"/>
                <w:b/>
                <w:sz w:val="18"/>
                <w:szCs w:val="18"/>
                <w:lang w:val="pl-PL"/>
              </w:rPr>
            </w:pPr>
            <w:r w:rsidRPr="00765C97">
              <w:rPr>
                <w:rFonts w:ascii="Arial" w:hAnsi="Arial"/>
                <w:b/>
                <w:sz w:val="18"/>
                <w:szCs w:val="18"/>
                <w:lang w:val="pl-PL"/>
              </w:rPr>
              <w:t>OGÓŁEM</w:t>
            </w:r>
          </w:p>
        </w:tc>
      </w:tr>
      <w:tr w:rsidR="00010FB6" w:rsidRPr="00765C97" w:rsidTr="006E05F7">
        <w:trPr>
          <w:trHeight w:val="255"/>
        </w:trPr>
        <w:tc>
          <w:tcPr>
            <w:tcW w:w="2693" w:type="dxa"/>
            <w:tcBorders>
              <w:top w:val="nil"/>
              <w:left w:val="nil"/>
              <w:bottom w:val="nil"/>
              <w:right w:val="nil"/>
            </w:tcBorders>
            <w:vAlign w:val="center"/>
          </w:tcPr>
          <w:p w:rsidR="00010FB6" w:rsidRPr="00765C97" w:rsidRDefault="00010FB6" w:rsidP="003B604E">
            <w:pPr>
              <w:widowControl/>
              <w:autoSpaceDE/>
              <w:autoSpaceDN/>
              <w:rPr>
                <w:rFonts w:ascii="Arial" w:hAnsi="Arial"/>
                <w:b/>
                <w:sz w:val="20"/>
                <w:lang w:val="pl-PL"/>
              </w:rPr>
            </w:pPr>
            <w:r w:rsidRPr="00765C97">
              <w:rPr>
                <w:rFonts w:ascii="Arial" w:hAnsi="Arial"/>
                <w:b/>
                <w:sz w:val="20"/>
                <w:lang w:val="pl-PL"/>
              </w:rPr>
              <w:t>Stan na 31 grudnia 2011 r.</w:t>
            </w:r>
          </w:p>
        </w:tc>
        <w:tc>
          <w:tcPr>
            <w:tcW w:w="1560" w:type="dxa"/>
            <w:tcBorders>
              <w:top w:val="single" w:sz="2" w:space="0" w:color="auto"/>
              <w:left w:val="nil"/>
              <w:bottom w:val="single" w:sz="2" w:space="0" w:color="auto"/>
              <w:right w:val="nil"/>
            </w:tcBorders>
            <w:vAlign w:val="center"/>
          </w:tcPr>
          <w:p w:rsidR="00010FB6" w:rsidRPr="00765C97" w:rsidRDefault="00010FB6" w:rsidP="007A03FC">
            <w:pPr>
              <w:ind w:right="126"/>
              <w:jc w:val="right"/>
              <w:rPr>
                <w:rFonts w:ascii="Arial" w:hAnsi="Arial"/>
                <w:b/>
                <w:sz w:val="20"/>
                <w:lang w:val="pl-PL"/>
              </w:rPr>
            </w:pPr>
            <w:r w:rsidRPr="00765C97">
              <w:rPr>
                <w:rFonts w:ascii="Arial" w:hAnsi="Arial"/>
                <w:b/>
                <w:sz w:val="20"/>
                <w:lang w:val="pl-PL"/>
              </w:rPr>
              <w:t>18 921</w:t>
            </w:r>
          </w:p>
        </w:tc>
        <w:tc>
          <w:tcPr>
            <w:tcW w:w="1275" w:type="dxa"/>
            <w:tcBorders>
              <w:top w:val="single" w:sz="2" w:space="0" w:color="auto"/>
              <w:left w:val="nil"/>
              <w:bottom w:val="single" w:sz="2" w:space="0" w:color="auto"/>
              <w:right w:val="nil"/>
            </w:tcBorders>
            <w:vAlign w:val="center"/>
          </w:tcPr>
          <w:p w:rsidR="00010FB6" w:rsidRPr="00765C97" w:rsidRDefault="00010FB6" w:rsidP="007A03FC">
            <w:pPr>
              <w:ind w:right="126"/>
              <w:jc w:val="right"/>
              <w:rPr>
                <w:rFonts w:ascii="Arial" w:hAnsi="Arial"/>
                <w:b/>
                <w:sz w:val="20"/>
                <w:lang w:val="pl-PL"/>
              </w:rPr>
            </w:pPr>
            <w:r w:rsidRPr="00765C97">
              <w:rPr>
                <w:rFonts w:ascii="Arial" w:hAnsi="Arial"/>
                <w:b/>
                <w:sz w:val="20"/>
                <w:lang w:val="pl-PL"/>
              </w:rPr>
              <w:t>745</w:t>
            </w:r>
          </w:p>
        </w:tc>
        <w:tc>
          <w:tcPr>
            <w:tcW w:w="1560" w:type="dxa"/>
            <w:tcBorders>
              <w:top w:val="single" w:sz="2" w:space="0" w:color="auto"/>
              <w:left w:val="nil"/>
              <w:bottom w:val="single" w:sz="2" w:space="0" w:color="auto"/>
              <w:right w:val="nil"/>
            </w:tcBorders>
            <w:vAlign w:val="center"/>
          </w:tcPr>
          <w:p w:rsidR="00010FB6" w:rsidRPr="00765C97" w:rsidRDefault="00010FB6" w:rsidP="007A03FC">
            <w:pPr>
              <w:ind w:right="126"/>
              <w:jc w:val="right"/>
              <w:rPr>
                <w:rFonts w:ascii="Arial" w:hAnsi="Arial"/>
                <w:b/>
                <w:sz w:val="20"/>
                <w:lang w:val="pl-PL"/>
              </w:rPr>
            </w:pPr>
            <w:r w:rsidRPr="00765C97">
              <w:rPr>
                <w:rFonts w:ascii="Arial" w:hAnsi="Arial"/>
                <w:b/>
                <w:sz w:val="20"/>
                <w:lang w:val="pl-PL"/>
              </w:rPr>
              <w:t>122 341</w:t>
            </w:r>
          </w:p>
        </w:tc>
        <w:tc>
          <w:tcPr>
            <w:tcW w:w="994" w:type="dxa"/>
            <w:tcBorders>
              <w:top w:val="single" w:sz="2" w:space="0" w:color="auto"/>
              <w:left w:val="nil"/>
              <w:bottom w:val="single" w:sz="2" w:space="0" w:color="auto"/>
              <w:right w:val="nil"/>
            </w:tcBorders>
            <w:vAlign w:val="center"/>
          </w:tcPr>
          <w:p w:rsidR="00010FB6" w:rsidRPr="00765C97" w:rsidRDefault="00010FB6" w:rsidP="007A03FC">
            <w:pPr>
              <w:ind w:right="126"/>
              <w:jc w:val="right"/>
              <w:rPr>
                <w:rFonts w:ascii="Arial" w:hAnsi="Arial"/>
                <w:b/>
                <w:sz w:val="20"/>
                <w:lang w:val="pl-PL"/>
              </w:rPr>
            </w:pPr>
            <w:r w:rsidRPr="00765C97">
              <w:rPr>
                <w:rFonts w:ascii="Arial" w:hAnsi="Arial"/>
                <w:b/>
                <w:sz w:val="20"/>
                <w:lang w:val="pl-PL"/>
              </w:rPr>
              <w:t>142 007</w:t>
            </w:r>
          </w:p>
        </w:tc>
      </w:tr>
      <w:tr w:rsidR="003B604E" w:rsidRPr="00765C97" w:rsidTr="006E05F7">
        <w:trPr>
          <w:trHeight w:val="255"/>
        </w:trPr>
        <w:tc>
          <w:tcPr>
            <w:tcW w:w="2693" w:type="dxa"/>
            <w:tcBorders>
              <w:top w:val="nil"/>
              <w:left w:val="nil"/>
              <w:bottom w:val="nil"/>
              <w:right w:val="nil"/>
            </w:tcBorders>
            <w:vAlign w:val="center"/>
          </w:tcPr>
          <w:p w:rsidR="003B604E" w:rsidRPr="00765C97" w:rsidRDefault="00010FB6" w:rsidP="003B604E">
            <w:pPr>
              <w:rPr>
                <w:rFonts w:ascii="Arial" w:hAnsi="Arial"/>
                <w:sz w:val="20"/>
                <w:lang w:val="pl-PL"/>
              </w:rPr>
            </w:pPr>
            <w:r w:rsidRPr="00765C97">
              <w:rPr>
                <w:rFonts w:ascii="Arial" w:hAnsi="Arial"/>
                <w:sz w:val="20"/>
                <w:lang w:val="pl-PL"/>
              </w:rPr>
              <w:t>Stan na 1 stycznia 2012</w:t>
            </w:r>
            <w:r w:rsidR="003B604E" w:rsidRPr="00765C97">
              <w:rPr>
                <w:rFonts w:ascii="Arial" w:hAnsi="Arial"/>
                <w:sz w:val="20"/>
                <w:lang w:val="pl-PL"/>
              </w:rPr>
              <w:t xml:space="preserve"> r.</w:t>
            </w:r>
          </w:p>
        </w:tc>
        <w:tc>
          <w:tcPr>
            <w:tcW w:w="1560" w:type="dxa"/>
            <w:tcBorders>
              <w:top w:val="nil"/>
              <w:left w:val="nil"/>
              <w:right w:val="nil"/>
            </w:tcBorders>
            <w:vAlign w:val="center"/>
          </w:tcPr>
          <w:p w:rsidR="003B604E" w:rsidRPr="00765C97" w:rsidRDefault="006E05F7" w:rsidP="006E05F7">
            <w:pPr>
              <w:ind w:right="126"/>
              <w:jc w:val="right"/>
              <w:rPr>
                <w:rFonts w:ascii="Arial" w:hAnsi="Arial"/>
                <w:sz w:val="20"/>
                <w:lang w:val="pl-PL"/>
              </w:rPr>
            </w:pPr>
            <w:r w:rsidRPr="00765C97">
              <w:rPr>
                <w:rFonts w:ascii="Arial" w:hAnsi="Arial"/>
                <w:sz w:val="20"/>
                <w:lang w:val="pl-PL"/>
              </w:rPr>
              <w:t>18 921</w:t>
            </w:r>
          </w:p>
        </w:tc>
        <w:tc>
          <w:tcPr>
            <w:tcW w:w="1275" w:type="dxa"/>
            <w:tcBorders>
              <w:top w:val="nil"/>
              <w:left w:val="nil"/>
              <w:right w:val="nil"/>
            </w:tcBorders>
            <w:vAlign w:val="center"/>
          </w:tcPr>
          <w:p w:rsidR="003B604E" w:rsidRPr="00765C97" w:rsidRDefault="003B604E" w:rsidP="003B604E">
            <w:pPr>
              <w:ind w:right="126"/>
              <w:jc w:val="right"/>
              <w:rPr>
                <w:rFonts w:ascii="Arial" w:hAnsi="Arial"/>
                <w:sz w:val="20"/>
                <w:lang w:val="pl-PL"/>
              </w:rPr>
            </w:pPr>
            <w:r w:rsidRPr="00765C97">
              <w:rPr>
                <w:rFonts w:ascii="Arial" w:hAnsi="Arial"/>
                <w:sz w:val="20"/>
                <w:lang w:val="pl-PL"/>
              </w:rPr>
              <w:t>745</w:t>
            </w:r>
          </w:p>
        </w:tc>
        <w:tc>
          <w:tcPr>
            <w:tcW w:w="1560" w:type="dxa"/>
            <w:tcBorders>
              <w:top w:val="nil"/>
              <w:left w:val="nil"/>
              <w:right w:val="nil"/>
            </w:tcBorders>
            <w:vAlign w:val="center"/>
          </w:tcPr>
          <w:p w:rsidR="003B604E" w:rsidRPr="00765C97" w:rsidRDefault="003B604E" w:rsidP="003B604E">
            <w:pPr>
              <w:ind w:right="126"/>
              <w:jc w:val="right"/>
              <w:rPr>
                <w:rFonts w:ascii="Arial" w:hAnsi="Arial"/>
                <w:sz w:val="20"/>
                <w:lang w:val="pl-PL"/>
              </w:rPr>
            </w:pPr>
            <w:r w:rsidRPr="00765C97">
              <w:rPr>
                <w:rFonts w:ascii="Arial" w:hAnsi="Arial"/>
                <w:sz w:val="20"/>
                <w:lang w:val="pl-PL"/>
              </w:rPr>
              <w:t>122 341</w:t>
            </w:r>
          </w:p>
        </w:tc>
        <w:tc>
          <w:tcPr>
            <w:tcW w:w="994" w:type="dxa"/>
            <w:tcBorders>
              <w:top w:val="nil"/>
              <w:left w:val="nil"/>
              <w:right w:val="nil"/>
            </w:tcBorders>
            <w:vAlign w:val="center"/>
          </w:tcPr>
          <w:p w:rsidR="003B604E" w:rsidRPr="00765C97" w:rsidRDefault="003B604E" w:rsidP="006E05F7">
            <w:pPr>
              <w:ind w:right="126"/>
              <w:jc w:val="right"/>
              <w:rPr>
                <w:rFonts w:ascii="Arial" w:hAnsi="Arial"/>
                <w:sz w:val="20"/>
                <w:lang w:val="pl-PL"/>
              </w:rPr>
            </w:pPr>
            <w:r w:rsidRPr="00765C97">
              <w:rPr>
                <w:rFonts w:ascii="Arial" w:hAnsi="Arial"/>
                <w:sz w:val="20"/>
                <w:lang w:val="pl-PL"/>
              </w:rPr>
              <w:t>14</w:t>
            </w:r>
            <w:r w:rsidR="006E05F7" w:rsidRPr="00765C97">
              <w:rPr>
                <w:rFonts w:ascii="Arial" w:hAnsi="Arial"/>
                <w:sz w:val="20"/>
                <w:lang w:val="pl-PL"/>
              </w:rPr>
              <w:t>2 007</w:t>
            </w:r>
          </w:p>
        </w:tc>
      </w:tr>
      <w:tr w:rsidR="00602750" w:rsidRPr="00765C97" w:rsidTr="006E05F7">
        <w:trPr>
          <w:trHeight w:val="255"/>
        </w:trPr>
        <w:tc>
          <w:tcPr>
            <w:tcW w:w="2693" w:type="dxa"/>
            <w:tcBorders>
              <w:top w:val="nil"/>
              <w:left w:val="nil"/>
              <w:bottom w:val="nil"/>
              <w:right w:val="nil"/>
            </w:tcBorders>
            <w:vAlign w:val="center"/>
          </w:tcPr>
          <w:p w:rsidR="00602750" w:rsidRPr="00765C97" w:rsidRDefault="00602750">
            <w:pPr>
              <w:widowControl/>
              <w:autoSpaceDE/>
              <w:autoSpaceDN/>
              <w:rPr>
                <w:rFonts w:ascii="Arial" w:hAnsi="Arial"/>
                <w:sz w:val="20"/>
                <w:lang w:val="pl-PL"/>
              </w:rPr>
            </w:pPr>
            <w:r w:rsidRPr="00765C97">
              <w:rPr>
                <w:rFonts w:ascii="Arial" w:hAnsi="Arial"/>
                <w:sz w:val="20"/>
                <w:lang w:val="pl-PL"/>
              </w:rPr>
              <w:t>Wycena opcji menedżerskiej</w:t>
            </w:r>
          </w:p>
        </w:tc>
        <w:tc>
          <w:tcPr>
            <w:tcW w:w="1560" w:type="dxa"/>
            <w:tcBorders>
              <w:left w:val="nil"/>
              <w:bottom w:val="single" w:sz="4" w:space="0" w:color="auto"/>
              <w:right w:val="nil"/>
            </w:tcBorders>
            <w:vAlign w:val="center"/>
          </w:tcPr>
          <w:p w:rsidR="00602750" w:rsidRPr="00765C97" w:rsidRDefault="006E05F7" w:rsidP="007073AF">
            <w:pPr>
              <w:ind w:right="126"/>
              <w:jc w:val="right"/>
              <w:rPr>
                <w:rFonts w:ascii="Arial" w:hAnsi="Arial"/>
                <w:sz w:val="20"/>
                <w:lang w:val="pl-PL"/>
              </w:rPr>
            </w:pPr>
            <w:r w:rsidRPr="00765C97">
              <w:rPr>
                <w:rFonts w:ascii="Arial" w:hAnsi="Arial"/>
                <w:sz w:val="20"/>
                <w:lang w:val="pl-PL"/>
              </w:rPr>
              <w:t>325</w:t>
            </w:r>
          </w:p>
        </w:tc>
        <w:tc>
          <w:tcPr>
            <w:tcW w:w="1275" w:type="dxa"/>
            <w:tcBorders>
              <w:left w:val="nil"/>
              <w:bottom w:val="single" w:sz="4" w:space="0" w:color="auto"/>
              <w:right w:val="nil"/>
            </w:tcBorders>
            <w:vAlign w:val="center"/>
          </w:tcPr>
          <w:p w:rsidR="00602750" w:rsidRPr="00765C97" w:rsidRDefault="004531EF" w:rsidP="00665588">
            <w:pPr>
              <w:ind w:right="126"/>
              <w:jc w:val="right"/>
              <w:rPr>
                <w:rFonts w:ascii="Arial" w:hAnsi="Arial"/>
                <w:sz w:val="20"/>
                <w:lang w:val="pl-PL"/>
              </w:rPr>
            </w:pPr>
            <w:r w:rsidRPr="00765C97">
              <w:rPr>
                <w:rFonts w:ascii="Arial" w:hAnsi="Arial"/>
                <w:sz w:val="20"/>
                <w:lang w:val="pl-PL"/>
              </w:rPr>
              <w:t>-</w:t>
            </w:r>
          </w:p>
        </w:tc>
        <w:tc>
          <w:tcPr>
            <w:tcW w:w="1560" w:type="dxa"/>
            <w:tcBorders>
              <w:left w:val="nil"/>
              <w:bottom w:val="single" w:sz="4" w:space="0" w:color="auto"/>
              <w:right w:val="nil"/>
            </w:tcBorders>
            <w:vAlign w:val="center"/>
          </w:tcPr>
          <w:p w:rsidR="00602750" w:rsidRPr="00765C97" w:rsidRDefault="004531EF" w:rsidP="00665588">
            <w:pPr>
              <w:ind w:right="126"/>
              <w:jc w:val="right"/>
              <w:rPr>
                <w:rFonts w:ascii="Arial" w:hAnsi="Arial"/>
                <w:sz w:val="20"/>
                <w:lang w:val="pl-PL"/>
              </w:rPr>
            </w:pPr>
            <w:r w:rsidRPr="00765C97">
              <w:rPr>
                <w:rFonts w:ascii="Arial" w:hAnsi="Arial"/>
                <w:sz w:val="20"/>
                <w:lang w:val="pl-PL"/>
              </w:rPr>
              <w:t>-</w:t>
            </w:r>
          </w:p>
        </w:tc>
        <w:tc>
          <w:tcPr>
            <w:tcW w:w="994" w:type="dxa"/>
            <w:tcBorders>
              <w:left w:val="nil"/>
              <w:bottom w:val="single" w:sz="4" w:space="0" w:color="auto"/>
              <w:right w:val="nil"/>
            </w:tcBorders>
            <w:vAlign w:val="center"/>
          </w:tcPr>
          <w:p w:rsidR="00602750" w:rsidRPr="00765C97" w:rsidRDefault="00F35BD0" w:rsidP="007073AF">
            <w:pPr>
              <w:ind w:right="126"/>
              <w:jc w:val="right"/>
              <w:rPr>
                <w:rFonts w:ascii="Arial" w:hAnsi="Arial"/>
                <w:sz w:val="20"/>
                <w:lang w:val="pl-PL"/>
              </w:rPr>
            </w:pPr>
            <w:r w:rsidRPr="00765C97">
              <w:rPr>
                <w:rFonts w:ascii="Arial" w:hAnsi="Arial"/>
                <w:sz w:val="20"/>
                <w:lang w:val="pl-PL"/>
              </w:rPr>
              <w:t>325</w:t>
            </w:r>
          </w:p>
        </w:tc>
      </w:tr>
      <w:tr w:rsidR="00602750" w:rsidRPr="00765C97" w:rsidTr="006E05F7">
        <w:trPr>
          <w:trHeight w:val="255"/>
        </w:trPr>
        <w:tc>
          <w:tcPr>
            <w:tcW w:w="2693" w:type="dxa"/>
            <w:tcBorders>
              <w:top w:val="nil"/>
              <w:left w:val="nil"/>
              <w:bottom w:val="nil"/>
              <w:right w:val="nil"/>
            </w:tcBorders>
            <w:vAlign w:val="center"/>
          </w:tcPr>
          <w:p w:rsidR="00602750" w:rsidRPr="00765C97" w:rsidRDefault="00602750" w:rsidP="003B604E">
            <w:pPr>
              <w:widowControl/>
              <w:autoSpaceDE/>
              <w:autoSpaceDN/>
              <w:rPr>
                <w:rFonts w:ascii="Arial" w:hAnsi="Arial"/>
                <w:b/>
                <w:sz w:val="20"/>
                <w:lang w:val="pl-PL"/>
              </w:rPr>
            </w:pPr>
            <w:r w:rsidRPr="00765C97">
              <w:rPr>
                <w:rFonts w:ascii="Arial" w:hAnsi="Arial"/>
                <w:b/>
                <w:sz w:val="20"/>
                <w:lang w:val="pl-PL"/>
              </w:rPr>
              <w:t>Stan na 31 grudnia 201</w:t>
            </w:r>
            <w:r w:rsidR="00010FB6" w:rsidRPr="00765C97">
              <w:rPr>
                <w:rFonts w:ascii="Arial" w:hAnsi="Arial"/>
                <w:b/>
                <w:sz w:val="20"/>
                <w:lang w:val="pl-PL"/>
              </w:rPr>
              <w:t>2</w:t>
            </w:r>
            <w:r w:rsidRPr="00765C97">
              <w:rPr>
                <w:rFonts w:ascii="Arial" w:hAnsi="Arial"/>
                <w:b/>
                <w:sz w:val="20"/>
                <w:lang w:val="pl-PL"/>
              </w:rPr>
              <w:t xml:space="preserve"> r.</w:t>
            </w:r>
          </w:p>
        </w:tc>
        <w:tc>
          <w:tcPr>
            <w:tcW w:w="1560" w:type="dxa"/>
            <w:tcBorders>
              <w:top w:val="single" w:sz="4" w:space="0" w:color="auto"/>
              <w:left w:val="nil"/>
              <w:bottom w:val="single" w:sz="2" w:space="0" w:color="auto"/>
              <w:right w:val="nil"/>
            </w:tcBorders>
            <w:vAlign w:val="center"/>
          </w:tcPr>
          <w:p w:rsidR="00602750" w:rsidRPr="00765C97" w:rsidRDefault="006E05F7" w:rsidP="007073AF">
            <w:pPr>
              <w:ind w:right="126"/>
              <w:jc w:val="right"/>
              <w:rPr>
                <w:rFonts w:ascii="Arial" w:hAnsi="Arial"/>
                <w:b/>
                <w:sz w:val="20"/>
                <w:lang w:val="pl-PL"/>
              </w:rPr>
            </w:pPr>
            <w:r w:rsidRPr="00765C97">
              <w:rPr>
                <w:rFonts w:ascii="Arial" w:hAnsi="Arial"/>
                <w:b/>
                <w:sz w:val="20"/>
                <w:lang w:val="pl-PL"/>
              </w:rPr>
              <w:t>19 246</w:t>
            </w:r>
          </w:p>
        </w:tc>
        <w:tc>
          <w:tcPr>
            <w:tcW w:w="1275" w:type="dxa"/>
            <w:tcBorders>
              <w:top w:val="single" w:sz="4" w:space="0" w:color="auto"/>
              <w:left w:val="nil"/>
              <w:bottom w:val="single" w:sz="2" w:space="0" w:color="auto"/>
              <w:right w:val="nil"/>
            </w:tcBorders>
            <w:vAlign w:val="center"/>
          </w:tcPr>
          <w:p w:rsidR="00602750" w:rsidRPr="00765C97" w:rsidRDefault="006E05F7" w:rsidP="00665588">
            <w:pPr>
              <w:ind w:right="126"/>
              <w:jc w:val="right"/>
              <w:rPr>
                <w:rFonts w:ascii="Arial" w:hAnsi="Arial"/>
                <w:b/>
                <w:sz w:val="20"/>
                <w:lang w:val="pl-PL"/>
              </w:rPr>
            </w:pPr>
            <w:r w:rsidRPr="00765C97">
              <w:rPr>
                <w:rFonts w:ascii="Arial" w:hAnsi="Arial"/>
                <w:b/>
                <w:sz w:val="20"/>
                <w:lang w:val="pl-PL"/>
              </w:rPr>
              <w:t>745</w:t>
            </w:r>
          </w:p>
        </w:tc>
        <w:tc>
          <w:tcPr>
            <w:tcW w:w="1560" w:type="dxa"/>
            <w:tcBorders>
              <w:top w:val="single" w:sz="4" w:space="0" w:color="auto"/>
              <w:left w:val="nil"/>
              <w:bottom w:val="single" w:sz="2" w:space="0" w:color="auto"/>
              <w:right w:val="nil"/>
            </w:tcBorders>
            <w:vAlign w:val="center"/>
          </w:tcPr>
          <w:p w:rsidR="00602750" w:rsidRPr="00765C97" w:rsidRDefault="006E05F7" w:rsidP="006E05F7">
            <w:pPr>
              <w:ind w:right="126"/>
              <w:jc w:val="right"/>
              <w:rPr>
                <w:rFonts w:ascii="Arial" w:hAnsi="Arial"/>
                <w:b/>
                <w:sz w:val="20"/>
                <w:lang w:val="pl-PL"/>
              </w:rPr>
            </w:pPr>
            <w:r w:rsidRPr="00765C97">
              <w:rPr>
                <w:rFonts w:ascii="Arial" w:hAnsi="Arial"/>
                <w:b/>
                <w:sz w:val="20"/>
                <w:lang w:val="pl-PL"/>
              </w:rPr>
              <w:t>122</w:t>
            </w:r>
            <w:r w:rsidR="004531EF" w:rsidRPr="00765C97">
              <w:rPr>
                <w:rFonts w:ascii="Arial" w:hAnsi="Arial"/>
                <w:b/>
                <w:sz w:val="20"/>
                <w:lang w:val="pl-PL"/>
              </w:rPr>
              <w:t xml:space="preserve"> </w:t>
            </w:r>
            <w:r w:rsidRPr="00765C97">
              <w:rPr>
                <w:rFonts w:ascii="Arial" w:hAnsi="Arial"/>
                <w:b/>
                <w:sz w:val="20"/>
                <w:lang w:val="pl-PL"/>
              </w:rPr>
              <w:t xml:space="preserve">341     </w:t>
            </w:r>
          </w:p>
        </w:tc>
        <w:tc>
          <w:tcPr>
            <w:tcW w:w="994" w:type="dxa"/>
            <w:tcBorders>
              <w:top w:val="single" w:sz="4" w:space="0" w:color="auto"/>
              <w:left w:val="nil"/>
              <w:bottom w:val="single" w:sz="2" w:space="0" w:color="auto"/>
              <w:right w:val="nil"/>
            </w:tcBorders>
            <w:vAlign w:val="center"/>
          </w:tcPr>
          <w:p w:rsidR="00602750" w:rsidRPr="00765C97" w:rsidRDefault="006E05F7" w:rsidP="00665588">
            <w:pPr>
              <w:ind w:right="126"/>
              <w:jc w:val="right"/>
              <w:rPr>
                <w:rFonts w:ascii="Arial" w:hAnsi="Arial"/>
                <w:b/>
                <w:sz w:val="20"/>
                <w:lang w:val="pl-PL"/>
              </w:rPr>
            </w:pPr>
            <w:r w:rsidRPr="00765C97">
              <w:rPr>
                <w:rFonts w:ascii="Arial" w:hAnsi="Arial"/>
                <w:b/>
                <w:sz w:val="20"/>
                <w:lang w:val="pl-PL"/>
              </w:rPr>
              <w:t>142</w:t>
            </w:r>
            <w:r w:rsidR="004531EF" w:rsidRPr="00765C97">
              <w:rPr>
                <w:rFonts w:ascii="Arial" w:hAnsi="Arial"/>
                <w:b/>
                <w:sz w:val="20"/>
                <w:lang w:val="pl-PL"/>
              </w:rPr>
              <w:t xml:space="preserve"> </w:t>
            </w:r>
            <w:r w:rsidRPr="00765C97">
              <w:rPr>
                <w:rFonts w:ascii="Arial" w:hAnsi="Arial"/>
                <w:b/>
                <w:sz w:val="20"/>
                <w:lang w:val="pl-PL"/>
              </w:rPr>
              <w:t>332</w:t>
            </w:r>
          </w:p>
        </w:tc>
      </w:tr>
    </w:tbl>
    <w:p w:rsidR="00B24DA9" w:rsidRPr="00765C97" w:rsidRDefault="00B24DA9">
      <w:pPr>
        <w:tabs>
          <w:tab w:val="left" w:pos="1224"/>
        </w:tabs>
        <w:jc w:val="center"/>
        <w:rPr>
          <w:rFonts w:ascii="Arial" w:hAnsi="Arial"/>
          <w:b/>
          <w:spacing w:val="-7"/>
          <w:sz w:val="20"/>
          <w:lang w:val="pl-PL"/>
        </w:rPr>
      </w:pPr>
    </w:p>
    <w:p w:rsidR="00776ADE" w:rsidRPr="00765C97" w:rsidRDefault="00776ADE" w:rsidP="00776ADE">
      <w:pPr>
        <w:jc w:val="both"/>
        <w:rPr>
          <w:rFonts w:ascii="Arial" w:hAnsi="Arial" w:cs="Arial"/>
          <w:sz w:val="20"/>
          <w:szCs w:val="20"/>
          <w:lang w:val="pl-PL"/>
        </w:rPr>
      </w:pPr>
      <w:r w:rsidRPr="00765C97">
        <w:rPr>
          <w:rFonts w:ascii="Arial" w:hAnsi="Arial" w:cs="Arial"/>
          <w:sz w:val="20"/>
          <w:szCs w:val="20"/>
          <w:lang w:val="pl-PL"/>
        </w:rPr>
        <w:t xml:space="preserve">W okresie 2012 r. dokonano wypłat dywidend w łącznej kwocie 14 760 tys. zł, w tym </w:t>
      </w:r>
      <w:r w:rsidR="00F35BD0" w:rsidRPr="00765C97">
        <w:rPr>
          <w:rFonts w:ascii="Arial" w:hAnsi="Arial" w:cs="Arial"/>
          <w:sz w:val="20"/>
          <w:szCs w:val="20"/>
          <w:lang w:val="pl-PL"/>
        </w:rPr>
        <w:br/>
      </w:r>
      <w:r w:rsidRPr="00765C97">
        <w:rPr>
          <w:rFonts w:ascii="Arial" w:hAnsi="Arial" w:cs="Arial"/>
          <w:sz w:val="20"/>
          <w:szCs w:val="20"/>
          <w:lang w:val="pl-PL"/>
        </w:rPr>
        <w:t xml:space="preserve">12 077 tys. zł to dywidenda wypłacona przez jednostkę dominującą dla jej akcjonariuszy a 2 683 tys. zł </w:t>
      </w:r>
      <w:r w:rsidR="0031442C" w:rsidRPr="00765C97">
        <w:rPr>
          <w:rFonts w:ascii="Arial" w:hAnsi="Arial" w:cs="Arial"/>
          <w:sz w:val="20"/>
          <w:szCs w:val="20"/>
          <w:lang w:val="pl-PL"/>
        </w:rPr>
        <w:t>dywidendy wypłacone przez jednostki</w:t>
      </w:r>
      <w:r w:rsidRPr="00765C97">
        <w:rPr>
          <w:rFonts w:ascii="Arial" w:hAnsi="Arial" w:cs="Arial"/>
          <w:sz w:val="20"/>
          <w:szCs w:val="20"/>
          <w:lang w:val="pl-PL"/>
        </w:rPr>
        <w:t xml:space="preserve"> zależne dla komplementariuszy spoza Grupy.</w:t>
      </w:r>
    </w:p>
    <w:p w:rsidR="00776ADE" w:rsidRPr="00765C97" w:rsidRDefault="00776ADE" w:rsidP="00475F50">
      <w:pPr>
        <w:tabs>
          <w:tab w:val="left" w:pos="1224"/>
        </w:tabs>
        <w:jc w:val="both"/>
        <w:rPr>
          <w:rFonts w:ascii="Arial" w:hAnsi="Arial" w:cs="Arial"/>
          <w:sz w:val="20"/>
          <w:szCs w:val="20"/>
          <w:lang w:val="pl-PL"/>
        </w:rPr>
      </w:pPr>
    </w:p>
    <w:p w:rsidR="0090029F" w:rsidRPr="00765C97" w:rsidRDefault="0090029F" w:rsidP="00475F50">
      <w:pPr>
        <w:pStyle w:val="Akapitzlist"/>
        <w:ind w:left="0"/>
        <w:jc w:val="both"/>
        <w:rPr>
          <w:rFonts w:ascii="Arial" w:hAnsi="Arial" w:cs="Arial"/>
          <w:sz w:val="20"/>
          <w:szCs w:val="20"/>
          <w:lang w:val="pl-PL"/>
        </w:rPr>
      </w:pPr>
      <w:r w:rsidRPr="00765C97">
        <w:rPr>
          <w:rFonts w:ascii="Arial" w:hAnsi="Arial" w:cs="Arial"/>
          <w:sz w:val="20"/>
          <w:szCs w:val="20"/>
          <w:lang w:val="pl-PL"/>
        </w:rPr>
        <w:t xml:space="preserve">W dniu 25 czerwca 2012 roku Zwyczajne Walne Zgromadzenie Spółki podjęło Uchwałę nr 9 w sprawie podziału zysku netto za rok obrotowy 1.01.2011 - 31.12.2011. Zysk netto w kwocie 55 191 262,72 złotych został podzielony w ten sposób, że: </w:t>
      </w:r>
    </w:p>
    <w:p w:rsidR="0090029F" w:rsidRPr="00765C97" w:rsidRDefault="0090029F" w:rsidP="00475F50">
      <w:pPr>
        <w:pStyle w:val="Akapitzlist"/>
        <w:ind w:left="0"/>
        <w:jc w:val="both"/>
        <w:rPr>
          <w:rFonts w:ascii="Arial" w:hAnsi="Arial" w:cs="Arial"/>
          <w:sz w:val="20"/>
          <w:szCs w:val="20"/>
          <w:lang w:val="pl-PL"/>
        </w:rPr>
      </w:pPr>
      <w:r w:rsidRPr="00765C97">
        <w:rPr>
          <w:rFonts w:ascii="Arial" w:hAnsi="Arial" w:cs="Arial"/>
          <w:sz w:val="20"/>
          <w:szCs w:val="20"/>
          <w:lang w:val="pl-PL"/>
        </w:rPr>
        <w:t xml:space="preserve">a) kwota 12 077 455,50 zł została wypłacona w formie dywidendy. Dywidendę w kwocie 1 zł 50 gr za jedną akcję otrzymały osoby będące akcjonariuszami spółki w dniu 31 lipca 2012 roku (dzień dywidendy). Liczba akcji objętych dywidendą wynosiła 8 051 637 sztuk. </w:t>
      </w:r>
    </w:p>
    <w:p w:rsidR="0090029F" w:rsidRPr="00765C97" w:rsidRDefault="0090029F" w:rsidP="00475F50">
      <w:pPr>
        <w:pStyle w:val="Akapitzlist"/>
        <w:ind w:left="0"/>
        <w:jc w:val="both"/>
        <w:rPr>
          <w:rFonts w:ascii="Arial" w:hAnsi="Arial" w:cs="Arial"/>
          <w:sz w:val="20"/>
          <w:szCs w:val="20"/>
          <w:lang w:val="pl-PL"/>
        </w:rPr>
      </w:pPr>
      <w:r w:rsidRPr="00765C97">
        <w:rPr>
          <w:rFonts w:ascii="Arial" w:hAnsi="Arial" w:cs="Arial"/>
          <w:sz w:val="20"/>
          <w:szCs w:val="20"/>
          <w:lang w:val="pl-PL"/>
        </w:rPr>
        <w:t>b) pozostała część zysku netto w kwocie 43 113 807,22 zł została przekazana na kapitał zapasowy.</w:t>
      </w:r>
    </w:p>
    <w:p w:rsidR="0090029F" w:rsidRPr="00765C97" w:rsidRDefault="0090029F" w:rsidP="00475F50">
      <w:pPr>
        <w:tabs>
          <w:tab w:val="left" w:pos="1224"/>
        </w:tabs>
        <w:jc w:val="both"/>
        <w:rPr>
          <w:rFonts w:ascii="Arial" w:hAnsi="Arial" w:cs="Arial"/>
          <w:sz w:val="20"/>
          <w:szCs w:val="20"/>
          <w:lang w:val="pl-PL"/>
        </w:rPr>
      </w:pPr>
      <w:r w:rsidRPr="00765C97">
        <w:rPr>
          <w:rFonts w:ascii="Arial" w:hAnsi="Arial" w:cs="Arial"/>
          <w:sz w:val="20"/>
          <w:szCs w:val="20"/>
          <w:lang w:val="pl-PL"/>
        </w:rPr>
        <w:t xml:space="preserve">Dywidenda została wypłacona w dniu 16 sierpnia 2012 roku. </w:t>
      </w:r>
    </w:p>
    <w:p w:rsidR="004E1558" w:rsidRPr="00765C97" w:rsidRDefault="005A167A" w:rsidP="00833CBA">
      <w:pPr>
        <w:tabs>
          <w:tab w:val="left" w:pos="1224"/>
        </w:tabs>
        <w:jc w:val="both"/>
        <w:rPr>
          <w:rFonts w:ascii="Arial" w:hAnsi="Arial"/>
          <w:b/>
          <w:bCs/>
          <w:sz w:val="20"/>
          <w:lang w:val="pl-PL"/>
        </w:rPr>
      </w:pPr>
      <w:r w:rsidRPr="00765C97">
        <w:rPr>
          <w:rFonts w:ascii="Arial" w:hAnsi="Arial" w:cs="Arial"/>
          <w:sz w:val="20"/>
          <w:szCs w:val="20"/>
          <w:lang w:val="pl-PL"/>
        </w:rPr>
        <w:t>Do dnia publikacji niniejszego raportu nie podjęto decyzji od</w:t>
      </w:r>
      <w:r w:rsidR="002235DC" w:rsidRPr="00765C97">
        <w:rPr>
          <w:rFonts w:ascii="Arial" w:hAnsi="Arial" w:cs="Arial"/>
          <w:sz w:val="20"/>
          <w:szCs w:val="20"/>
          <w:lang w:val="pl-PL"/>
        </w:rPr>
        <w:t>nośnie wypłaty dywidendy za 2012</w:t>
      </w:r>
      <w:r w:rsidRPr="00765C97">
        <w:rPr>
          <w:rFonts w:ascii="Arial" w:hAnsi="Arial" w:cs="Arial"/>
          <w:sz w:val="20"/>
          <w:szCs w:val="20"/>
          <w:lang w:val="pl-PL"/>
        </w:rPr>
        <w:t xml:space="preserve"> rok. </w:t>
      </w:r>
    </w:p>
    <w:p w:rsidR="00B24DA9" w:rsidRPr="00765C97" w:rsidRDefault="00B24DA9" w:rsidP="00135A9A">
      <w:pPr>
        <w:pStyle w:val="Nagwek4"/>
        <w:numPr>
          <w:ilvl w:val="2"/>
          <w:numId w:val="16"/>
        </w:numPr>
        <w:spacing w:before="240" w:after="120"/>
        <w:ind w:left="1276" w:hanging="851"/>
        <w:rPr>
          <w:rFonts w:ascii="Arial" w:hAnsi="Arial"/>
          <w:sz w:val="20"/>
          <w:lang w:val="pl-PL"/>
        </w:rPr>
      </w:pPr>
      <w:r w:rsidRPr="00765C97">
        <w:rPr>
          <w:rFonts w:ascii="Arial" w:hAnsi="Arial"/>
          <w:sz w:val="20"/>
          <w:lang w:val="pl-PL"/>
        </w:rPr>
        <w:t>Kapitał udziałowców mniejszościowych</w:t>
      </w:r>
    </w:p>
    <w:tbl>
      <w:tblPr>
        <w:tblW w:w="0" w:type="auto"/>
        <w:tblInd w:w="180" w:type="dxa"/>
        <w:tblLayout w:type="fixed"/>
        <w:tblCellMar>
          <w:left w:w="0" w:type="dxa"/>
          <w:right w:w="0" w:type="dxa"/>
        </w:tblCellMar>
        <w:tblLook w:val="0000"/>
      </w:tblPr>
      <w:tblGrid>
        <w:gridCol w:w="6660"/>
        <w:gridCol w:w="1620"/>
      </w:tblGrid>
      <w:tr w:rsidR="00B24DA9" w:rsidRPr="00765C97">
        <w:trPr>
          <w:trHeight w:val="249"/>
        </w:trPr>
        <w:tc>
          <w:tcPr>
            <w:tcW w:w="6660" w:type="dxa"/>
            <w:tcBorders>
              <w:top w:val="nil"/>
              <w:left w:val="nil"/>
              <w:bottom w:val="nil"/>
              <w:right w:val="nil"/>
            </w:tcBorders>
            <w:vAlign w:val="center"/>
          </w:tcPr>
          <w:p w:rsidR="00B24DA9" w:rsidRPr="00765C97" w:rsidRDefault="00B24DA9">
            <w:pPr>
              <w:widowControl/>
              <w:autoSpaceDE/>
              <w:autoSpaceDN/>
              <w:rPr>
                <w:rFonts w:ascii="Arial" w:hAnsi="Arial"/>
                <w:b/>
                <w:sz w:val="20"/>
                <w:lang w:val="pl-PL"/>
              </w:rPr>
            </w:pPr>
            <w:r w:rsidRPr="00765C97">
              <w:rPr>
                <w:rFonts w:ascii="Arial" w:hAnsi="Arial"/>
                <w:b/>
                <w:sz w:val="20"/>
                <w:lang w:val="pl-PL"/>
              </w:rPr>
              <w:t>Kapitał udziałowców mniejszościowych</w:t>
            </w:r>
          </w:p>
        </w:tc>
        <w:tc>
          <w:tcPr>
            <w:tcW w:w="1620" w:type="dxa"/>
            <w:tcBorders>
              <w:top w:val="nil"/>
              <w:left w:val="nil"/>
              <w:bottom w:val="nil"/>
              <w:right w:val="nil"/>
            </w:tcBorders>
            <w:vAlign w:val="center"/>
          </w:tcPr>
          <w:p w:rsidR="00B24DA9" w:rsidRPr="00765C97" w:rsidRDefault="00B24DA9">
            <w:pPr>
              <w:ind w:right="180"/>
              <w:jc w:val="right"/>
              <w:rPr>
                <w:rFonts w:ascii="Arial" w:hAnsi="Arial"/>
                <w:sz w:val="20"/>
                <w:lang w:val="pl-PL"/>
              </w:rPr>
            </w:pPr>
          </w:p>
        </w:tc>
      </w:tr>
      <w:tr w:rsidR="00010FB6" w:rsidRPr="00765C97">
        <w:trPr>
          <w:trHeight w:val="249"/>
        </w:trPr>
        <w:tc>
          <w:tcPr>
            <w:tcW w:w="6660" w:type="dxa"/>
            <w:tcBorders>
              <w:top w:val="nil"/>
              <w:left w:val="nil"/>
              <w:bottom w:val="nil"/>
              <w:right w:val="nil"/>
            </w:tcBorders>
            <w:vAlign w:val="center"/>
          </w:tcPr>
          <w:p w:rsidR="00010FB6" w:rsidRPr="00765C97" w:rsidRDefault="00010FB6" w:rsidP="007A03FC">
            <w:pPr>
              <w:widowControl/>
              <w:autoSpaceDE/>
              <w:autoSpaceDN/>
              <w:rPr>
                <w:rFonts w:ascii="Arial" w:hAnsi="Arial"/>
                <w:sz w:val="20"/>
                <w:lang w:val="pl-PL"/>
              </w:rPr>
            </w:pPr>
            <w:r w:rsidRPr="00765C97">
              <w:rPr>
                <w:rFonts w:ascii="Arial" w:hAnsi="Arial"/>
                <w:sz w:val="20"/>
                <w:lang w:val="pl-PL"/>
              </w:rPr>
              <w:t>Stan na 1 stycznia 2011 r.</w:t>
            </w:r>
          </w:p>
        </w:tc>
        <w:tc>
          <w:tcPr>
            <w:tcW w:w="1620" w:type="dxa"/>
            <w:tcBorders>
              <w:top w:val="nil"/>
              <w:left w:val="nil"/>
              <w:bottom w:val="nil"/>
              <w:right w:val="nil"/>
            </w:tcBorders>
            <w:vAlign w:val="center"/>
          </w:tcPr>
          <w:p w:rsidR="00010FB6" w:rsidRPr="00765C97" w:rsidRDefault="00010FB6" w:rsidP="007A03FC">
            <w:pPr>
              <w:ind w:right="180"/>
              <w:jc w:val="right"/>
              <w:rPr>
                <w:rFonts w:ascii="Arial" w:hAnsi="Arial"/>
                <w:sz w:val="20"/>
                <w:lang w:val="pl-PL"/>
              </w:rPr>
            </w:pPr>
            <w:r w:rsidRPr="00765C97">
              <w:rPr>
                <w:rFonts w:ascii="Arial" w:hAnsi="Arial"/>
                <w:sz w:val="20"/>
                <w:lang w:val="pl-PL"/>
              </w:rPr>
              <w:t>9 242</w:t>
            </w:r>
          </w:p>
        </w:tc>
      </w:tr>
      <w:tr w:rsidR="00010FB6" w:rsidRPr="00765C97">
        <w:trPr>
          <w:trHeight w:val="249"/>
        </w:trPr>
        <w:tc>
          <w:tcPr>
            <w:tcW w:w="6660" w:type="dxa"/>
            <w:tcBorders>
              <w:top w:val="nil"/>
              <w:left w:val="nil"/>
              <w:bottom w:val="nil"/>
              <w:right w:val="nil"/>
            </w:tcBorders>
            <w:vAlign w:val="center"/>
          </w:tcPr>
          <w:p w:rsidR="00010FB6" w:rsidRPr="00765C97" w:rsidRDefault="00010FB6" w:rsidP="007A03FC">
            <w:pPr>
              <w:rPr>
                <w:rFonts w:ascii="Arial" w:hAnsi="Arial"/>
                <w:sz w:val="20"/>
                <w:lang w:val="pl-PL"/>
              </w:rPr>
            </w:pPr>
            <w:r w:rsidRPr="00765C97">
              <w:rPr>
                <w:rFonts w:ascii="Arial" w:hAnsi="Arial"/>
                <w:sz w:val="20"/>
                <w:lang w:val="pl-PL"/>
              </w:rPr>
              <w:t>Kapitał udziałowców mniejszościowych w związku z objęciem akcji w podwyższonym kapitale Comarch AG</w:t>
            </w:r>
          </w:p>
        </w:tc>
        <w:tc>
          <w:tcPr>
            <w:tcW w:w="1620" w:type="dxa"/>
            <w:tcBorders>
              <w:top w:val="nil"/>
              <w:left w:val="nil"/>
              <w:bottom w:val="nil"/>
              <w:right w:val="nil"/>
            </w:tcBorders>
            <w:vAlign w:val="center"/>
          </w:tcPr>
          <w:p w:rsidR="00010FB6" w:rsidRPr="00765C97" w:rsidRDefault="00010FB6" w:rsidP="007A03FC">
            <w:pPr>
              <w:ind w:right="180"/>
              <w:jc w:val="right"/>
              <w:rPr>
                <w:rFonts w:ascii="Arial" w:hAnsi="Arial"/>
                <w:sz w:val="20"/>
                <w:lang w:val="pl-PL"/>
              </w:rPr>
            </w:pPr>
            <w:r w:rsidRPr="00765C97">
              <w:rPr>
                <w:rFonts w:ascii="Arial" w:hAnsi="Arial"/>
                <w:sz w:val="20"/>
                <w:lang w:val="pl-PL"/>
              </w:rPr>
              <w:t>461</w:t>
            </w:r>
          </w:p>
        </w:tc>
      </w:tr>
      <w:tr w:rsidR="00010FB6" w:rsidRPr="00765C97">
        <w:trPr>
          <w:trHeight w:val="249"/>
        </w:trPr>
        <w:tc>
          <w:tcPr>
            <w:tcW w:w="6660" w:type="dxa"/>
            <w:tcBorders>
              <w:top w:val="nil"/>
              <w:left w:val="nil"/>
              <w:bottom w:val="nil"/>
              <w:right w:val="nil"/>
            </w:tcBorders>
            <w:vAlign w:val="center"/>
          </w:tcPr>
          <w:p w:rsidR="00010FB6" w:rsidRPr="00765C97" w:rsidRDefault="00010FB6" w:rsidP="007A03FC">
            <w:pPr>
              <w:rPr>
                <w:rFonts w:ascii="Arial" w:hAnsi="Arial"/>
                <w:sz w:val="20"/>
                <w:lang w:val="pl-PL"/>
              </w:rPr>
            </w:pPr>
            <w:r w:rsidRPr="00765C97">
              <w:rPr>
                <w:rFonts w:ascii="Arial" w:hAnsi="Arial"/>
                <w:sz w:val="20"/>
                <w:lang w:val="pl-PL"/>
              </w:rPr>
              <w:t>Korekta kapitału mniejszościowego w związku ze zmianami struktury własnościowej w Grupie</w:t>
            </w:r>
          </w:p>
        </w:tc>
        <w:tc>
          <w:tcPr>
            <w:tcW w:w="1620" w:type="dxa"/>
            <w:tcBorders>
              <w:top w:val="nil"/>
              <w:left w:val="nil"/>
              <w:bottom w:val="nil"/>
              <w:right w:val="nil"/>
            </w:tcBorders>
            <w:vAlign w:val="center"/>
          </w:tcPr>
          <w:p w:rsidR="00010FB6" w:rsidRPr="00765C97" w:rsidRDefault="00010FB6" w:rsidP="007A03FC">
            <w:pPr>
              <w:ind w:right="180"/>
              <w:jc w:val="right"/>
              <w:rPr>
                <w:rFonts w:ascii="Arial" w:hAnsi="Arial"/>
                <w:sz w:val="20"/>
                <w:lang w:val="pl-PL"/>
              </w:rPr>
            </w:pPr>
            <w:r w:rsidRPr="00765C97">
              <w:rPr>
                <w:rFonts w:ascii="Arial" w:hAnsi="Arial"/>
                <w:sz w:val="20"/>
                <w:lang w:val="pl-PL"/>
              </w:rPr>
              <w:t>2 882</w:t>
            </w:r>
          </w:p>
        </w:tc>
      </w:tr>
      <w:tr w:rsidR="00010FB6" w:rsidRPr="00765C97">
        <w:trPr>
          <w:trHeight w:val="249"/>
        </w:trPr>
        <w:tc>
          <w:tcPr>
            <w:tcW w:w="6660" w:type="dxa"/>
            <w:tcBorders>
              <w:top w:val="nil"/>
              <w:left w:val="nil"/>
              <w:bottom w:val="nil"/>
              <w:right w:val="nil"/>
            </w:tcBorders>
            <w:vAlign w:val="center"/>
          </w:tcPr>
          <w:p w:rsidR="00010FB6" w:rsidRPr="00765C97" w:rsidRDefault="00010FB6" w:rsidP="007A03FC">
            <w:pPr>
              <w:rPr>
                <w:rFonts w:ascii="Arial" w:hAnsi="Arial"/>
                <w:sz w:val="20"/>
                <w:lang w:val="pl-PL"/>
              </w:rPr>
            </w:pPr>
            <w:r w:rsidRPr="00765C97">
              <w:rPr>
                <w:rFonts w:ascii="Arial" w:hAnsi="Arial"/>
                <w:sz w:val="20"/>
                <w:lang w:val="pl-PL"/>
              </w:rPr>
              <w:t>Inne korekty</w:t>
            </w:r>
          </w:p>
        </w:tc>
        <w:tc>
          <w:tcPr>
            <w:tcW w:w="1620" w:type="dxa"/>
            <w:tcBorders>
              <w:top w:val="nil"/>
              <w:left w:val="nil"/>
              <w:bottom w:val="nil"/>
              <w:right w:val="nil"/>
            </w:tcBorders>
            <w:vAlign w:val="center"/>
          </w:tcPr>
          <w:p w:rsidR="00010FB6" w:rsidRPr="00765C97" w:rsidRDefault="00010FB6" w:rsidP="007A03FC">
            <w:pPr>
              <w:ind w:right="180"/>
              <w:jc w:val="right"/>
              <w:rPr>
                <w:rFonts w:ascii="Arial" w:hAnsi="Arial"/>
                <w:sz w:val="20"/>
                <w:lang w:val="pl-PL"/>
              </w:rPr>
            </w:pPr>
            <w:r w:rsidRPr="00765C97">
              <w:rPr>
                <w:rFonts w:ascii="Arial" w:hAnsi="Arial"/>
                <w:sz w:val="20"/>
                <w:lang w:val="pl-PL"/>
              </w:rPr>
              <w:t>19</w:t>
            </w:r>
          </w:p>
        </w:tc>
      </w:tr>
      <w:tr w:rsidR="00010FB6" w:rsidRPr="00765C97">
        <w:trPr>
          <w:trHeight w:val="249"/>
        </w:trPr>
        <w:tc>
          <w:tcPr>
            <w:tcW w:w="6660" w:type="dxa"/>
            <w:tcBorders>
              <w:top w:val="nil"/>
              <w:left w:val="nil"/>
              <w:bottom w:val="nil"/>
              <w:right w:val="nil"/>
            </w:tcBorders>
            <w:vAlign w:val="center"/>
          </w:tcPr>
          <w:p w:rsidR="00010FB6" w:rsidRPr="00765C97" w:rsidRDefault="00010FB6" w:rsidP="007A03FC">
            <w:pPr>
              <w:rPr>
                <w:rFonts w:ascii="Arial" w:hAnsi="Arial"/>
                <w:sz w:val="20"/>
                <w:lang w:val="pl-PL"/>
              </w:rPr>
            </w:pPr>
            <w:r w:rsidRPr="00765C97">
              <w:rPr>
                <w:rFonts w:ascii="Arial" w:hAnsi="Arial"/>
                <w:sz w:val="20"/>
                <w:lang w:val="pl-PL"/>
              </w:rPr>
              <w:t>Udział w wyniku MKS Cracovia SSA</w:t>
            </w:r>
          </w:p>
        </w:tc>
        <w:tc>
          <w:tcPr>
            <w:tcW w:w="1620" w:type="dxa"/>
            <w:tcBorders>
              <w:top w:val="nil"/>
              <w:left w:val="nil"/>
              <w:bottom w:val="nil"/>
              <w:right w:val="nil"/>
            </w:tcBorders>
            <w:vAlign w:val="center"/>
          </w:tcPr>
          <w:p w:rsidR="00010FB6" w:rsidRPr="00765C97" w:rsidRDefault="00010FB6" w:rsidP="007A03FC">
            <w:pPr>
              <w:ind w:right="180"/>
              <w:jc w:val="right"/>
              <w:rPr>
                <w:rFonts w:ascii="Arial" w:hAnsi="Arial"/>
                <w:sz w:val="20"/>
                <w:lang w:val="pl-PL"/>
              </w:rPr>
            </w:pPr>
            <w:r w:rsidRPr="00765C97">
              <w:rPr>
                <w:rFonts w:ascii="Arial" w:hAnsi="Arial"/>
                <w:sz w:val="20"/>
                <w:lang w:val="pl-PL"/>
              </w:rPr>
              <w:t>(1 995)</w:t>
            </w:r>
          </w:p>
        </w:tc>
      </w:tr>
      <w:tr w:rsidR="00010FB6" w:rsidRPr="00765C97">
        <w:trPr>
          <w:trHeight w:val="249"/>
        </w:trPr>
        <w:tc>
          <w:tcPr>
            <w:tcW w:w="6660" w:type="dxa"/>
            <w:tcBorders>
              <w:top w:val="nil"/>
              <w:left w:val="nil"/>
              <w:bottom w:val="nil"/>
              <w:right w:val="nil"/>
            </w:tcBorders>
            <w:vAlign w:val="center"/>
          </w:tcPr>
          <w:p w:rsidR="00010FB6" w:rsidRPr="00765C97" w:rsidRDefault="00010FB6" w:rsidP="007A03FC">
            <w:pPr>
              <w:rPr>
                <w:rFonts w:ascii="Arial" w:hAnsi="Arial"/>
                <w:sz w:val="20"/>
                <w:lang w:val="pl-PL"/>
              </w:rPr>
            </w:pPr>
            <w:r w:rsidRPr="00765C97">
              <w:rPr>
                <w:rFonts w:ascii="Arial" w:hAnsi="Arial"/>
                <w:sz w:val="20"/>
                <w:lang w:val="pl-PL"/>
              </w:rPr>
              <w:t>Udział w wyniku Comarch SuB</w:t>
            </w:r>
          </w:p>
        </w:tc>
        <w:tc>
          <w:tcPr>
            <w:tcW w:w="1620" w:type="dxa"/>
            <w:tcBorders>
              <w:top w:val="nil"/>
              <w:left w:val="nil"/>
              <w:right w:val="nil"/>
            </w:tcBorders>
            <w:vAlign w:val="center"/>
          </w:tcPr>
          <w:p w:rsidR="00010FB6" w:rsidRPr="00765C97" w:rsidRDefault="00010FB6" w:rsidP="007A03FC">
            <w:pPr>
              <w:ind w:right="180"/>
              <w:jc w:val="right"/>
              <w:rPr>
                <w:rFonts w:ascii="Arial" w:hAnsi="Arial"/>
                <w:sz w:val="20"/>
                <w:lang w:val="pl-PL"/>
              </w:rPr>
            </w:pPr>
            <w:r w:rsidRPr="00765C97">
              <w:rPr>
                <w:rFonts w:ascii="Arial" w:hAnsi="Arial"/>
                <w:sz w:val="20"/>
                <w:lang w:val="pl-PL"/>
              </w:rPr>
              <w:t>(1 384)</w:t>
            </w:r>
          </w:p>
        </w:tc>
      </w:tr>
      <w:tr w:rsidR="00010FB6" w:rsidRPr="00765C97">
        <w:trPr>
          <w:trHeight w:val="249"/>
        </w:trPr>
        <w:tc>
          <w:tcPr>
            <w:tcW w:w="6660" w:type="dxa"/>
            <w:tcBorders>
              <w:top w:val="nil"/>
              <w:left w:val="nil"/>
              <w:bottom w:val="nil"/>
              <w:right w:val="nil"/>
            </w:tcBorders>
            <w:vAlign w:val="center"/>
          </w:tcPr>
          <w:p w:rsidR="00010FB6" w:rsidRPr="00765C97" w:rsidRDefault="00010FB6" w:rsidP="007A03FC">
            <w:pPr>
              <w:tabs>
                <w:tab w:val="right" w:pos="3118"/>
              </w:tabs>
              <w:rPr>
                <w:rFonts w:ascii="Arial" w:hAnsi="Arial"/>
                <w:sz w:val="20"/>
                <w:lang w:val="pl-PL"/>
              </w:rPr>
            </w:pPr>
            <w:r w:rsidRPr="00765C97">
              <w:rPr>
                <w:rFonts w:ascii="Arial" w:hAnsi="Arial"/>
                <w:sz w:val="20"/>
                <w:lang w:val="pl-PL"/>
              </w:rPr>
              <w:t>Udział w wyniku Comarch R&amp;D SARL</w:t>
            </w:r>
          </w:p>
        </w:tc>
        <w:tc>
          <w:tcPr>
            <w:tcW w:w="1620" w:type="dxa"/>
            <w:tcBorders>
              <w:top w:val="nil"/>
              <w:left w:val="nil"/>
              <w:right w:val="nil"/>
            </w:tcBorders>
            <w:vAlign w:val="center"/>
          </w:tcPr>
          <w:p w:rsidR="00010FB6" w:rsidRPr="00765C97" w:rsidRDefault="00010FB6" w:rsidP="007A03FC">
            <w:pPr>
              <w:ind w:right="180"/>
              <w:jc w:val="right"/>
              <w:rPr>
                <w:rFonts w:ascii="Arial" w:hAnsi="Arial"/>
                <w:sz w:val="20"/>
                <w:lang w:val="pl-PL"/>
              </w:rPr>
            </w:pPr>
            <w:r w:rsidRPr="00765C97">
              <w:rPr>
                <w:rFonts w:ascii="Arial" w:hAnsi="Arial"/>
                <w:sz w:val="20"/>
                <w:lang w:val="pl-PL"/>
              </w:rPr>
              <w:t>188</w:t>
            </w:r>
          </w:p>
        </w:tc>
      </w:tr>
      <w:tr w:rsidR="00010FB6" w:rsidRPr="00765C97">
        <w:trPr>
          <w:trHeight w:val="249"/>
        </w:trPr>
        <w:tc>
          <w:tcPr>
            <w:tcW w:w="6660" w:type="dxa"/>
            <w:tcBorders>
              <w:top w:val="nil"/>
              <w:left w:val="nil"/>
              <w:bottom w:val="nil"/>
              <w:right w:val="nil"/>
            </w:tcBorders>
            <w:vAlign w:val="center"/>
          </w:tcPr>
          <w:p w:rsidR="00010FB6" w:rsidRPr="00765C97" w:rsidRDefault="00010FB6" w:rsidP="007A03FC">
            <w:pPr>
              <w:tabs>
                <w:tab w:val="right" w:pos="3118"/>
              </w:tabs>
              <w:rPr>
                <w:rFonts w:ascii="Arial" w:hAnsi="Arial"/>
                <w:sz w:val="20"/>
                <w:lang w:val="pl-PL"/>
              </w:rPr>
            </w:pPr>
            <w:r w:rsidRPr="00765C97">
              <w:rPr>
                <w:rFonts w:ascii="Arial" w:hAnsi="Arial"/>
                <w:sz w:val="20"/>
                <w:lang w:val="pl-PL"/>
              </w:rPr>
              <w:t>Udział w wyniku CA Consulting S</w:t>
            </w:r>
            <w:r w:rsidR="00C73F2A" w:rsidRPr="00765C97">
              <w:rPr>
                <w:rFonts w:ascii="Arial" w:hAnsi="Arial"/>
                <w:sz w:val="20"/>
                <w:lang w:val="pl-PL"/>
              </w:rPr>
              <w:t>.</w:t>
            </w:r>
            <w:r w:rsidRPr="00765C97">
              <w:rPr>
                <w:rFonts w:ascii="Arial" w:hAnsi="Arial"/>
                <w:sz w:val="20"/>
                <w:lang w:val="pl-PL"/>
              </w:rPr>
              <w:t>A</w:t>
            </w:r>
            <w:r w:rsidR="00C73F2A" w:rsidRPr="00765C97">
              <w:rPr>
                <w:rFonts w:ascii="Arial" w:hAnsi="Arial"/>
                <w:sz w:val="20"/>
                <w:lang w:val="pl-PL"/>
              </w:rPr>
              <w:t>.</w:t>
            </w:r>
          </w:p>
        </w:tc>
        <w:tc>
          <w:tcPr>
            <w:tcW w:w="1620" w:type="dxa"/>
            <w:tcBorders>
              <w:top w:val="nil"/>
              <w:left w:val="nil"/>
              <w:right w:val="nil"/>
            </w:tcBorders>
            <w:vAlign w:val="center"/>
          </w:tcPr>
          <w:p w:rsidR="00010FB6" w:rsidRPr="00765C97" w:rsidRDefault="00010FB6" w:rsidP="007A03FC">
            <w:pPr>
              <w:ind w:right="180"/>
              <w:jc w:val="right"/>
              <w:rPr>
                <w:rFonts w:ascii="Arial" w:hAnsi="Arial"/>
                <w:sz w:val="20"/>
                <w:lang w:val="pl-PL"/>
              </w:rPr>
            </w:pPr>
            <w:r w:rsidRPr="00765C97">
              <w:rPr>
                <w:rFonts w:ascii="Arial" w:hAnsi="Arial"/>
                <w:sz w:val="20"/>
                <w:lang w:val="pl-PL"/>
              </w:rPr>
              <w:t>1</w:t>
            </w:r>
          </w:p>
        </w:tc>
      </w:tr>
      <w:tr w:rsidR="00010FB6" w:rsidRPr="00765C97">
        <w:trPr>
          <w:trHeight w:val="249"/>
        </w:trPr>
        <w:tc>
          <w:tcPr>
            <w:tcW w:w="6660" w:type="dxa"/>
            <w:tcBorders>
              <w:top w:val="nil"/>
              <w:left w:val="nil"/>
              <w:bottom w:val="nil"/>
              <w:right w:val="nil"/>
            </w:tcBorders>
            <w:vAlign w:val="center"/>
          </w:tcPr>
          <w:p w:rsidR="00010FB6" w:rsidRPr="00765C97" w:rsidRDefault="00010FB6" w:rsidP="007A03FC">
            <w:pPr>
              <w:tabs>
                <w:tab w:val="right" w:pos="3118"/>
              </w:tabs>
              <w:rPr>
                <w:rFonts w:ascii="Arial" w:hAnsi="Arial"/>
                <w:sz w:val="20"/>
                <w:lang w:val="pl-PL"/>
              </w:rPr>
            </w:pPr>
            <w:r w:rsidRPr="00765C97">
              <w:rPr>
                <w:rFonts w:ascii="Arial" w:hAnsi="Arial"/>
                <w:sz w:val="20"/>
                <w:lang w:val="pl-PL"/>
              </w:rPr>
              <w:t>Różnice kursowe z wyceny</w:t>
            </w:r>
          </w:p>
        </w:tc>
        <w:tc>
          <w:tcPr>
            <w:tcW w:w="1620" w:type="dxa"/>
            <w:tcBorders>
              <w:top w:val="nil"/>
              <w:left w:val="nil"/>
              <w:right w:val="nil"/>
            </w:tcBorders>
            <w:vAlign w:val="center"/>
          </w:tcPr>
          <w:p w:rsidR="00010FB6" w:rsidRPr="00765C97" w:rsidRDefault="00010FB6" w:rsidP="007A03FC">
            <w:pPr>
              <w:ind w:right="180"/>
              <w:jc w:val="right"/>
              <w:rPr>
                <w:rFonts w:ascii="Arial" w:hAnsi="Arial"/>
                <w:sz w:val="20"/>
                <w:lang w:val="pl-PL"/>
              </w:rPr>
            </w:pPr>
            <w:r w:rsidRPr="00765C97">
              <w:rPr>
                <w:rFonts w:ascii="Arial" w:hAnsi="Arial"/>
                <w:sz w:val="20"/>
                <w:lang w:val="pl-PL"/>
              </w:rPr>
              <w:t>83</w:t>
            </w:r>
          </w:p>
        </w:tc>
      </w:tr>
      <w:tr w:rsidR="00010FB6" w:rsidRPr="00765C97">
        <w:trPr>
          <w:trHeight w:val="249"/>
        </w:trPr>
        <w:tc>
          <w:tcPr>
            <w:tcW w:w="6660" w:type="dxa"/>
            <w:tcBorders>
              <w:top w:val="nil"/>
              <w:left w:val="nil"/>
              <w:bottom w:val="nil"/>
              <w:right w:val="nil"/>
            </w:tcBorders>
            <w:vAlign w:val="center"/>
          </w:tcPr>
          <w:p w:rsidR="00010FB6" w:rsidRPr="00765C97" w:rsidRDefault="00010FB6" w:rsidP="007A03FC">
            <w:pPr>
              <w:tabs>
                <w:tab w:val="right" w:pos="3118"/>
              </w:tabs>
              <w:rPr>
                <w:rFonts w:ascii="Arial" w:hAnsi="Arial"/>
                <w:sz w:val="20"/>
                <w:lang w:val="pl-PL"/>
              </w:rPr>
            </w:pPr>
            <w:r w:rsidRPr="00765C97">
              <w:rPr>
                <w:rFonts w:ascii="Arial" w:hAnsi="Arial"/>
                <w:b/>
                <w:sz w:val="20"/>
                <w:lang w:val="pl-PL"/>
              </w:rPr>
              <w:t>Stan na 31 grudnia 2011 r.</w:t>
            </w:r>
          </w:p>
        </w:tc>
        <w:tc>
          <w:tcPr>
            <w:tcW w:w="1620" w:type="dxa"/>
            <w:tcBorders>
              <w:top w:val="single" w:sz="2" w:space="0" w:color="auto"/>
              <w:left w:val="nil"/>
              <w:right w:val="nil"/>
            </w:tcBorders>
            <w:vAlign w:val="center"/>
          </w:tcPr>
          <w:p w:rsidR="00010FB6" w:rsidRPr="00765C97" w:rsidRDefault="00010FB6" w:rsidP="007A03FC">
            <w:pPr>
              <w:ind w:right="180"/>
              <w:jc w:val="right"/>
              <w:rPr>
                <w:rFonts w:ascii="Arial" w:hAnsi="Arial"/>
                <w:b/>
                <w:sz w:val="20"/>
                <w:lang w:val="pl-PL"/>
              </w:rPr>
            </w:pPr>
            <w:r w:rsidRPr="00765C97">
              <w:rPr>
                <w:rFonts w:ascii="Arial" w:hAnsi="Arial"/>
                <w:b/>
                <w:sz w:val="20"/>
                <w:lang w:val="pl-PL"/>
              </w:rPr>
              <w:t>9 497</w:t>
            </w:r>
          </w:p>
        </w:tc>
      </w:tr>
      <w:tr w:rsidR="003B604E" w:rsidRPr="00765C97">
        <w:trPr>
          <w:trHeight w:val="249"/>
        </w:trPr>
        <w:tc>
          <w:tcPr>
            <w:tcW w:w="6660" w:type="dxa"/>
            <w:tcBorders>
              <w:top w:val="nil"/>
              <w:left w:val="nil"/>
              <w:right w:val="nil"/>
            </w:tcBorders>
            <w:vAlign w:val="center"/>
          </w:tcPr>
          <w:p w:rsidR="003B604E" w:rsidRPr="00765C97" w:rsidRDefault="003B604E" w:rsidP="003B604E">
            <w:pPr>
              <w:widowControl/>
              <w:autoSpaceDE/>
              <w:autoSpaceDN/>
              <w:rPr>
                <w:rFonts w:ascii="Arial" w:hAnsi="Arial"/>
                <w:sz w:val="20"/>
                <w:lang w:val="pl-PL"/>
              </w:rPr>
            </w:pPr>
            <w:r w:rsidRPr="00765C97">
              <w:rPr>
                <w:rFonts w:ascii="Arial" w:hAnsi="Arial"/>
                <w:sz w:val="20"/>
                <w:lang w:val="pl-PL"/>
              </w:rPr>
              <w:t>Stan na 1 styczni</w:t>
            </w:r>
            <w:r w:rsidR="00010FB6" w:rsidRPr="00765C97">
              <w:rPr>
                <w:rFonts w:ascii="Arial" w:hAnsi="Arial"/>
                <w:sz w:val="20"/>
                <w:lang w:val="pl-PL"/>
              </w:rPr>
              <w:t>a 2012</w:t>
            </w:r>
            <w:r w:rsidRPr="00765C97">
              <w:rPr>
                <w:rFonts w:ascii="Arial" w:hAnsi="Arial"/>
                <w:sz w:val="20"/>
                <w:lang w:val="pl-PL"/>
              </w:rPr>
              <w:t xml:space="preserve"> r.</w:t>
            </w:r>
          </w:p>
        </w:tc>
        <w:tc>
          <w:tcPr>
            <w:tcW w:w="1620" w:type="dxa"/>
            <w:tcBorders>
              <w:top w:val="nil"/>
              <w:left w:val="nil"/>
              <w:right w:val="nil"/>
            </w:tcBorders>
            <w:vAlign w:val="center"/>
          </w:tcPr>
          <w:p w:rsidR="003B604E" w:rsidRPr="00765C97" w:rsidRDefault="002235DC">
            <w:pPr>
              <w:ind w:right="180"/>
              <w:jc w:val="right"/>
              <w:rPr>
                <w:rFonts w:ascii="Arial" w:hAnsi="Arial"/>
                <w:sz w:val="20"/>
                <w:lang w:val="pl-PL"/>
              </w:rPr>
            </w:pPr>
            <w:r w:rsidRPr="00765C97">
              <w:rPr>
                <w:rFonts w:ascii="Arial" w:hAnsi="Arial"/>
                <w:b/>
                <w:sz w:val="20"/>
                <w:lang w:val="pl-PL"/>
              </w:rPr>
              <w:t>9 497</w:t>
            </w:r>
          </w:p>
        </w:tc>
      </w:tr>
      <w:tr w:rsidR="004531EF" w:rsidRPr="00765C97">
        <w:trPr>
          <w:trHeight w:val="249"/>
        </w:trPr>
        <w:tc>
          <w:tcPr>
            <w:tcW w:w="6660" w:type="dxa"/>
            <w:tcBorders>
              <w:top w:val="nil"/>
              <w:left w:val="nil"/>
              <w:bottom w:val="nil"/>
              <w:right w:val="nil"/>
            </w:tcBorders>
            <w:vAlign w:val="center"/>
          </w:tcPr>
          <w:p w:rsidR="004531EF" w:rsidRPr="00765C97" w:rsidRDefault="004531EF">
            <w:pPr>
              <w:rPr>
                <w:rFonts w:ascii="Arial" w:hAnsi="Arial"/>
                <w:sz w:val="20"/>
                <w:szCs w:val="20"/>
                <w:lang w:val="pl-PL"/>
              </w:rPr>
            </w:pPr>
            <w:r w:rsidRPr="00765C97">
              <w:rPr>
                <w:rFonts w:ascii="Arial" w:hAnsi="Arial" w:cs="Arial"/>
                <w:sz w:val="20"/>
                <w:szCs w:val="20"/>
                <w:lang w:val="pl-PL"/>
              </w:rPr>
              <w:t>Zmiany struktury własnościowej w MKS Cracovia SSA, CA Consulting S</w:t>
            </w:r>
            <w:r w:rsidR="00C73F2A" w:rsidRPr="00765C97">
              <w:rPr>
                <w:rFonts w:ascii="Arial" w:hAnsi="Arial" w:cs="Arial"/>
                <w:sz w:val="20"/>
                <w:szCs w:val="20"/>
                <w:lang w:val="pl-PL"/>
              </w:rPr>
              <w:t>.</w:t>
            </w:r>
            <w:r w:rsidRPr="00765C97">
              <w:rPr>
                <w:rFonts w:ascii="Arial" w:hAnsi="Arial" w:cs="Arial"/>
                <w:sz w:val="20"/>
                <w:szCs w:val="20"/>
                <w:lang w:val="pl-PL"/>
              </w:rPr>
              <w:t>A</w:t>
            </w:r>
            <w:r w:rsidR="00C73F2A" w:rsidRPr="00765C97">
              <w:rPr>
                <w:rFonts w:ascii="Arial" w:hAnsi="Arial" w:cs="Arial"/>
                <w:sz w:val="20"/>
                <w:szCs w:val="20"/>
                <w:lang w:val="pl-PL"/>
              </w:rPr>
              <w:t>.</w:t>
            </w:r>
            <w:r w:rsidRPr="00765C97">
              <w:rPr>
                <w:rFonts w:ascii="Arial" w:hAnsi="Arial" w:cs="Arial"/>
                <w:sz w:val="20"/>
                <w:szCs w:val="20"/>
                <w:lang w:val="pl-PL"/>
              </w:rPr>
              <w:t xml:space="preserve"> i Comarch R&amp;D S</w:t>
            </w:r>
            <w:r w:rsidR="00EE5FF1" w:rsidRPr="00765C97">
              <w:rPr>
                <w:rFonts w:ascii="Arial" w:hAnsi="Arial" w:cs="Arial"/>
                <w:sz w:val="20"/>
                <w:szCs w:val="20"/>
                <w:lang w:val="pl-PL"/>
              </w:rPr>
              <w:t>.</w:t>
            </w:r>
            <w:r w:rsidRPr="00765C97">
              <w:rPr>
                <w:rFonts w:ascii="Arial" w:hAnsi="Arial" w:cs="Arial"/>
                <w:sz w:val="20"/>
                <w:szCs w:val="20"/>
                <w:lang w:val="pl-PL"/>
              </w:rPr>
              <w:t xml:space="preserve"> à r.l.</w:t>
            </w:r>
          </w:p>
        </w:tc>
        <w:tc>
          <w:tcPr>
            <w:tcW w:w="1620" w:type="dxa"/>
            <w:tcBorders>
              <w:top w:val="nil"/>
              <w:left w:val="nil"/>
              <w:right w:val="nil"/>
            </w:tcBorders>
            <w:vAlign w:val="center"/>
          </w:tcPr>
          <w:p w:rsidR="004531EF" w:rsidRPr="00765C97" w:rsidRDefault="004531EF" w:rsidP="00515444">
            <w:pPr>
              <w:ind w:right="180"/>
              <w:jc w:val="right"/>
              <w:rPr>
                <w:rFonts w:ascii="Arial" w:hAnsi="Arial"/>
                <w:sz w:val="20"/>
                <w:szCs w:val="20"/>
                <w:lang w:val="pl-PL"/>
              </w:rPr>
            </w:pPr>
            <w:r w:rsidRPr="00765C97">
              <w:rPr>
                <w:rFonts w:ascii="Arial" w:hAnsi="Arial"/>
                <w:sz w:val="20"/>
                <w:szCs w:val="20"/>
                <w:lang w:val="pl-PL"/>
              </w:rPr>
              <w:t>(1 679)</w:t>
            </w:r>
          </w:p>
        </w:tc>
      </w:tr>
      <w:tr w:rsidR="004531EF" w:rsidRPr="00765C97">
        <w:trPr>
          <w:trHeight w:val="249"/>
        </w:trPr>
        <w:tc>
          <w:tcPr>
            <w:tcW w:w="6660" w:type="dxa"/>
            <w:tcBorders>
              <w:top w:val="nil"/>
              <w:left w:val="nil"/>
              <w:bottom w:val="nil"/>
              <w:right w:val="nil"/>
            </w:tcBorders>
            <w:vAlign w:val="center"/>
          </w:tcPr>
          <w:p w:rsidR="004531EF" w:rsidRPr="00765C97" w:rsidRDefault="004531EF">
            <w:pPr>
              <w:rPr>
                <w:rFonts w:ascii="Arial" w:hAnsi="Arial"/>
                <w:sz w:val="20"/>
                <w:szCs w:val="20"/>
                <w:lang w:val="pl-PL"/>
              </w:rPr>
            </w:pPr>
            <w:r w:rsidRPr="00765C97">
              <w:rPr>
                <w:rFonts w:ascii="Arial" w:hAnsi="Arial"/>
                <w:sz w:val="20"/>
                <w:szCs w:val="20"/>
                <w:lang w:val="pl-PL"/>
              </w:rPr>
              <w:t>Kapitał własny z przejęcia udziałów niekontrolujących</w:t>
            </w:r>
          </w:p>
        </w:tc>
        <w:tc>
          <w:tcPr>
            <w:tcW w:w="1620" w:type="dxa"/>
            <w:tcBorders>
              <w:top w:val="nil"/>
              <w:left w:val="nil"/>
              <w:right w:val="nil"/>
            </w:tcBorders>
            <w:vAlign w:val="center"/>
          </w:tcPr>
          <w:p w:rsidR="004531EF" w:rsidRPr="00765C97" w:rsidRDefault="004531EF" w:rsidP="00515444">
            <w:pPr>
              <w:ind w:right="180"/>
              <w:jc w:val="right"/>
              <w:rPr>
                <w:rFonts w:ascii="Arial" w:hAnsi="Arial"/>
                <w:sz w:val="20"/>
                <w:lang w:val="pl-PL"/>
              </w:rPr>
            </w:pPr>
            <w:r w:rsidRPr="00765C97">
              <w:rPr>
                <w:rFonts w:ascii="Arial" w:hAnsi="Arial"/>
                <w:sz w:val="20"/>
                <w:lang w:val="pl-PL"/>
              </w:rPr>
              <w:t>(1 039)</w:t>
            </w:r>
          </w:p>
        </w:tc>
      </w:tr>
      <w:tr w:rsidR="003B604E" w:rsidRPr="00765C97">
        <w:trPr>
          <w:trHeight w:val="249"/>
        </w:trPr>
        <w:tc>
          <w:tcPr>
            <w:tcW w:w="6660" w:type="dxa"/>
            <w:tcBorders>
              <w:top w:val="nil"/>
              <w:left w:val="nil"/>
              <w:bottom w:val="nil"/>
              <w:right w:val="nil"/>
            </w:tcBorders>
            <w:vAlign w:val="center"/>
          </w:tcPr>
          <w:p w:rsidR="003B604E" w:rsidRPr="00765C97" w:rsidRDefault="003B604E">
            <w:pPr>
              <w:rPr>
                <w:rFonts w:ascii="Arial" w:hAnsi="Arial"/>
                <w:sz w:val="20"/>
                <w:lang w:val="pl-PL"/>
              </w:rPr>
            </w:pPr>
            <w:r w:rsidRPr="00765C97">
              <w:rPr>
                <w:rFonts w:ascii="Arial" w:hAnsi="Arial"/>
                <w:sz w:val="20"/>
                <w:lang w:val="pl-PL"/>
              </w:rPr>
              <w:t>Udział w wyniku MKS Cracovia SSA</w:t>
            </w:r>
          </w:p>
        </w:tc>
        <w:tc>
          <w:tcPr>
            <w:tcW w:w="1620" w:type="dxa"/>
            <w:tcBorders>
              <w:top w:val="nil"/>
              <w:left w:val="nil"/>
              <w:right w:val="nil"/>
            </w:tcBorders>
            <w:vAlign w:val="center"/>
          </w:tcPr>
          <w:p w:rsidR="003B604E" w:rsidRPr="00765C97" w:rsidRDefault="00AA0D4E" w:rsidP="00515444">
            <w:pPr>
              <w:ind w:right="180"/>
              <w:jc w:val="right"/>
              <w:rPr>
                <w:rFonts w:ascii="Arial" w:hAnsi="Arial"/>
                <w:sz w:val="20"/>
                <w:lang w:val="pl-PL"/>
              </w:rPr>
            </w:pPr>
            <w:r w:rsidRPr="00765C97">
              <w:rPr>
                <w:rFonts w:ascii="Arial" w:hAnsi="Arial"/>
                <w:sz w:val="20"/>
                <w:lang w:val="pl-PL"/>
              </w:rPr>
              <w:t>(3</w:t>
            </w:r>
            <w:r w:rsidR="004531EF" w:rsidRPr="00765C97">
              <w:rPr>
                <w:rFonts w:ascii="Arial" w:hAnsi="Arial"/>
                <w:sz w:val="20"/>
                <w:lang w:val="pl-PL"/>
              </w:rPr>
              <w:t xml:space="preserve"> </w:t>
            </w:r>
            <w:r w:rsidRPr="00765C97">
              <w:rPr>
                <w:rFonts w:ascii="Arial" w:hAnsi="Arial"/>
                <w:sz w:val="20"/>
                <w:lang w:val="pl-PL"/>
              </w:rPr>
              <w:t>31</w:t>
            </w:r>
            <w:r w:rsidR="00515444" w:rsidRPr="00765C97">
              <w:rPr>
                <w:rFonts w:ascii="Arial" w:hAnsi="Arial"/>
                <w:sz w:val="20"/>
                <w:lang w:val="pl-PL"/>
              </w:rPr>
              <w:t>8</w:t>
            </w:r>
            <w:r w:rsidRPr="00765C97">
              <w:rPr>
                <w:rFonts w:ascii="Arial" w:hAnsi="Arial"/>
                <w:sz w:val="20"/>
                <w:lang w:val="pl-PL"/>
              </w:rPr>
              <w:t>)</w:t>
            </w:r>
          </w:p>
        </w:tc>
      </w:tr>
      <w:tr w:rsidR="003B604E" w:rsidRPr="00765C97">
        <w:trPr>
          <w:trHeight w:val="249"/>
        </w:trPr>
        <w:tc>
          <w:tcPr>
            <w:tcW w:w="6660" w:type="dxa"/>
            <w:tcBorders>
              <w:top w:val="nil"/>
              <w:left w:val="nil"/>
              <w:bottom w:val="nil"/>
              <w:right w:val="nil"/>
            </w:tcBorders>
            <w:vAlign w:val="center"/>
          </w:tcPr>
          <w:p w:rsidR="003B604E" w:rsidRPr="00765C97" w:rsidRDefault="003B604E" w:rsidP="00691EAD">
            <w:pPr>
              <w:rPr>
                <w:rFonts w:ascii="Arial" w:hAnsi="Arial"/>
                <w:sz w:val="20"/>
                <w:lang w:val="pl-PL"/>
              </w:rPr>
            </w:pPr>
            <w:r w:rsidRPr="00765C97">
              <w:rPr>
                <w:rFonts w:ascii="Arial" w:hAnsi="Arial"/>
                <w:sz w:val="20"/>
                <w:lang w:val="pl-PL"/>
              </w:rPr>
              <w:t>Udział w wyniku Comarch SuB</w:t>
            </w:r>
          </w:p>
        </w:tc>
        <w:tc>
          <w:tcPr>
            <w:tcW w:w="1620" w:type="dxa"/>
            <w:tcBorders>
              <w:top w:val="nil"/>
              <w:left w:val="nil"/>
              <w:right w:val="nil"/>
            </w:tcBorders>
            <w:vAlign w:val="center"/>
          </w:tcPr>
          <w:p w:rsidR="003B604E" w:rsidRPr="00765C97" w:rsidRDefault="00AA0D4E" w:rsidP="00AA0D4E">
            <w:pPr>
              <w:ind w:right="180"/>
              <w:jc w:val="right"/>
              <w:rPr>
                <w:rFonts w:ascii="Arial" w:hAnsi="Arial"/>
                <w:sz w:val="20"/>
                <w:lang w:val="pl-PL"/>
              </w:rPr>
            </w:pPr>
            <w:r w:rsidRPr="00765C97">
              <w:rPr>
                <w:rFonts w:ascii="Arial" w:hAnsi="Arial"/>
                <w:sz w:val="20"/>
                <w:lang w:val="pl-PL"/>
              </w:rPr>
              <w:t>(90)</w:t>
            </w:r>
          </w:p>
        </w:tc>
      </w:tr>
      <w:tr w:rsidR="003B604E" w:rsidRPr="00765C97">
        <w:trPr>
          <w:trHeight w:val="249"/>
        </w:trPr>
        <w:tc>
          <w:tcPr>
            <w:tcW w:w="6660" w:type="dxa"/>
            <w:tcBorders>
              <w:left w:val="nil"/>
              <w:right w:val="nil"/>
            </w:tcBorders>
            <w:vAlign w:val="center"/>
          </w:tcPr>
          <w:p w:rsidR="003B604E" w:rsidRPr="00765C97" w:rsidRDefault="003B604E">
            <w:pPr>
              <w:tabs>
                <w:tab w:val="right" w:pos="3118"/>
              </w:tabs>
              <w:rPr>
                <w:rFonts w:ascii="Arial" w:hAnsi="Arial"/>
                <w:sz w:val="20"/>
                <w:lang w:val="pl-PL"/>
              </w:rPr>
            </w:pPr>
            <w:r w:rsidRPr="00765C97">
              <w:rPr>
                <w:rFonts w:ascii="Arial" w:hAnsi="Arial"/>
                <w:sz w:val="20"/>
                <w:lang w:val="pl-PL"/>
              </w:rPr>
              <w:t>Różnice kursowe z wyceny</w:t>
            </w:r>
          </w:p>
        </w:tc>
        <w:tc>
          <w:tcPr>
            <w:tcW w:w="1620" w:type="dxa"/>
            <w:tcBorders>
              <w:left w:val="nil"/>
              <w:bottom w:val="single" w:sz="4" w:space="0" w:color="auto"/>
              <w:right w:val="nil"/>
            </w:tcBorders>
            <w:vAlign w:val="center"/>
          </w:tcPr>
          <w:p w:rsidR="003B604E" w:rsidRPr="00765C97" w:rsidRDefault="00AA0D4E" w:rsidP="00AA0D4E">
            <w:pPr>
              <w:ind w:right="180"/>
              <w:jc w:val="right"/>
              <w:rPr>
                <w:rFonts w:ascii="Arial" w:hAnsi="Arial"/>
                <w:sz w:val="20"/>
                <w:lang w:val="pl-PL"/>
              </w:rPr>
            </w:pPr>
            <w:r w:rsidRPr="00765C97">
              <w:rPr>
                <w:rFonts w:ascii="Arial" w:hAnsi="Arial"/>
                <w:sz w:val="20"/>
                <w:lang w:val="pl-PL"/>
              </w:rPr>
              <w:t>(52)</w:t>
            </w:r>
          </w:p>
        </w:tc>
      </w:tr>
      <w:tr w:rsidR="003B604E" w:rsidRPr="00765C97">
        <w:trPr>
          <w:trHeight w:val="249"/>
        </w:trPr>
        <w:tc>
          <w:tcPr>
            <w:tcW w:w="6660" w:type="dxa"/>
            <w:tcBorders>
              <w:left w:val="nil"/>
              <w:right w:val="nil"/>
            </w:tcBorders>
            <w:vAlign w:val="center"/>
          </w:tcPr>
          <w:p w:rsidR="003B604E" w:rsidRPr="00765C97" w:rsidRDefault="00010FB6" w:rsidP="003B604E">
            <w:pPr>
              <w:tabs>
                <w:tab w:val="right" w:pos="3118"/>
              </w:tabs>
              <w:rPr>
                <w:rFonts w:ascii="Arial" w:hAnsi="Arial"/>
                <w:sz w:val="20"/>
                <w:lang w:val="pl-PL"/>
              </w:rPr>
            </w:pPr>
            <w:r w:rsidRPr="00765C97">
              <w:rPr>
                <w:rFonts w:ascii="Arial" w:hAnsi="Arial"/>
                <w:b/>
                <w:sz w:val="20"/>
                <w:lang w:val="pl-PL"/>
              </w:rPr>
              <w:t>Stan na 31 grudnia 2012</w:t>
            </w:r>
            <w:r w:rsidR="003B604E" w:rsidRPr="00765C97">
              <w:rPr>
                <w:rFonts w:ascii="Arial" w:hAnsi="Arial"/>
                <w:b/>
                <w:sz w:val="20"/>
                <w:lang w:val="pl-PL"/>
              </w:rPr>
              <w:t xml:space="preserve"> r.</w:t>
            </w:r>
          </w:p>
        </w:tc>
        <w:tc>
          <w:tcPr>
            <w:tcW w:w="1620" w:type="dxa"/>
            <w:tcBorders>
              <w:top w:val="single" w:sz="4" w:space="0" w:color="auto"/>
              <w:left w:val="nil"/>
              <w:right w:val="nil"/>
            </w:tcBorders>
            <w:vAlign w:val="center"/>
          </w:tcPr>
          <w:p w:rsidR="003B604E" w:rsidRPr="00765C97" w:rsidRDefault="00AA0D4E">
            <w:pPr>
              <w:ind w:right="180"/>
              <w:jc w:val="right"/>
              <w:rPr>
                <w:rFonts w:ascii="Arial" w:hAnsi="Arial"/>
                <w:b/>
                <w:sz w:val="20"/>
                <w:lang w:val="pl-PL"/>
              </w:rPr>
            </w:pPr>
            <w:r w:rsidRPr="00765C97">
              <w:rPr>
                <w:rFonts w:ascii="Arial" w:hAnsi="Arial"/>
                <w:b/>
                <w:sz w:val="20"/>
                <w:lang w:val="pl-PL"/>
              </w:rPr>
              <w:t>3 319</w:t>
            </w:r>
          </w:p>
        </w:tc>
      </w:tr>
    </w:tbl>
    <w:p w:rsidR="004531EF" w:rsidRPr="00765C97" w:rsidRDefault="004531EF" w:rsidP="00867B20">
      <w:pPr>
        <w:rPr>
          <w:sz w:val="20"/>
          <w:lang w:val="pl-PL"/>
        </w:rPr>
      </w:pPr>
      <w:bookmarkStart w:id="63" w:name="_Toc353973224"/>
    </w:p>
    <w:p w:rsidR="004531EF" w:rsidRPr="00765C97" w:rsidRDefault="004531EF">
      <w:pPr>
        <w:widowControl/>
        <w:autoSpaceDE/>
        <w:autoSpaceDN/>
        <w:rPr>
          <w:rFonts w:ascii="Arial" w:hAnsi="Arial" w:cs="Arial"/>
          <w:b/>
          <w:bCs/>
          <w:sz w:val="20"/>
          <w:szCs w:val="26"/>
          <w:lang w:val="pl-PL"/>
        </w:rPr>
      </w:pPr>
      <w:r w:rsidRPr="00765C97">
        <w:rPr>
          <w:sz w:val="20"/>
          <w:lang w:val="pl-PL"/>
        </w:rPr>
        <w:br w:type="page"/>
      </w:r>
    </w:p>
    <w:p w:rsidR="00B24DA9" w:rsidRPr="00765C97" w:rsidRDefault="00B24DA9" w:rsidP="00135A9A">
      <w:pPr>
        <w:pStyle w:val="Nagwek3"/>
        <w:numPr>
          <w:ilvl w:val="1"/>
          <w:numId w:val="22"/>
        </w:numPr>
        <w:spacing w:after="240"/>
        <w:ind w:left="709" w:hanging="567"/>
        <w:rPr>
          <w:sz w:val="20"/>
          <w:lang w:val="pl-PL"/>
        </w:rPr>
      </w:pPr>
      <w:r w:rsidRPr="00765C97">
        <w:rPr>
          <w:sz w:val="20"/>
          <w:lang w:val="pl-PL"/>
        </w:rPr>
        <w:t>Zobowiązania handlowe oraz pozostałe zobowiązania</w:t>
      </w:r>
      <w:bookmarkEnd w:id="63"/>
      <w:r w:rsidRPr="00765C97">
        <w:rPr>
          <w:sz w:val="20"/>
          <w:lang w:val="pl-PL"/>
        </w:rPr>
        <w:t xml:space="preserve"> </w:t>
      </w:r>
    </w:p>
    <w:tbl>
      <w:tblPr>
        <w:tblW w:w="0" w:type="auto"/>
        <w:tblInd w:w="180" w:type="dxa"/>
        <w:tblLayout w:type="fixed"/>
        <w:tblCellMar>
          <w:left w:w="0" w:type="dxa"/>
          <w:right w:w="0" w:type="dxa"/>
        </w:tblCellMar>
        <w:tblLook w:val="0000"/>
      </w:tblPr>
      <w:tblGrid>
        <w:gridCol w:w="5040"/>
        <w:gridCol w:w="1620"/>
        <w:gridCol w:w="1620"/>
      </w:tblGrid>
      <w:tr w:rsidR="00B24DA9" w:rsidRPr="00765C97">
        <w:trPr>
          <w:trHeight w:val="255"/>
        </w:trPr>
        <w:tc>
          <w:tcPr>
            <w:tcW w:w="5040" w:type="dxa"/>
            <w:vAlign w:val="center"/>
          </w:tcPr>
          <w:p w:rsidR="00B24DA9" w:rsidRPr="00765C97" w:rsidRDefault="00B24DA9">
            <w:pPr>
              <w:rPr>
                <w:rFonts w:ascii="Arial" w:hAnsi="Arial"/>
                <w:sz w:val="20"/>
                <w:lang w:val="pl-PL"/>
              </w:rPr>
            </w:pPr>
          </w:p>
        </w:tc>
        <w:tc>
          <w:tcPr>
            <w:tcW w:w="1620" w:type="dxa"/>
            <w:vAlign w:val="center"/>
          </w:tcPr>
          <w:p w:rsidR="00B24DA9" w:rsidRPr="00765C97" w:rsidRDefault="00B24DA9">
            <w:pPr>
              <w:ind w:right="106"/>
              <w:jc w:val="right"/>
              <w:rPr>
                <w:rFonts w:ascii="Arial" w:hAnsi="Arial"/>
                <w:b/>
                <w:sz w:val="20"/>
                <w:lang w:val="pl-PL"/>
              </w:rPr>
            </w:pPr>
            <w:r w:rsidRPr="00765C97">
              <w:rPr>
                <w:rFonts w:ascii="Arial" w:hAnsi="Arial"/>
                <w:b/>
                <w:sz w:val="20"/>
                <w:lang w:val="pl-PL"/>
              </w:rPr>
              <w:t xml:space="preserve">31 grudnia </w:t>
            </w:r>
          </w:p>
          <w:p w:rsidR="00B24DA9" w:rsidRPr="00765C97" w:rsidRDefault="00B24DA9" w:rsidP="003B604E">
            <w:pPr>
              <w:ind w:right="106"/>
              <w:jc w:val="right"/>
              <w:rPr>
                <w:rFonts w:ascii="Arial" w:hAnsi="Arial"/>
                <w:b/>
                <w:sz w:val="20"/>
                <w:lang w:val="pl-PL"/>
              </w:rPr>
            </w:pPr>
            <w:r w:rsidRPr="00765C97">
              <w:rPr>
                <w:rFonts w:ascii="Arial" w:hAnsi="Arial"/>
                <w:b/>
                <w:sz w:val="20"/>
                <w:lang w:val="pl-PL"/>
              </w:rPr>
              <w:t>20</w:t>
            </w:r>
            <w:r w:rsidR="00ED0ABA" w:rsidRPr="00765C97">
              <w:rPr>
                <w:rFonts w:ascii="Arial" w:hAnsi="Arial"/>
                <w:b/>
                <w:sz w:val="20"/>
                <w:lang w:val="pl-PL"/>
              </w:rPr>
              <w:t>1</w:t>
            </w:r>
            <w:r w:rsidR="00010FB6" w:rsidRPr="00765C97">
              <w:rPr>
                <w:rFonts w:ascii="Arial" w:hAnsi="Arial"/>
                <w:b/>
                <w:sz w:val="20"/>
                <w:lang w:val="pl-PL"/>
              </w:rPr>
              <w:t>2</w:t>
            </w:r>
            <w:r w:rsidRPr="00765C97">
              <w:rPr>
                <w:rFonts w:ascii="Arial" w:hAnsi="Arial"/>
                <w:b/>
                <w:sz w:val="20"/>
                <w:lang w:val="pl-PL"/>
              </w:rPr>
              <w:t xml:space="preserve"> r.</w:t>
            </w:r>
          </w:p>
        </w:tc>
        <w:tc>
          <w:tcPr>
            <w:tcW w:w="1620" w:type="dxa"/>
            <w:vAlign w:val="center"/>
          </w:tcPr>
          <w:p w:rsidR="00B24DA9" w:rsidRPr="00765C97" w:rsidRDefault="00B24DA9">
            <w:pPr>
              <w:ind w:right="106"/>
              <w:jc w:val="right"/>
              <w:rPr>
                <w:rFonts w:ascii="Arial" w:hAnsi="Arial"/>
                <w:b/>
                <w:sz w:val="20"/>
                <w:lang w:val="pl-PL"/>
              </w:rPr>
            </w:pPr>
            <w:r w:rsidRPr="00765C97">
              <w:rPr>
                <w:rFonts w:ascii="Arial" w:hAnsi="Arial"/>
                <w:b/>
                <w:sz w:val="20"/>
                <w:lang w:val="pl-PL"/>
              </w:rPr>
              <w:t xml:space="preserve">31 grudnia </w:t>
            </w:r>
          </w:p>
          <w:p w:rsidR="00B24DA9" w:rsidRPr="00765C97" w:rsidRDefault="00B24DA9" w:rsidP="003B604E">
            <w:pPr>
              <w:ind w:right="106"/>
              <w:jc w:val="right"/>
              <w:rPr>
                <w:rFonts w:ascii="Arial" w:hAnsi="Arial"/>
                <w:b/>
                <w:sz w:val="20"/>
                <w:lang w:val="pl-PL"/>
              </w:rPr>
            </w:pPr>
            <w:r w:rsidRPr="00765C97">
              <w:rPr>
                <w:rFonts w:ascii="Arial" w:hAnsi="Arial"/>
                <w:b/>
                <w:sz w:val="20"/>
                <w:lang w:val="pl-PL"/>
              </w:rPr>
              <w:t>20</w:t>
            </w:r>
            <w:r w:rsidR="00010FB6" w:rsidRPr="00765C97">
              <w:rPr>
                <w:rFonts w:ascii="Arial" w:hAnsi="Arial"/>
                <w:b/>
                <w:sz w:val="20"/>
                <w:lang w:val="pl-PL"/>
              </w:rPr>
              <w:t>11</w:t>
            </w:r>
            <w:r w:rsidRPr="00765C97">
              <w:rPr>
                <w:rFonts w:ascii="Arial" w:hAnsi="Arial"/>
                <w:b/>
                <w:sz w:val="20"/>
                <w:lang w:val="pl-PL"/>
              </w:rPr>
              <w:t xml:space="preserve"> r.</w:t>
            </w:r>
          </w:p>
        </w:tc>
      </w:tr>
      <w:tr w:rsidR="00010FB6" w:rsidRPr="00765C97">
        <w:trPr>
          <w:trHeight w:val="255"/>
        </w:trPr>
        <w:tc>
          <w:tcPr>
            <w:tcW w:w="5040" w:type="dxa"/>
            <w:vAlign w:val="center"/>
          </w:tcPr>
          <w:p w:rsidR="00010FB6" w:rsidRPr="00765C97" w:rsidRDefault="00010FB6">
            <w:pPr>
              <w:rPr>
                <w:rFonts w:ascii="Arial" w:hAnsi="Arial"/>
                <w:sz w:val="20"/>
                <w:lang w:val="pl-PL"/>
              </w:rPr>
            </w:pPr>
            <w:r w:rsidRPr="00765C97">
              <w:rPr>
                <w:rFonts w:ascii="Arial" w:hAnsi="Arial"/>
                <w:sz w:val="20"/>
                <w:lang w:val="pl-PL"/>
              </w:rPr>
              <w:t>Zobowiązania handlowe</w:t>
            </w:r>
          </w:p>
        </w:tc>
        <w:tc>
          <w:tcPr>
            <w:tcW w:w="1620" w:type="dxa"/>
            <w:vAlign w:val="center"/>
          </w:tcPr>
          <w:p w:rsidR="00010FB6" w:rsidRPr="00765C97" w:rsidRDefault="007F17B6" w:rsidP="00BD7799">
            <w:pPr>
              <w:ind w:right="106"/>
              <w:jc w:val="right"/>
              <w:rPr>
                <w:rFonts w:ascii="Arial" w:hAnsi="Arial"/>
                <w:sz w:val="20"/>
                <w:lang w:val="pl-PL"/>
              </w:rPr>
            </w:pPr>
            <w:r w:rsidRPr="00765C97">
              <w:rPr>
                <w:rFonts w:ascii="Arial" w:hAnsi="Arial"/>
                <w:sz w:val="20"/>
                <w:lang w:val="pl-PL"/>
              </w:rPr>
              <w:t>161 932</w:t>
            </w:r>
          </w:p>
        </w:tc>
        <w:tc>
          <w:tcPr>
            <w:tcW w:w="1620" w:type="dxa"/>
            <w:vAlign w:val="center"/>
          </w:tcPr>
          <w:p w:rsidR="00010FB6" w:rsidRPr="00765C97" w:rsidRDefault="00010FB6" w:rsidP="007A03FC">
            <w:pPr>
              <w:ind w:right="106"/>
              <w:jc w:val="right"/>
              <w:rPr>
                <w:rFonts w:ascii="Arial" w:hAnsi="Arial"/>
                <w:sz w:val="20"/>
                <w:lang w:val="pl-PL"/>
              </w:rPr>
            </w:pPr>
            <w:r w:rsidRPr="00765C97">
              <w:rPr>
                <w:rFonts w:ascii="Arial" w:hAnsi="Arial"/>
                <w:sz w:val="20"/>
                <w:lang w:val="pl-PL"/>
              </w:rPr>
              <w:t>92 569</w:t>
            </w:r>
          </w:p>
        </w:tc>
      </w:tr>
      <w:tr w:rsidR="00010FB6" w:rsidRPr="00765C97">
        <w:trPr>
          <w:trHeight w:val="255"/>
        </w:trPr>
        <w:tc>
          <w:tcPr>
            <w:tcW w:w="5040" w:type="dxa"/>
            <w:vAlign w:val="center"/>
          </w:tcPr>
          <w:p w:rsidR="00010FB6" w:rsidRPr="00765C97" w:rsidRDefault="00010FB6">
            <w:pPr>
              <w:rPr>
                <w:rFonts w:ascii="Arial" w:hAnsi="Arial"/>
                <w:sz w:val="20"/>
                <w:lang w:val="pl-PL"/>
              </w:rPr>
            </w:pPr>
            <w:r w:rsidRPr="00765C97">
              <w:rPr>
                <w:rFonts w:ascii="Arial" w:hAnsi="Arial"/>
                <w:sz w:val="20"/>
                <w:lang w:val="pl-PL"/>
              </w:rPr>
              <w:t>Zaliczki otrzymane na poczet usług</w:t>
            </w:r>
          </w:p>
        </w:tc>
        <w:tc>
          <w:tcPr>
            <w:tcW w:w="1620" w:type="dxa"/>
            <w:vAlign w:val="center"/>
          </w:tcPr>
          <w:p w:rsidR="00010FB6" w:rsidRPr="00765C97" w:rsidRDefault="008E5968" w:rsidP="00BD7799">
            <w:pPr>
              <w:ind w:right="106"/>
              <w:jc w:val="right"/>
              <w:rPr>
                <w:rFonts w:ascii="Arial" w:hAnsi="Arial"/>
                <w:sz w:val="20"/>
                <w:lang w:val="pl-PL"/>
              </w:rPr>
            </w:pPr>
            <w:r w:rsidRPr="00765C97">
              <w:rPr>
                <w:rFonts w:ascii="Arial" w:hAnsi="Arial"/>
                <w:sz w:val="20"/>
                <w:lang w:val="pl-PL"/>
              </w:rPr>
              <w:t>2 792</w:t>
            </w:r>
          </w:p>
        </w:tc>
        <w:tc>
          <w:tcPr>
            <w:tcW w:w="1620" w:type="dxa"/>
            <w:vAlign w:val="center"/>
          </w:tcPr>
          <w:p w:rsidR="00010FB6" w:rsidRPr="00765C97" w:rsidRDefault="00010FB6" w:rsidP="007A03FC">
            <w:pPr>
              <w:ind w:right="106"/>
              <w:jc w:val="right"/>
              <w:rPr>
                <w:rFonts w:ascii="Arial" w:hAnsi="Arial"/>
                <w:sz w:val="20"/>
                <w:lang w:val="pl-PL"/>
              </w:rPr>
            </w:pPr>
            <w:r w:rsidRPr="00765C97">
              <w:rPr>
                <w:rFonts w:ascii="Arial" w:hAnsi="Arial"/>
                <w:sz w:val="20"/>
                <w:lang w:val="pl-PL"/>
              </w:rPr>
              <w:t>926</w:t>
            </w:r>
          </w:p>
        </w:tc>
      </w:tr>
      <w:tr w:rsidR="00010FB6" w:rsidRPr="00765C97">
        <w:trPr>
          <w:trHeight w:val="255"/>
        </w:trPr>
        <w:tc>
          <w:tcPr>
            <w:tcW w:w="5040" w:type="dxa"/>
            <w:vAlign w:val="center"/>
          </w:tcPr>
          <w:p w:rsidR="00010FB6" w:rsidRPr="00765C97" w:rsidRDefault="00010FB6">
            <w:pPr>
              <w:rPr>
                <w:rFonts w:ascii="Arial" w:hAnsi="Arial"/>
                <w:sz w:val="20"/>
                <w:lang w:val="pl-PL"/>
              </w:rPr>
            </w:pPr>
            <w:r w:rsidRPr="00765C97">
              <w:rPr>
                <w:rFonts w:ascii="Arial" w:hAnsi="Arial"/>
                <w:sz w:val="20"/>
                <w:lang w:val="pl-PL"/>
              </w:rPr>
              <w:t>Zobowiązania wobec podmiotów powiązanych</w:t>
            </w:r>
          </w:p>
        </w:tc>
        <w:tc>
          <w:tcPr>
            <w:tcW w:w="1620" w:type="dxa"/>
            <w:vAlign w:val="center"/>
          </w:tcPr>
          <w:p w:rsidR="00010FB6" w:rsidRPr="00765C97" w:rsidRDefault="008E5968" w:rsidP="00BD7799">
            <w:pPr>
              <w:ind w:right="106"/>
              <w:jc w:val="right"/>
              <w:rPr>
                <w:rFonts w:ascii="Arial" w:hAnsi="Arial"/>
                <w:sz w:val="20"/>
                <w:lang w:val="pl-PL"/>
              </w:rPr>
            </w:pPr>
            <w:r w:rsidRPr="00765C97">
              <w:rPr>
                <w:rFonts w:ascii="Arial" w:hAnsi="Arial"/>
                <w:sz w:val="20"/>
                <w:lang w:val="pl-PL"/>
              </w:rPr>
              <w:t xml:space="preserve">1 </w:t>
            </w:r>
            <w:r w:rsidR="007F17B6" w:rsidRPr="00765C97">
              <w:rPr>
                <w:rFonts w:ascii="Arial" w:hAnsi="Arial"/>
                <w:sz w:val="20"/>
                <w:lang w:val="pl-PL"/>
              </w:rPr>
              <w:t>120</w:t>
            </w:r>
          </w:p>
        </w:tc>
        <w:tc>
          <w:tcPr>
            <w:tcW w:w="1620" w:type="dxa"/>
            <w:vAlign w:val="center"/>
          </w:tcPr>
          <w:p w:rsidR="00010FB6" w:rsidRPr="00765C97" w:rsidRDefault="00010FB6" w:rsidP="007A03FC">
            <w:pPr>
              <w:ind w:right="106"/>
              <w:jc w:val="right"/>
              <w:rPr>
                <w:rFonts w:ascii="Arial" w:hAnsi="Arial"/>
                <w:sz w:val="20"/>
                <w:lang w:val="pl-PL"/>
              </w:rPr>
            </w:pPr>
            <w:r w:rsidRPr="00765C97">
              <w:rPr>
                <w:rFonts w:ascii="Arial" w:hAnsi="Arial"/>
                <w:sz w:val="20"/>
                <w:lang w:val="pl-PL"/>
              </w:rPr>
              <w:t>555</w:t>
            </w:r>
          </w:p>
        </w:tc>
      </w:tr>
      <w:tr w:rsidR="00010FB6" w:rsidRPr="00765C97">
        <w:trPr>
          <w:trHeight w:val="255"/>
        </w:trPr>
        <w:tc>
          <w:tcPr>
            <w:tcW w:w="5040" w:type="dxa"/>
            <w:vAlign w:val="center"/>
          </w:tcPr>
          <w:p w:rsidR="00010FB6" w:rsidRPr="00765C97" w:rsidRDefault="00010FB6">
            <w:pPr>
              <w:rPr>
                <w:rFonts w:ascii="Arial" w:hAnsi="Arial"/>
                <w:sz w:val="20"/>
                <w:lang w:val="pl-PL"/>
              </w:rPr>
            </w:pPr>
            <w:r w:rsidRPr="00765C97">
              <w:rPr>
                <w:rFonts w:ascii="Arial" w:hAnsi="Arial"/>
                <w:sz w:val="20"/>
                <w:lang w:val="pl-PL"/>
              </w:rPr>
              <w:t>Zobowiązania z tytułu ubezpieczeń społecznych i innych obciążeń podatkowych</w:t>
            </w:r>
          </w:p>
        </w:tc>
        <w:tc>
          <w:tcPr>
            <w:tcW w:w="1620" w:type="dxa"/>
            <w:vAlign w:val="center"/>
          </w:tcPr>
          <w:p w:rsidR="00010FB6" w:rsidRPr="00765C97" w:rsidRDefault="008E5968" w:rsidP="00BD7799">
            <w:pPr>
              <w:ind w:right="106"/>
              <w:jc w:val="right"/>
              <w:rPr>
                <w:rFonts w:ascii="Arial" w:hAnsi="Arial"/>
                <w:sz w:val="20"/>
                <w:lang w:val="pl-PL"/>
              </w:rPr>
            </w:pPr>
            <w:r w:rsidRPr="00765C97">
              <w:rPr>
                <w:rFonts w:ascii="Arial" w:hAnsi="Arial"/>
                <w:sz w:val="20"/>
                <w:lang w:val="pl-PL"/>
              </w:rPr>
              <w:t>44 665</w:t>
            </w:r>
          </w:p>
        </w:tc>
        <w:tc>
          <w:tcPr>
            <w:tcW w:w="1620" w:type="dxa"/>
            <w:vAlign w:val="center"/>
          </w:tcPr>
          <w:p w:rsidR="00010FB6" w:rsidRPr="00765C97" w:rsidRDefault="00010FB6" w:rsidP="007A03FC">
            <w:pPr>
              <w:ind w:right="106"/>
              <w:jc w:val="right"/>
              <w:rPr>
                <w:rFonts w:ascii="Arial" w:hAnsi="Arial"/>
                <w:sz w:val="20"/>
                <w:lang w:val="pl-PL"/>
              </w:rPr>
            </w:pPr>
            <w:r w:rsidRPr="00765C97">
              <w:rPr>
                <w:rFonts w:ascii="Arial" w:hAnsi="Arial"/>
                <w:sz w:val="20"/>
                <w:lang w:val="pl-PL"/>
              </w:rPr>
              <w:t>37 755</w:t>
            </w:r>
          </w:p>
        </w:tc>
      </w:tr>
      <w:tr w:rsidR="00010FB6" w:rsidRPr="00765C97">
        <w:trPr>
          <w:trHeight w:val="255"/>
        </w:trPr>
        <w:tc>
          <w:tcPr>
            <w:tcW w:w="5040" w:type="dxa"/>
            <w:vAlign w:val="center"/>
          </w:tcPr>
          <w:p w:rsidR="00010FB6" w:rsidRPr="00765C97" w:rsidRDefault="00010FB6">
            <w:pPr>
              <w:rPr>
                <w:rFonts w:ascii="Arial" w:hAnsi="Arial"/>
                <w:sz w:val="20"/>
                <w:lang w:val="pl-PL"/>
              </w:rPr>
            </w:pPr>
            <w:r w:rsidRPr="00765C97">
              <w:rPr>
                <w:rFonts w:ascii="Arial" w:hAnsi="Arial"/>
                <w:sz w:val="20"/>
                <w:lang w:val="pl-PL"/>
              </w:rPr>
              <w:t xml:space="preserve">Zobowiązania inwestycyjne </w:t>
            </w:r>
          </w:p>
        </w:tc>
        <w:tc>
          <w:tcPr>
            <w:tcW w:w="1620" w:type="dxa"/>
            <w:vAlign w:val="center"/>
          </w:tcPr>
          <w:p w:rsidR="00010FB6" w:rsidRPr="00765C97" w:rsidRDefault="008E5968" w:rsidP="00BD7799">
            <w:pPr>
              <w:ind w:right="106"/>
              <w:jc w:val="right"/>
              <w:rPr>
                <w:rFonts w:ascii="Arial" w:hAnsi="Arial"/>
                <w:sz w:val="20"/>
                <w:lang w:val="pl-PL"/>
              </w:rPr>
            </w:pPr>
            <w:r w:rsidRPr="00765C97">
              <w:rPr>
                <w:rFonts w:ascii="Arial" w:hAnsi="Arial"/>
                <w:sz w:val="20"/>
                <w:lang w:val="pl-PL"/>
              </w:rPr>
              <w:t>1 632</w:t>
            </w:r>
          </w:p>
        </w:tc>
        <w:tc>
          <w:tcPr>
            <w:tcW w:w="1620" w:type="dxa"/>
            <w:vAlign w:val="center"/>
          </w:tcPr>
          <w:p w:rsidR="00010FB6" w:rsidRPr="00765C97" w:rsidRDefault="00010FB6" w:rsidP="007A03FC">
            <w:pPr>
              <w:ind w:right="106"/>
              <w:jc w:val="right"/>
              <w:rPr>
                <w:rFonts w:ascii="Arial" w:hAnsi="Arial"/>
                <w:sz w:val="20"/>
                <w:lang w:val="pl-PL"/>
              </w:rPr>
            </w:pPr>
            <w:r w:rsidRPr="00765C97">
              <w:rPr>
                <w:rFonts w:ascii="Arial" w:hAnsi="Arial"/>
                <w:sz w:val="20"/>
                <w:lang w:val="pl-PL"/>
              </w:rPr>
              <w:t>2 762</w:t>
            </w:r>
          </w:p>
        </w:tc>
      </w:tr>
      <w:tr w:rsidR="00010FB6" w:rsidRPr="00765C97">
        <w:trPr>
          <w:trHeight w:val="255"/>
        </w:trPr>
        <w:tc>
          <w:tcPr>
            <w:tcW w:w="5040" w:type="dxa"/>
            <w:vAlign w:val="center"/>
          </w:tcPr>
          <w:p w:rsidR="00010FB6" w:rsidRPr="00765C97" w:rsidRDefault="00010FB6">
            <w:pPr>
              <w:rPr>
                <w:rFonts w:ascii="Arial" w:hAnsi="Arial"/>
                <w:sz w:val="20"/>
                <w:lang w:val="pl-PL"/>
              </w:rPr>
            </w:pPr>
            <w:r w:rsidRPr="00765C97">
              <w:rPr>
                <w:rFonts w:ascii="Arial" w:hAnsi="Arial"/>
                <w:sz w:val="20"/>
                <w:lang w:val="pl-PL"/>
              </w:rPr>
              <w:t xml:space="preserve">Przychody przyszłych okresów </w:t>
            </w:r>
          </w:p>
        </w:tc>
        <w:tc>
          <w:tcPr>
            <w:tcW w:w="1620" w:type="dxa"/>
            <w:vAlign w:val="center"/>
          </w:tcPr>
          <w:p w:rsidR="00010FB6" w:rsidRPr="00765C97" w:rsidRDefault="007F17B6" w:rsidP="00BD7799">
            <w:pPr>
              <w:ind w:right="106"/>
              <w:jc w:val="right"/>
              <w:rPr>
                <w:rFonts w:ascii="Arial" w:hAnsi="Arial"/>
                <w:sz w:val="20"/>
                <w:lang w:val="pl-PL"/>
              </w:rPr>
            </w:pPr>
            <w:r w:rsidRPr="00765C97">
              <w:rPr>
                <w:rFonts w:ascii="Arial" w:hAnsi="Arial"/>
                <w:sz w:val="20"/>
                <w:lang w:val="pl-PL"/>
              </w:rPr>
              <w:t>13 542</w:t>
            </w:r>
          </w:p>
        </w:tc>
        <w:tc>
          <w:tcPr>
            <w:tcW w:w="1620" w:type="dxa"/>
            <w:vAlign w:val="center"/>
          </w:tcPr>
          <w:p w:rsidR="00010FB6" w:rsidRPr="00765C97" w:rsidRDefault="00010FB6" w:rsidP="007A03FC">
            <w:pPr>
              <w:ind w:right="106"/>
              <w:jc w:val="right"/>
              <w:rPr>
                <w:rFonts w:ascii="Arial" w:hAnsi="Arial"/>
                <w:sz w:val="20"/>
                <w:lang w:val="pl-PL"/>
              </w:rPr>
            </w:pPr>
            <w:r w:rsidRPr="00765C97">
              <w:rPr>
                <w:rFonts w:ascii="Arial" w:hAnsi="Arial"/>
                <w:sz w:val="20"/>
                <w:lang w:val="pl-PL"/>
              </w:rPr>
              <w:t>5 185</w:t>
            </w:r>
          </w:p>
        </w:tc>
      </w:tr>
      <w:tr w:rsidR="00010FB6" w:rsidRPr="00765C97">
        <w:trPr>
          <w:trHeight w:val="255"/>
        </w:trPr>
        <w:tc>
          <w:tcPr>
            <w:tcW w:w="5040" w:type="dxa"/>
            <w:vAlign w:val="center"/>
          </w:tcPr>
          <w:p w:rsidR="00010FB6" w:rsidRPr="00765C97" w:rsidRDefault="00010FB6">
            <w:pPr>
              <w:rPr>
                <w:rFonts w:ascii="Arial" w:hAnsi="Arial"/>
                <w:sz w:val="20"/>
                <w:lang w:val="pl-PL"/>
              </w:rPr>
            </w:pPr>
            <w:r w:rsidRPr="00765C97">
              <w:rPr>
                <w:rFonts w:ascii="Arial" w:hAnsi="Arial"/>
                <w:sz w:val="20"/>
                <w:lang w:val="pl-PL"/>
              </w:rPr>
              <w:t>Pozostałe zobowiązania</w:t>
            </w:r>
          </w:p>
        </w:tc>
        <w:tc>
          <w:tcPr>
            <w:tcW w:w="1620" w:type="dxa"/>
            <w:vAlign w:val="center"/>
          </w:tcPr>
          <w:p w:rsidR="00010FB6" w:rsidRPr="00765C97" w:rsidRDefault="007F17B6" w:rsidP="00BD7799">
            <w:pPr>
              <w:ind w:right="106"/>
              <w:jc w:val="right"/>
              <w:rPr>
                <w:rFonts w:ascii="Arial" w:hAnsi="Arial"/>
                <w:sz w:val="20"/>
                <w:lang w:val="pl-PL"/>
              </w:rPr>
            </w:pPr>
            <w:r w:rsidRPr="00765C97">
              <w:rPr>
                <w:rFonts w:ascii="Arial" w:hAnsi="Arial"/>
                <w:sz w:val="20"/>
                <w:lang w:val="pl-PL"/>
              </w:rPr>
              <w:t>5 308</w:t>
            </w:r>
          </w:p>
        </w:tc>
        <w:tc>
          <w:tcPr>
            <w:tcW w:w="1620" w:type="dxa"/>
            <w:vAlign w:val="center"/>
          </w:tcPr>
          <w:p w:rsidR="00010FB6" w:rsidRPr="00765C97" w:rsidRDefault="00010FB6" w:rsidP="007A03FC">
            <w:pPr>
              <w:ind w:right="106"/>
              <w:jc w:val="right"/>
              <w:rPr>
                <w:rFonts w:ascii="Arial" w:hAnsi="Arial"/>
                <w:sz w:val="20"/>
                <w:lang w:val="pl-PL"/>
              </w:rPr>
            </w:pPr>
            <w:r w:rsidRPr="00765C97">
              <w:rPr>
                <w:rFonts w:ascii="Arial" w:hAnsi="Arial"/>
                <w:sz w:val="20"/>
                <w:lang w:val="pl-PL"/>
              </w:rPr>
              <w:t>5 336</w:t>
            </w:r>
          </w:p>
        </w:tc>
      </w:tr>
      <w:tr w:rsidR="00010FB6" w:rsidRPr="00765C97">
        <w:trPr>
          <w:trHeight w:val="255"/>
        </w:trPr>
        <w:tc>
          <w:tcPr>
            <w:tcW w:w="5040" w:type="dxa"/>
            <w:vAlign w:val="center"/>
          </w:tcPr>
          <w:p w:rsidR="00010FB6" w:rsidRPr="00765C97" w:rsidRDefault="00010FB6">
            <w:pPr>
              <w:rPr>
                <w:rFonts w:ascii="Arial" w:hAnsi="Arial"/>
                <w:sz w:val="20"/>
                <w:lang w:val="pl-PL"/>
              </w:rPr>
            </w:pPr>
            <w:r w:rsidRPr="00765C97">
              <w:rPr>
                <w:rFonts w:ascii="Arial" w:hAnsi="Arial"/>
                <w:sz w:val="20"/>
                <w:lang w:val="pl-PL"/>
              </w:rPr>
              <w:t>Fundusze specjalne (ZFŚS i Zakładowy Fundusz Mieszkaniowy)</w:t>
            </w:r>
          </w:p>
        </w:tc>
        <w:tc>
          <w:tcPr>
            <w:tcW w:w="1620" w:type="dxa"/>
            <w:tcBorders>
              <w:bottom w:val="single" w:sz="2" w:space="0" w:color="auto"/>
            </w:tcBorders>
            <w:vAlign w:val="center"/>
          </w:tcPr>
          <w:p w:rsidR="00010FB6" w:rsidRPr="00765C97" w:rsidRDefault="007F17B6" w:rsidP="00BD7799">
            <w:pPr>
              <w:ind w:right="106"/>
              <w:jc w:val="right"/>
              <w:rPr>
                <w:rFonts w:ascii="Arial" w:hAnsi="Arial"/>
                <w:sz w:val="20"/>
                <w:lang w:val="pl-PL"/>
              </w:rPr>
            </w:pPr>
            <w:r w:rsidRPr="00765C97">
              <w:rPr>
                <w:rFonts w:ascii="Arial" w:hAnsi="Arial"/>
                <w:sz w:val="20"/>
                <w:lang w:val="pl-PL"/>
              </w:rPr>
              <w:t>1 325</w:t>
            </w:r>
          </w:p>
        </w:tc>
        <w:tc>
          <w:tcPr>
            <w:tcW w:w="1620" w:type="dxa"/>
            <w:tcBorders>
              <w:bottom w:val="single" w:sz="2" w:space="0" w:color="auto"/>
            </w:tcBorders>
            <w:vAlign w:val="center"/>
          </w:tcPr>
          <w:p w:rsidR="00010FB6" w:rsidRPr="00765C97" w:rsidRDefault="00010FB6" w:rsidP="007A03FC">
            <w:pPr>
              <w:ind w:right="106"/>
              <w:jc w:val="right"/>
              <w:rPr>
                <w:rFonts w:ascii="Arial" w:hAnsi="Arial"/>
                <w:sz w:val="20"/>
                <w:lang w:val="pl-PL"/>
              </w:rPr>
            </w:pPr>
            <w:r w:rsidRPr="00765C97">
              <w:rPr>
                <w:rFonts w:ascii="Arial" w:hAnsi="Arial"/>
                <w:sz w:val="20"/>
                <w:lang w:val="pl-PL"/>
              </w:rPr>
              <w:t>1 244</w:t>
            </w:r>
          </w:p>
        </w:tc>
      </w:tr>
      <w:tr w:rsidR="00010FB6" w:rsidRPr="00765C97">
        <w:trPr>
          <w:trHeight w:val="255"/>
        </w:trPr>
        <w:tc>
          <w:tcPr>
            <w:tcW w:w="5040" w:type="dxa"/>
            <w:vAlign w:val="center"/>
          </w:tcPr>
          <w:p w:rsidR="00010FB6" w:rsidRPr="00765C97" w:rsidRDefault="00010FB6">
            <w:pPr>
              <w:rPr>
                <w:rFonts w:ascii="Arial" w:hAnsi="Arial"/>
                <w:b/>
                <w:sz w:val="20"/>
                <w:lang w:val="pl-PL"/>
              </w:rPr>
            </w:pPr>
            <w:r w:rsidRPr="00765C97">
              <w:rPr>
                <w:rFonts w:ascii="Arial" w:hAnsi="Arial"/>
                <w:b/>
                <w:sz w:val="20"/>
                <w:lang w:val="pl-PL"/>
              </w:rPr>
              <w:t>Razem</w:t>
            </w:r>
          </w:p>
        </w:tc>
        <w:tc>
          <w:tcPr>
            <w:tcW w:w="1620" w:type="dxa"/>
            <w:tcBorders>
              <w:top w:val="single" w:sz="2" w:space="0" w:color="auto"/>
              <w:bottom w:val="single" w:sz="2" w:space="0" w:color="auto"/>
            </w:tcBorders>
            <w:vAlign w:val="center"/>
          </w:tcPr>
          <w:p w:rsidR="00010FB6" w:rsidRPr="00765C97" w:rsidRDefault="007F17B6" w:rsidP="00BD7799">
            <w:pPr>
              <w:ind w:right="106"/>
              <w:jc w:val="right"/>
              <w:rPr>
                <w:rFonts w:ascii="Arial" w:hAnsi="Arial"/>
                <w:b/>
                <w:sz w:val="20"/>
                <w:lang w:val="pl-PL"/>
              </w:rPr>
            </w:pPr>
            <w:r w:rsidRPr="00765C97">
              <w:rPr>
                <w:rFonts w:ascii="Arial" w:hAnsi="Arial"/>
                <w:b/>
                <w:sz w:val="20"/>
                <w:lang w:val="pl-PL"/>
              </w:rPr>
              <w:t>232 316</w:t>
            </w:r>
          </w:p>
        </w:tc>
        <w:tc>
          <w:tcPr>
            <w:tcW w:w="1620" w:type="dxa"/>
            <w:tcBorders>
              <w:top w:val="single" w:sz="2" w:space="0" w:color="auto"/>
              <w:bottom w:val="single" w:sz="2" w:space="0" w:color="auto"/>
            </w:tcBorders>
            <w:vAlign w:val="center"/>
          </w:tcPr>
          <w:p w:rsidR="00010FB6" w:rsidRPr="00765C97" w:rsidRDefault="00010FB6" w:rsidP="007A03FC">
            <w:pPr>
              <w:ind w:right="106"/>
              <w:jc w:val="right"/>
              <w:rPr>
                <w:rFonts w:ascii="Arial" w:hAnsi="Arial"/>
                <w:b/>
                <w:sz w:val="20"/>
                <w:lang w:val="pl-PL"/>
              </w:rPr>
            </w:pPr>
            <w:r w:rsidRPr="00765C97">
              <w:rPr>
                <w:rFonts w:ascii="Arial" w:hAnsi="Arial"/>
                <w:b/>
                <w:sz w:val="20"/>
                <w:lang w:val="pl-PL"/>
              </w:rPr>
              <w:t>146 332</w:t>
            </w:r>
          </w:p>
        </w:tc>
      </w:tr>
    </w:tbl>
    <w:p w:rsidR="00B24DA9" w:rsidRPr="00765C97" w:rsidRDefault="00B24DA9">
      <w:pPr>
        <w:pStyle w:val="Style1"/>
        <w:tabs>
          <w:tab w:val="left" w:pos="1134"/>
        </w:tabs>
        <w:adjustRightInd/>
        <w:ind w:left="181"/>
        <w:jc w:val="both"/>
        <w:rPr>
          <w:rFonts w:ascii="Arial" w:hAnsi="Arial"/>
          <w:spacing w:val="-2"/>
          <w:lang w:val="pl-PL"/>
        </w:rPr>
      </w:pPr>
    </w:p>
    <w:p w:rsidR="004E1558" w:rsidRPr="00765C97" w:rsidRDefault="00B24DA9" w:rsidP="00833CBA">
      <w:pPr>
        <w:pStyle w:val="Style1"/>
        <w:tabs>
          <w:tab w:val="left" w:pos="1134"/>
        </w:tabs>
        <w:adjustRightInd/>
        <w:ind w:left="181"/>
        <w:jc w:val="both"/>
        <w:rPr>
          <w:rFonts w:ascii="Arial" w:hAnsi="Arial" w:cs="Arial"/>
          <w:b/>
          <w:bCs/>
          <w:szCs w:val="26"/>
          <w:lang w:val="pl-PL"/>
        </w:rPr>
      </w:pPr>
      <w:r w:rsidRPr="00765C97">
        <w:rPr>
          <w:rFonts w:ascii="Arial" w:hAnsi="Arial"/>
          <w:spacing w:val="-2"/>
          <w:lang w:val="pl-PL"/>
        </w:rPr>
        <w:t>Wartość godziwa zobowiązań handlowych oraz pozostałych zobowiązań jest zbliżona do ich wartości bilansowej przedstawionej powyżej.</w:t>
      </w:r>
    </w:p>
    <w:p w:rsidR="00B24DA9" w:rsidRPr="00765C97" w:rsidRDefault="00B24DA9" w:rsidP="00135A9A">
      <w:pPr>
        <w:pStyle w:val="Nagwek3"/>
        <w:numPr>
          <w:ilvl w:val="1"/>
          <w:numId w:val="22"/>
        </w:numPr>
        <w:spacing w:after="240"/>
        <w:ind w:left="709" w:hanging="567"/>
        <w:rPr>
          <w:sz w:val="20"/>
          <w:lang w:val="pl-PL"/>
        </w:rPr>
      </w:pPr>
      <w:bookmarkStart w:id="64" w:name="_Toc353973225"/>
      <w:r w:rsidRPr="00765C97">
        <w:rPr>
          <w:sz w:val="20"/>
          <w:lang w:val="pl-PL"/>
        </w:rPr>
        <w:t xml:space="preserve">Kontrakty </w:t>
      </w:r>
      <w:r w:rsidR="00602750" w:rsidRPr="00765C97">
        <w:rPr>
          <w:sz w:val="20"/>
          <w:lang w:val="pl-PL"/>
        </w:rPr>
        <w:t>długoterminowe</w:t>
      </w:r>
      <w:bookmarkEnd w:id="64"/>
    </w:p>
    <w:tbl>
      <w:tblPr>
        <w:tblW w:w="0" w:type="auto"/>
        <w:tblInd w:w="180" w:type="dxa"/>
        <w:tblLayout w:type="fixed"/>
        <w:tblCellMar>
          <w:left w:w="0" w:type="dxa"/>
          <w:right w:w="0" w:type="dxa"/>
        </w:tblCellMar>
        <w:tblLook w:val="0000"/>
      </w:tblPr>
      <w:tblGrid>
        <w:gridCol w:w="4260"/>
        <w:gridCol w:w="2040"/>
        <w:gridCol w:w="1920"/>
      </w:tblGrid>
      <w:tr w:rsidR="00B24DA9" w:rsidRPr="00765C97">
        <w:trPr>
          <w:trHeight w:val="255"/>
        </w:trPr>
        <w:tc>
          <w:tcPr>
            <w:tcW w:w="4260" w:type="dxa"/>
            <w:tcBorders>
              <w:top w:val="nil"/>
              <w:left w:val="nil"/>
              <w:bottom w:val="nil"/>
              <w:right w:val="nil"/>
            </w:tcBorders>
            <w:vAlign w:val="center"/>
          </w:tcPr>
          <w:p w:rsidR="00B24DA9" w:rsidRPr="00765C97" w:rsidRDefault="00B24DA9">
            <w:pPr>
              <w:rPr>
                <w:rFonts w:ascii="Arial" w:hAnsi="Arial"/>
                <w:sz w:val="20"/>
                <w:lang w:val="pl-PL"/>
              </w:rPr>
            </w:pPr>
          </w:p>
        </w:tc>
        <w:tc>
          <w:tcPr>
            <w:tcW w:w="2040" w:type="dxa"/>
            <w:tcBorders>
              <w:top w:val="nil"/>
              <w:left w:val="nil"/>
              <w:right w:val="nil"/>
            </w:tcBorders>
            <w:vAlign w:val="center"/>
          </w:tcPr>
          <w:p w:rsidR="00B24DA9" w:rsidRPr="00765C97" w:rsidRDefault="00B24DA9" w:rsidP="00A83C68">
            <w:pPr>
              <w:ind w:right="120"/>
              <w:jc w:val="right"/>
              <w:rPr>
                <w:rFonts w:ascii="Arial" w:hAnsi="Arial"/>
                <w:b/>
                <w:sz w:val="20"/>
                <w:lang w:val="pl-PL"/>
              </w:rPr>
            </w:pPr>
            <w:r w:rsidRPr="00765C97">
              <w:rPr>
                <w:rFonts w:ascii="Arial" w:hAnsi="Arial"/>
                <w:b/>
                <w:sz w:val="20"/>
                <w:lang w:val="pl-PL"/>
              </w:rPr>
              <w:t>12 miesięcy 20</w:t>
            </w:r>
            <w:r w:rsidR="00ED0ABA" w:rsidRPr="00765C97">
              <w:rPr>
                <w:rFonts w:ascii="Arial" w:hAnsi="Arial"/>
                <w:b/>
                <w:sz w:val="20"/>
                <w:lang w:val="pl-PL"/>
              </w:rPr>
              <w:t>1</w:t>
            </w:r>
            <w:r w:rsidR="00010FB6" w:rsidRPr="00765C97">
              <w:rPr>
                <w:rFonts w:ascii="Arial" w:hAnsi="Arial"/>
                <w:b/>
                <w:sz w:val="20"/>
                <w:lang w:val="pl-PL"/>
              </w:rPr>
              <w:t>2</w:t>
            </w:r>
          </w:p>
        </w:tc>
        <w:tc>
          <w:tcPr>
            <w:tcW w:w="1920" w:type="dxa"/>
            <w:tcBorders>
              <w:top w:val="nil"/>
              <w:left w:val="nil"/>
              <w:right w:val="nil"/>
            </w:tcBorders>
            <w:vAlign w:val="center"/>
          </w:tcPr>
          <w:p w:rsidR="00B24DA9" w:rsidRPr="00765C97" w:rsidRDefault="00B24DA9" w:rsidP="00A83C68">
            <w:pPr>
              <w:tabs>
                <w:tab w:val="left" w:pos="1349"/>
              </w:tabs>
              <w:ind w:right="120"/>
              <w:jc w:val="right"/>
              <w:rPr>
                <w:rFonts w:ascii="Arial" w:hAnsi="Arial"/>
                <w:b/>
                <w:sz w:val="20"/>
                <w:lang w:val="pl-PL"/>
              </w:rPr>
            </w:pPr>
            <w:r w:rsidRPr="00765C97">
              <w:rPr>
                <w:rFonts w:ascii="Arial" w:hAnsi="Arial"/>
                <w:b/>
                <w:sz w:val="20"/>
                <w:lang w:val="pl-PL"/>
              </w:rPr>
              <w:t>12 miesięcy 20</w:t>
            </w:r>
            <w:r w:rsidR="003B604E" w:rsidRPr="00765C97">
              <w:rPr>
                <w:rFonts w:ascii="Arial" w:hAnsi="Arial"/>
                <w:b/>
                <w:sz w:val="20"/>
                <w:lang w:val="pl-PL"/>
              </w:rPr>
              <w:t>1</w:t>
            </w:r>
            <w:r w:rsidR="00010FB6" w:rsidRPr="00765C97">
              <w:rPr>
                <w:rFonts w:ascii="Arial" w:hAnsi="Arial"/>
                <w:b/>
                <w:sz w:val="20"/>
                <w:lang w:val="pl-PL"/>
              </w:rPr>
              <w:t>1</w:t>
            </w:r>
          </w:p>
        </w:tc>
      </w:tr>
      <w:tr w:rsidR="0090029F" w:rsidRPr="00765C97">
        <w:trPr>
          <w:trHeight w:val="255"/>
        </w:trPr>
        <w:tc>
          <w:tcPr>
            <w:tcW w:w="4260" w:type="dxa"/>
            <w:tcBorders>
              <w:top w:val="nil"/>
              <w:left w:val="nil"/>
              <w:bottom w:val="nil"/>
              <w:right w:val="nil"/>
            </w:tcBorders>
            <w:vAlign w:val="center"/>
          </w:tcPr>
          <w:p w:rsidR="0090029F" w:rsidRPr="00765C97" w:rsidRDefault="0090029F">
            <w:pPr>
              <w:ind w:left="66"/>
              <w:rPr>
                <w:rFonts w:ascii="Arial" w:hAnsi="Arial"/>
                <w:b/>
                <w:sz w:val="20"/>
                <w:lang w:val="pl-PL"/>
              </w:rPr>
            </w:pPr>
            <w:r w:rsidRPr="00765C97">
              <w:rPr>
                <w:rFonts w:ascii="Arial" w:hAnsi="Arial"/>
                <w:b/>
                <w:sz w:val="20"/>
                <w:lang w:val="pl-PL"/>
              </w:rPr>
              <w:t>Przychody z tytułu kontraktów długoterminowych ujęte w okresie sprawozdawczym</w:t>
            </w:r>
          </w:p>
        </w:tc>
        <w:tc>
          <w:tcPr>
            <w:tcW w:w="2040" w:type="dxa"/>
            <w:tcBorders>
              <w:left w:val="nil"/>
              <w:right w:val="nil"/>
            </w:tcBorders>
            <w:vAlign w:val="center"/>
          </w:tcPr>
          <w:p w:rsidR="0090029F" w:rsidRPr="00765C97" w:rsidRDefault="0090029F" w:rsidP="002D56D8">
            <w:pPr>
              <w:ind w:right="101"/>
              <w:jc w:val="right"/>
              <w:rPr>
                <w:rFonts w:ascii="Arial" w:hAnsi="Arial"/>
                <w:b/>
                <w:sz w:val="20"/>
                <w:szCs w:val="20"/>
                <w:lang w:val="pl-PL"/>
              </w:rPr>
            </w:pPr>
            <w:r w:rsidRPr="00765C97">
              <w:rPr>
                <w:rFonts w:ascii="Arial" w:hAnsi="Arial"/>
                <w:b/>
                <w:sz w:val="20"/>
                <w:szCs w:val="20"/>
                <w:lang w:val="pl-PL"/>
              </w:rPr>
              <w:t xml:space="preserve">157 </w:t>
            </w:r>
            <w:r w:rsidR="002D56D8" w:rsidRPr="00765C97">
              <w:rPr>
                <w:rFonts w:ascii="Arial" w:hAnsi="Arial"/>
                <w:b/>
                <w:sz w:val="20"/>
                <w:szCs w:val="20"/>
                <w:lang w:val="pl-PL"/>
              </w:rPr>
              <w:t>371</w:t>
            </w:r>
          </w:p>
        </w:tc>
        <w:tc>
          <w:tcPr>
            <w:tcW w:w="1920" w:type="dxa"/>
            <w:tcBorders>
              <w:left w:val="nil"/>
              <w:right w:val="nil"/>
            </w:tcBorders>
            <w:vAlign w:val="center"/>
          </w:tcPr>
          <w:p w:rsidR="0090029F" w:rsidRPr="00765C97" w:rsidRDefault="0090029F" w:rsidP="007A03FC">
            <w:pPr>
              <w:ind w:right="120"/>
              <w:jc w:val="right"/>
              <w:rPr>
                <w:rFonts w:ascii="Arial" w:hAnsi="Arial"/>
                <w:b/>
                <w:sz w:val="20"/>
                <w:szCs w:val="20"/>
                <w:lang w:val="pl-PL"/>
              </w:rPr>
            </w:pPr>
            <w:r w:rsidRPr="00765C97">
              <w:rPr>
                <w:rFonts w:ascii="Arial" w:hAnsi="Arial"/>
                <w:b/>
                <w:sz w:val="20"/>
                <w:szCs w:val="20"/>
                <w:lang w:val="pl-PL"/>
              </w:rPr>
              <w:t>117 447</w:t>
            </w:r>
          </w:p>
        </w:tc>
      </w:tr>
      <w:tr w:rsidR="0090029F" w:rsidRPr="00765C97">
        <w:trPr>
          <w:trHeight w:val="255"/>
        </w:trPr>
        <w:tc>
          <w:tcPr>
            <w:tcW w:w="4260" w:type="dxa"/>
            <w:tcBorders>
              <w:top w:val="nil"/>
              <w:left w:val="nil"/>
              <w:bottom w:val="nil"/>
              <w:right w:val="nil"/>
            </w:tcBorders>
            <w:vAlign w:val="center"/>
          </w:tcPr>
          <w:p w:rsidR="0090029F" w:rsidRPr="00765C97" w:rsidRDefault="0090029F">
            <w:pPr>
              <w:ind w:left="66"/>
              <w:rPr>
                <w:rFonts w:ascii="Arial" w:hAnsi="Arial"/>
                <w:sz w:val="20"/>
                <w:lang w:val="pl-PL"/>
              </w:rPr>
            </w:pPr>
            <w:r w:rsidRPr="00765C97">
              <w:rPr>
                <w:rFonts w:ascii="Arial" w:hAnsi="Arial"/>
                <w:sz w:val="20"/>
                <w:lang w:val="pl-PL"/>
              </w:rPr>
              <w:t>a) przychody z zakończonych kontraktów ujęte w okresie sprawozdawczym</w:t>
            </w:r>
          </w:p>
        </w:tc>
        <w:tc>
          <w:tcPr>
            <w:tcW w:w="2040" w:type="dxa"/>
            <w:tcBorders>
              <w:left w:val="nil"/>
              <w:bottom w:val="nil"/>
              <w:right w:val="nil"/>
            </w:tcBorders>
            <w:vAlign w:val="center"/>
          </w:tcPr>
          <w:p w:rsidR="0090029F" w:rsidRPr="00765C97" w:rsidRDefault="0090029F" w:rsidP="005D7C6A">
            <w:pPr>
              <w:ind w:right="101"/>
              <w:jc w:val="right"/>
              <w:rPr>
                <w:rFonts w:ascii="Arial" w:hAnsi="Arial" w:cs="Arial"/>
                <w:sz w:val="20"/>
                <w:szCs w:val="20"/>
                <w:lang w:val="pl-PL"/>
              </w:rPr>
            </w:pPr>
            <w:r w:rsidRPr="00765C97">
              <w:rPr>
                <w:rFonts w:ascii="Arial" w:hAnsi="Arial" w:cs="Arial"/>
                <w:sz w:val="20"/>
                <w:szCs w:val="20"/>
                <w:lang w:val="pl-PL"/>
              </w:rPr>
              <w:t>54 670</w:t>
            </w:r>
          </w:p>
        </w:tc>
        <w:tc>
          <w:tcPr>
            <w:tcW w:w="1920" w:type="dxa"/>
            <w:tcBorders>
              <w:left w:val="nil"/>
              <w:bottom w:val="nil"/>
              <w:right w:val="nil"/>
            </w:tcBorders>
            <w:vAlign w:val="center"/>
          </w:tcPr>
          <w:p w:rsidR="0090029F" w:rsidRPr="00765C97" w:rsidRDefault="0090029F" w:rsidP="007A03FC">
            <w:pPr>
              <w:ind w:right="120"/>
              <w:jc w:val="right"/>
              <w:rPr>
                <w:rFonts w:ascii="Arial" w:hAnsi="Arial" w:cs="Arial"/>
                <w:sz w:val="20"/>
                <w:szCs w:val="20"/>
              </w:rPr>
            </w:pPr>
            <w:r w:rsidRPr="00765C97">
              <w:rPr>
                <w:rFonts w:ascii="Arial" w:hAnsi="Arial" w:cs="Arial"/>
                <w:sz w:val="20"/>
                <w:szCs w:val="20"/>
              </w:rPr>
              <w:t>27 058</w:t>
            </w:r>
          </w:p>
        </w:tc>
      </w:tr>
      <w:tr w:rsidR="0090029F" w:rsidRPr="00765C97">
        <w:trPr>
          <w:trHeight w:val="255"/>
        </w:trPr>
        <w:tc>
          <w:tcPr>
            <w:tcW w:w="4260" w:type="dxa"/>
            <w:tcBorders>
              <w:top w:val="nil"/>
              <w:left w:val="nil"/>
              <w:bottom w:val="nil"/>
              <w:right w:val="nil"/>
            </w:tcBorders>
            <w:vAlign w:val="center"/>
          </w:tcPr>
          <w:p w:rsidR="0090029F" w:rsidRPr="00765C97" w:rsidRDefault="0090029F">
            <w:pPr>
              <w:ind w:left="66"/>
              <w:rPr>
                <w:rFonts w:ascii="Arial" w:hAnsi="Arial"/>
                <w:sz w:val="20"/>
                <w:lang w:val="pl-PL"/>
              </w:rPr>
            </w:pPr>
            <w:r w:rsidRPr="00765C97">
              <w:rPr>
                <w:rFonts w:ascii="Arial" w:hAnsi="Arial"/>
                <w:sz w:val="20"/>
                <w:lang w:val="pl-PL"/>
              </w:rPr>
              <w:t>b) przychody z nie zakończonych kontraktów ujęte w okresie sprawozdawczym</w:t>
            </w:r>
          </w:p>
        </w:tc>
        <w:tc>
          <w:tcPr>
            <w:tcW w:w="2040" w:type="dxa"/>
            <w:tcBorders>
              <w:top w:val="nil"/>
              <w:left w:val="nil"/>
              <w:bottom w:val="nil"/>
              <w:right w:val="nil"/>
            </w:tcBorders>
            <w:vAlign w:val="center"/>
          </w:tcPr>
          <w:p w:rsidR="0090029F" w:rsidRPr="00765C97" w:rsidRDefault="0090029F" w:rsidP="005D7C6A">
            <w:pPr>
              <w:ind w:right="101"/>
              <w:jc w:val="right"/>
              <w:rPr>
                <w:rFonts w:ascii="Arial" w:hAnsi="Arial" w:cs="Arial"/>
                <w:sz w:val="20"/>
                <w:szCs w:val="20"/>
                <w:lang w:val="pl-PL"/>
              </w:rPr>
            </w:pPr>
            <w:r w:rsidRPr="00765C97">
              <w:rPr>
                <w:rFonts w:ascii="Arial" w:hAnsi="Arial" w:cs="Arial"/>
                <w:sz w:val="20"/>
                <w:szCs w:val="20"/>
                <w:lang w:val="pl-PL"/>
              </w:rPr>
              <w:t>113 501</w:t>
            </w:r>
          </w:p>
        </w:tc>
        <w:tc>
          <w:tcPr>
            <w:tcW w:w="1920" w:type="dxa"/>
            <w:tcBorders>
              <w:top w:val="nil"/>
              <w:left w:val="nil"/>
              <w:bottom w:val="nil"/>
              <w:right w:val="nil"/>
            </w:tcBorders>
            <w:vAlign w:val="center"/>
          </w:tcPr>
          <w:p w:rsidR="0090029F" w:rsidRPr="00765C97" w:rsidRDefault="0090029F" w:rsidP="007A03FC">
            <w:pPr>
              <w:ind w:right="120"/>
              <w:jc w:val="right"/>
              <w:rPr>
                <w:rFonts w:ascii="Arial" w:hAnsi="Arial" w:cs="Arial"/>
                <w:sz w:val="20"/>
                <w:szCs w:val="20"/>
              </w:rPr>
            </w:pPr>
            <w:r w:rsidRPr="00765C97">
              <w:rPr>
                <w:rFonts w:ascii="Arial" w:hAnsi="Arial" w:cs="Arial"/>
                <w:sz w:val="20"/>
                <w:szCs w:val="20"/>
              </w:rPr>
              <w:t>88 129</w:t>
            </w:r>
          </w:p>
        </w:tc>
      </w:tr>
      <w:tr w:rsidR="0090029F" w:rsidRPr="00765C97">
        <w:trPr>
          <w:trHeight w:val="255"/>
        </w:trPr>
        <w:tc>
          <w:tcPr>
            <w:tcW w:w="4260" w:type="dxa"/>
            <w:tcBorders>
              <w:top w:val="nil"/>
              <w:left w:val="nil"/>
              <w:bottom w:val="nil"/>
              <w:right w:val="nil"/>
            </w:tcBorders>
            <w:vAlign w:val="center"/>
          </w:tcPr>
          <w:p w:rsidR="0090029F" w:rsidRPr="00765C97" w:rsidRDefault="0090029F">
            <w:pPr>
              <w:ind w:left="66"/>
              <w:rPr>
                <w:rFonts w:ascii="Arial" w:hAnsi="Arial"/>
                <w:sz w:val="20"/>
                <w:lang w:val="pl-PL"/>
              </w:rPr>
            </w:pPr>
            <w:r w:rsidRPr="00765C97">
              <w:rPr>
                <w:rFonts w:ascii="Arial" w:hAnsi="Arial"/>
                <w:sz w:val="20"/>
                <w:lang w:val="pl-PL"/>
              </w:rPr>
              <w:t xml:space="preserve">c) przychody z nie zakończonych kontraktów ujęte w okresie sprawozdawczym </w:t>
            </w:r>
          </w:p>
          <w:p w:rsidR="0090029F" w:rsidRPr="00765C97" w:rsidRDefault="0090029F">
            <w:pPr>
              <w:ind w:left="66"/>
              <w:rPr>
                <w:rFonts w:ascii="Arial" w:hAnsi="Arial"/>
                <w:sz w:val="20"/>
                <w:lang w:val="pl-PL"/>
              </w:rPr>
            </w:pPr>
            <w:r w:rsidRPr="00765C97">
              <w:rPr>
                <w:rFonts w:ascii="Arial" w:hAnsi="Arial"/>
                <w:sz w:val="20"/>
                <w:lang w:val="pl-PL"/>
              </w:rPr>
              <w:t>– efekt rozliczenia zgodnie z MSR 11</w:t>
            </w:r>
          </w:p>
        </w:tc>
        <w:tc>
          <w:tcPr>
            <w:tcW w:w="2040" w:type="dxa"/>
            <w:tcBorders>
              <w:top w:val="nil"/>
              <w:left w:val="nil"/>
              <w:bottom w:val="nil"/>
              <w:right w:val="nil"/>
            </w:tcBorders>
            <w:vAlign w:val="center"/>
          </w:tcPr>
          <w:p w:rsidR="0090029F" w:rsidRPr="00765C97" w:rsidRDefault="0090029F" w:rsidP="00CA2E10">
            <w:pPr>
              <w:ind w:right="101"/>
              <w:jc w:val="right"/>
              <w:rPr>
                <w:rFonts w:ascii="Arial" w:hAnsi="Arial" w:cs="Arial"/>
                <w:sz w:val="20"/>
                <w:szCs w:val="20"/>
                <w:lang w:val="pl-PL"/>
              </w:rPr>
            </w:pPr>
            <w:r w:rsidRPr="00765C97">
              <w:rPr>
                <w:rFonts w:ascii="Arial" w:hAnsi="Arial" w:cs="Arial"/>
                <w:sz w:val="20"/>
                <w:szCs w:val="20"/>
                <w:lang w:val="pl-PL"/>
              </w:rPr>
              <w:t>(10 </w:t>
            </w:r>
            <w:r w:rsidR="002D56D8" w:rsidRPr="00765C97">
              <w:rPr>
                <w:rFonts w:ascii="Arial" w:hAnsi="Arial" w:cs="Arial"/>
                <w:sz w:val="20"/>
                <w:szCs w:val="20"/>
                <w:lang w:val="pl-PL"/>
              </w:rPr>
              <w:t>80</w:t>
            </w:r>
            <w:r w:rsidR="00CA2E10" w:rsidRPr="00765C97">
              <w:rPr>
                <w:rFonts w:ascii="Arial" w:hAnsi="Arial" w:cs="Arial"/>
                <w:sz w:val="20"/>
                <w:szCs w:val="20"/>
                <w:lang w:val="pl-PL"/>
              </w:rPr>
              <w:t>1</w:t>
            </w:r>
            <w:r w:rsidRPr="00765C97">
              <w:rPr>
                <w:rFonts w:ascii="Arial" w:hAnsi="Arial" w:cs="Arial"/>
                <w:sz w:val="20"/>
                <w:szCs w:val="20"/>
                <w:lang w:val="pl-PL"/>
              </w:rPr>
              <w:t>)</w:t>
            </w:r>
          </w:p>
        </w:tc>
        <w:tc>
          <w:tcPr>
            <w:tcW w:w="1920" w:type="dxa"/>
            <w:tcBorders>
              <w:top w:val="nil"/>
              <w:left w:val="nil"/>
              <w:bottom w:val="nil"/>
              <w:right w:val="nil"/>
            </w:tcBorders>
            <w:vAlign w:val="center"/>
          </w:tcPr>
          <w:p w:rsidR="0090029F" w:rsidRPr="00765C97" w:rsidRDefault="0090029F" w:rsidP="007A03FC">
            <w:pPr>
              <w:ind w:right="120"/>
              <w:jc w:val="right"/>
              <w:rPr>
                <w:rFonts w:ascii="Arial" w:hAnsi="Arial" w:cs="Arial"/>
                <w:sz w:val="20"/>
                <w:szCs w:val="20"/>
              </w:rPr>
            </w:pPr>
            <w:r w:rsidRPr="00765C97">
              <w:rPr>
                <w:rFonts w:ascii="Arial" w:hAnsi="Arial" w:cs="Arial"/>
                <w:sz w:val="20"/>
                <w:szCs w:val="20"/>
              </w:rPr>
              <w:t>2 261</w:t>
            </w:r>
          </w:p>
        </w:tc>
      </w:tr>
    </w:tbl>
    <w:p w:rsidR="00B24DA9" w:rsidRPr="00765C97" w:rsidRDefault="00B24DA9">
      <w:pPr>
        <w:ind w:left="180" w:right="201"/>
        <w:jc w:val="both"/>
        <w:rPr>
          <w:rFonts w:ascii="Arial" w:hAnsi="Arial"/>
          <w:color w:val="000000"/>
          <w:sz w:val="20"/>
          <w:lang w:val="pl-PL"/>
        </w:rPr>
      </w:pPr>
    </w:p>
    <w:p w:rsidR="00B24DA9" w:rsidRPr="00765C97" w:rsidRDefault="00B24DA9">
      <w:pPr>
        <w:pStyle w:val="Style1"/>
        <w:adjustRightInd/>
        <w:ind w:left="180" w:right="-39"/>
        <w:jc w:val="both"/>
        <w:rPr>
          <w:rFonts w:ascii="Arial" w:hAnsi="Arial"/>
          <w:lang w:val="pl-PL"/>
        </w:rPr>
      </w:pPr>
      <w:r w:rsidRPr="00765C97">
        <w:rPr>
          <w:rFonts w:ascii="Arial" w:hAnsi="Arial"/>
          <w:lang w:val="pl-PL"/>
        </w:rPr>
        <w:t>Z uwagi, iż Spółka stosuje zasadę ustalania stopnia zaawansowania prac proporcjonalnie do udziału poniesionych kosztów w całości kosztów kontraktu, suma poniesionych kosztów oraz ujętych wyników odpowiada przychodom.</w:t>
      </w:r>
    </w:p>
    <w:p w:rsidR="00B24DA9" w:rsidRPr="00765C97" w:rsidRDefault="00B24DA9">
      <w:pPr>
        <w:ind w:left="180" w:right="-39"/>
        <w:jc w:val="both"/>
        <w:rPr>
          <w:rFonts w:ascii="Arial" w:hAnsi="Arial"/>
          <w:sz w:val="20"/>
          <w:lang w:val="pl-PL"/>
        </w:rPr>
      </w:pPr>
    </w:p>
    <w:p w:rsidR="00B24DA9" w:rsidRPr="00765C97" w:rsidRDefault="00B24DA9">
      <w:pPr>
        <w:ind w:left="180" w:right="-39"/>
        <w:jc w:val="both"/>
        <w:rPr>
          <w:rFonts w:ascii="Arial" w:hAnsi="Arial"/>
          <w:sz w:val="20"/>
          <w:lang w:val="pl-PL"/>
        </w:rPr>
      </w:pPr>
      <w:r w:rsidRPr="00765C97">
        <w:rPr>
          <w:rFonts w:ascii="Arial" w:hAnsi="Arial"/>
          <w:sz w:val="20"/>
          <w:lang w:val="pl-PL"/>
        </w:rPr>
        <w:t>Dokonano na koniec okresu sprawozdawczego wyceny kontraktów długoterminowych zgodnie ze stopniem zaawansowania prac. Zmiana stanu rozliczeń z tytułu kontraktów długoterminowych ujętych w aktywach i pasywach między 31 grudnia 20</w:t>
      </w:r>
      <w:r w:rsidR="00010FB6" w:rsidRPr="00765C97">
        <w:rPr>
          <w:rFonts w:ascii="Arial" w:hAnsi="Arial"/>
          <w:sz w:val="20"/>
          <w:lang w:val="pl-PL"/>
        </w:rPr>
        <w:t>11</w:t>
      </w:r>
      <w:r w:rsidRPr="00765C97">
        <w:rPr>
          <w:rFonts w:ascii="Arial" w:hAnsi="Arial"/>
          <w:sz w:val="20"/>
          <w:lang w:val="pl-PL"/>
        </w:rPr>
        <w:t xml:space="preserve"> a 31 grudnia 20</w:t>
      </w:r>
      <w:r w:rsidR="00ED0ABA" w:rsidRPr="00765C97">
        <w:rPr>
          <w:rFonts w:ascii="Arial" w:hAnsi="Arial"/>
          <w:sz w:val="20"/>
          <w:lang w:val="pl-PL"/>
        </w:rPr>
        <w:t>1</w:t>
      </w:r>
      <w:r w:rsidR="00010FB6" w:rsidRPr="00765C97">
        <w:rPr>
          <w:rFonts w:ascii="Arial" w:hAnsi="Arial"/>
          <w:sz w:val="20"/>
          <w:lang w:val="pl-PL"/>
        </w:rPr>
        <w:t>2</w:t>
      </w:r>
      <w:r w:rsidRPr="00765C97">
        <w:rPr>
          <w:rFonts w:ascii="Arial" w:hAnsi="Arial"/>
          <w:sz w:val="20"/>
          <w:lang w:val="pl-PL"/>
        </w:rPr>
        <w:t xml:space="preserve"> prezentowana jest poniżej:</w:t>
      </w:r>
    </w:p>
    <w:tbl>
      <w:tblPr>
        <w:tblW w:w="0" w:type="auto"/>
        <w:tblInd w:w="180" w:type="dxa"/>
        <w:tblLayout w:type="fixed"/>
        <w:tblCellMar>
          <w:left w:w="0" w:type="dxa"/>
          <w:right w:w="0" w:type="dxa"/>
        </w:tblCellMar>
        <w:tblLook w:val="0000"/>
      </w:tblPr>
      <w:tblGrid>
        <w:gridCol w:w="4215"/>
        <w:gridCol w:w="1275"/>
        <w:gridCol w:w="1418"/>
        <w:gridCol w:w="1276"/>
      </w:tblGrid>
      <w:tr w:rsidR="00B24DA9" w:rsidRPr="00765C97">
        <w:trPr>
          <w:trHeight w:val="255"/>
        </w:trPr>
        <w:tc>
          <w:tcPr>
            <w:tcW w:w="4215" w:type="dxa"/>
            <w:tcBorders>
              <w:top w:val="nil"/>
              <w:left w:val="nil"/>
              <w:bottom w:val="nil"/>
              <w:right w:val="nil"/>
            </w:tcBorders>
            <w:vAlign w:val="center"/>
          </w:tcPr>
          <w:p w:rsidR="00B24DA9" w:rsidRPr="00765C97" w:rsidRDefault="00B24DA9">
            <w:pPr>
              <w:rPr>
                <w:rFonts w:ascii="Arial" w:hAnsi="Arial"/>
                <w:color w:val="000000"/>
                <w:sz w:val="20"/>
                <w:lang w:val="pl-PL"/>
              </w:rPr>
            </w:pPr>
          </w:p>
        </w:tc>
        <w:tc>
          <w:tcPr>
            <w:tcW w:w="1275" w:type="dxa"/>
            <w:tcBorders>
              <w:top w:val="nil"/>
              <w:left w:val="nil"/>
              <w:bottom w:val="nil"/>
              <w:right w:val="nil"/>
            </w:tcBorders>
            <w:vAlign w:val="center"/>
          </w:tcPr>
          <w:p w:rsidR="00B24DA9" w:rsidRPr="00765C97" w:rsidRDefault="00B24DA9">
            <w:pPr>
              <w:ind w:right="120"/>
              <w:jc w:val="right"/>
              <w:rPr>
                <w:rFonts w:ascii="Arial" w:hAnsi="Arial"/>
                <w:b/>
                <w:sz w:val="20"/>
                <w:lang w:val="pl-PL"/>
              </w:rPr>
            </w:pPr>
            <w:r w:rsidRPr="00765C97">
              <w:rPr>
                <w:rFonts w:ascii="Arial" w:hAnsi="Arial"/>
                <w:b/>
                <w:sz w:val="20"/>
                <w:lang w:val="pl-PL"/>
              </w:rPr>
              <w:t>Czynne</w:t>
            </w:r>
          </w:p>
        </w:tc>
        <w:tc>
          <w:tcPr>
            <w:tcW w:w="1418" w:type="dxa"/>
            <w:tcBorders>
              <w:top w:val="nil"/>
              <w:left w:val="nil"/>
              <w:bottom w:val="nil"/>
              <w:right w:val="nil"/>
            </w:tcBorders>
            <w:vAlign w:val="center"/>
          </w:tcPr>
          <w:p w:rsidR="00B24DA9" w:rsidRPr="00765C97" w:rsidRDefault="00B24DA9">
            <w:pPr>
              <w:ind w:right="120"/>
              <w:jc w:val="right"/>
              <w:rPr>
                <w:rFonts w:ascii="Arial" w:hAnsi="Arial"/>
                <w:b/>
                <w:sz w:val="20"/>
                <w:lang w:val="pl-PL"/>
              </w:rPr>
            </w:pPr>
            <w:r w:rsidRPr="00765C97">
              <w:rPr>
                <w:rFonts w:ascii="Arial" w:hAnsi="Arial"/>
                <w:b/>
                <w:sz w:val="20"/>
                <w:lang w:val="pl-PL"/>
              </w:rPr>
              <w:t>Bierne</w:t>
            </w:r>
          </w:p>
        </w:tc>
        <w:tc>
          <w:tcPr>
            <w:tcW w:w="1276" w:type="dxa"/>
            <w:tcBorders>
              <w:top w:val="nil"/>
              <w:left w:val="nil"/>
              <w:bottom w:val="nil"/>
              <w:right w:val="nil"/>
            </w:tcBorders>
            <w:vAlign w:val="center"/>
          </w:tcPr>
          <w:p w:rsidR="00B24DA9" w:rsidRPr="00765C97" w:rsidRDefault="00B24DA9">
            <w:pPr>
              <w:tabs>
                <w:tab w:val="left" w:pos="1349"/>
              </w:tabs>
              <w:ind w:right="120"/>
              <w:jc w:val="right"/>
              <w:rPr>
                <w:rFonts w:ascii="Arial" w:hAnsi="Arial"/>
                <w:b/>
                <w:sz w:val="20"/>
                <w:lang w:val="pl-PL"/>
              </w:rPr>
            </w:pPr>
            <w:r w:rsidRPr="00765C97">
              <w:rPr>
                <w:rFonts w:ascii="Arial" w:hAnsi="Arial"/>
                <w:b/>
                <w:sz w:val="20"/>
                <w:lang w:val="pl-PL"/>
              </w:rPr>
              <w:t>Netto</w:t>
            </w:r>
          </w:p>
        </w:tc>
      </w:tr>
      <w:tr w:rsidR="00B24DA9" w:rsidRPr="00F346A4">
        <w:trPr>
          <w:trHeight w:val="255"/>
        </w:trPr>
        <w:tc>
          <w:tcPr>
            <w:tcW w:w="4215" w:type="dxa"/>
            <w:tcBorders>
              <w:top w:val="nil"/>
              <w:left w:val="nil"/>
              <w:bottom w:val="nil"/>
              <w:right w:val="nil"/>
            </w:tcBorders>
            <w:vAlign w:val="center"/>
          </w:tcPr>
          <w:p w:rsidR="00B24DA9" w:rsidRPr="00765C97" w:rsidRDefault="00B24DA9">
            <w:pPr>
              <w:ind w:left="66"/>
              <w:rPr>
                <w:rFonts w:ascii="Arial" w:hAnsi="Arial"/>
                <w:b/>
                <w:color w:val="000000"/>
                <w:sz w:val="20"/>
                <w:lang w:val="pl-PL"/>
              </w:rPr>
            </w:pPr>
            <w:r w:rsidRPr="00765C97">
              <w:rPr>
                <w:rFonts w:ascii="Arial" w:hAnsi="Arial"/>
                <w:b/>
                <w:color w:val="000000"/>
                <w:sz w:val="20"/>
                <w:lang w:val="pl-PL"/>
              </w:rPr>
              <w:t>Przychody z tytułu kontraktów długoterminowych ujęte w okresie sprawozdawczym</w:t>
            </w:r>
          </w:p>
        </w:tc>
        <w:tc>
          <w:tcPr>
            <w:tcW w:w="1275" w:type="dxa"/>
            <w:tcBorders>
              <w:top w:val="nil"/>
              <w:left w:val="nil"/>
              <w:bottom w:val="nil"/>
              <w:right w:val="nil"/>
            </w:tcBorders>
            <w:vAlign w:val="center"/>
          </w:tcPr>
          <w:p w:rsidR="00B24DA9" w:rsidRPr="00765C97" w:rsidRDefault="00B24DA9">
            <w:pPr>
              <w:ind w:left="66" w:right="120"/>
              <w:jc w:val="right"/>
              <w:rPr>
                <w:rFonts w:ascii="Arial" w:hAnsi="Arial"/>
                <w:b/>
                <w:sz w:val="20"/>
                <w:lang w:val="pl-PL"/>
              </w:rPr>
            </w:pPr>
          </w:p>
        </w:tc>
        <w:tc>
          <w:tcPr>
            <w:tcW w:w="1418" w:type="dxa"/>
            <w:tcBorders>
              <w:top w:val="nil"/>
              <w:left w:val="nil"/>
              <w:bottom w:val="nil"/>
              <w:right w:val="nil"/>
            </w:tcBorders>
            <w:vAlign w:val="center"/>
          </w:tcPr>
          <w:p w:rsidR="00B24DA9" w:rsidRPr="00765C97" w:rsidRDefault="00B24DA9">
            <w:pPr>
              <w:ind w:left="66" w:right="120"/>
              <w:jc w:val="right"/>
              <w:rPr>
                <w:rFonts w:ascii="Arial" w:hAnsi="Arial"/>
                <w:b/>
                <w:sz w:val="20"/>
                <w:lang w:val="pl-PL"/>
              </w:rPr>
            </w:pPr>
          </w:p>
        </w:tc>
        <w:tc>
          <w:tcPr>
            <w:tcW w:w="1276" w:type="dxa"/>
            <w:tcBorders>
              <w:top w:val="nil"/>
              <w:left w:val="nil"/>
              <w:bottom w:val="nil"/>
              <w:right w:val="nil"/>
            </w:tcBorders>
            <w:vAlign w:val="center"/>
          </w:tcPr>
          <w:p w:rsidR="00B24DA9" w:rsidRPr="00765C97" w:rsidRDefault="00B24DA9">
            <w:pPr>
              <w:tabs>
                <w:tab w:val="left" w:pos="1349"/>
              </w:tabs>
              <w:ind w:left="66" w:right="120"/>
              <w:jc w:val="right"/>
              <w:rPr>
                <w:rFonts w:ascii="Arial" w:hAnsi="Arial"/>
                <w:b/>
                <w:sz w:val="20"/>
                <w:lang w:val="pl-PL"/>
              </w:rPr>
            </w:pPr>
          </w:p>
        </w:tc>
      </w:tr>
      <w:tr w:rsidR="00010FB6" w:rsidRPr="00765C97" w:rsidTr="00A83C68">
        <w:trPr>
          <w:trHeight w:val="255"/>
        </w:trPr>
        <w:tc>
          <w:tcPr>
            <w:tcW w:w="4215" w:type="dxa"/>
            <w:tcBorders>
              <w:top w:val="nil"/>
              <w:left w:val="nil"/>
              <w:bottom w:val="nil"/>
              <w:right w:val="nil"/>
            </w:tcBorders>
            <w:vAlign w:val="center"/>
          </w:tcPr>
          <w:p w:rsidR="00010FB6" w:rsidRPr="00765C97" w:rsidRDefault="00010FB6" w:rsidP="00652D8D">
            <w:pPr>
              <w:widowControl/>
              <w:autoSpaceDE/>
              <w:autoSpaceDN/>
              <w:ind w:left="66"/>
              <w:rPr>
                <w:rFonts w:ascii="Arial" w:hAnsi="Arial"/>
                <w:sz w:val="20"/>
                <w:lang w:val="pl-PL" w:eastAsia="pl-PL"/>
              </w:rPr>
            </w:pPr>
            <w:r w:rsidRPr="00765C97">
              <w:rPr>
                <w:rFonts w:ascii="Arial" w:hAnsi="Arial"/>
                <w:sz w:val="20"/>
                <w:lang w:val="pl-PL" w:eastAsia="pl-PL"/>
              </w:rPr>
              <w:t xml:space="preserve"> Saldo RMK skonsolidowanych na 01.01.2011</w:t>
            </w:r>
          </w:p>
        </w:tc>
        <w:tc>
          <w:tcPr>
            <w:tcW w:w="1275" w:type="dxa"/>
            <w:tcBorders>
              <w:top w:val="nil"/>
              <w:left w:val="nil"/>
              <w:bottom w:val="nil"/>
              <w:right w:val="nil"/>
            </w:tcBorders>
            <w:vAlign w:val="center"/>
          </w:tcPr>
          <w:p w:rsidR="00010FB6" w:rsidRPr="00765C97" w:rsidRDefault="00010FB6" w:rsidP="007A03FC">
            <w:pPr>
              <w:ind w:right="120"/>
              <w:jc w:val="right"/>
              <w:rPr>
                <w:rFonts w:ascii="Arial" w:hAnsi="Arial"/>
                <w:sz w:val="20"/>
                <w:szCs w:val="20"/>
              </w:rPr>
            </w:pPr>
            <w:r w:rsidRPr="00765C97">
              <w:rPr>
                <w:rFonts w:ascii="Arial" w:hAnsi="Arial"/>
                <w:sz w:val="20"/>
                <w:szCs w:val="20"/>
              </w:rPr>
              <w:t>9 112</w:t>
            </w:r>
          </w:p>
        </w:tc>
        <w:tc>
          <w:tcPr>
            <w:tcW w:w="1418" w:type="dxa"/>
            <w:tcBorders>
              <w:top w:val="nil"/>
              <w:left w:val="nil"/>
              <w:bottom w:val="nil"/>
              <w:right w:val="nil"/>
            </w:tcBorders>
            <w:vAlign w:val="center"/>
          </w:tcPr>
          <w:p w:rsidR="00010FB6" w:rsidRPr="00765C97" w:rsidRDefault="00010FB6" w:rsidP="007A03FC">
            <w:pPr>
              <w:ind w:right="120"/>
              <w:jc w:val="right"/>
              <w:rPr>
                <w:rFonts w:ascii="Arial" w:hAnsi="Arial"/>
                <w:sz w:val="20"/>
                <w:szCs w:val="20"/>
              </w:rPr>
            </w:pPr>
            <w:r w:rsidRPr="00765C97">
              <w:rPr>
                <w:rFonts w:ascii="Arial" w:hAnsi="Arial"/>
                <w:sz w:val="20"/>
                <w:szCs w:val="20"/>
              </w:rPr>
              <w:t>7 452</w:t>
            </w:r>
          </w:p>
        </w:tc>
        <w:tc>
          <w:tcPr>
            <w:tcW w:w="1276" w:type="dxa"/>
            <w:tcBorders>
              <w:top w:val="nil"/>
              <w:left w:val="nil"/>
              <w:bottom w:val="nil"/>
              <w:right w:val="nil"/>
            </w:tcBorders>
            <w:vAlign w:val="center"/>
          </w:tcPr>
          <w:p w:rsidR="00010FB6" w:rsidRPr="00765C97" w:rsidRDefault="00010FB6" w:rsidP="007A03FC">
            <w:pPr>
              <w:ind w:right="120"/>
              <w:jc w:val="right"/>
              <w:rPr>
                <w:rFonts w:ascii="Arial" w:hAnsi="Arial"/>
                <w:sz w:val="20"/>
                <w:szCs w:val="20"/>
              </w:rPr>
            </w:pPr>
            <w:r w:rsidRPr="00765C97">
              <w:rPr>
                <w:rFonts w:ascii="Arial" w:hAnsi="Arial"/>
                <w:sz w:val="20"/>
                <w:szCs w:val="20"/>
              </w:rPr>
              <w:t>1 660</w:t>
            </w:r>
          </w:p>
        </w:tc>
      </w:tr>
      <w:tr w:rsidR="009A50C1" w:rsidRPr="00765C97" w:rsidTr="00A83C68">
        <w:trPr>
          <w:trHeight w:val="255"/>
        </w:trPr>
        <w:tc>
          <w:tcPr>
            <w:tcW w:w="4215" w:type="dxa"/>
            <w:tcBorders>
              <w:top w:val="nil"/>
              <w:left w:val="nil"/>
              <w:bottom w:val="nil"/>
              <w:right w:val="nil"/>
            </w:tcBorders>
            <w:vAlign w:val="center"/>
          </w:tcPr>
          <w:p w:rsidR="009A50C1" w:rsidRPr="00765C97" w:rsidRDefault="009A50C1" w:rsidP="00652D8D">
            <w:pPr>
              <w:ind w:left="66"/>
              <w:rPr>
                <w:rFonts w:ascii="Arial" w:hAnsi="Arial"/>
                <w:color w:val="000000"/>
                <w:sz w:val="20"/>
                <w:lang w:val="pl-PL"/>
              </w:rPr>
            </w:pPr>
            <w:r w:rsidRPr="00765C97">
              <w:rPr>
                <w:rFonts w:ascii="Arial" w:hAnsi="Arial"/>
                <w:sz w:val="20"/>
                <w:lang w:val="pl-PL" w:eastAsia="pl-PL"/>
              </w:rPr>
              <w:t xml:space="preserve"> Saldo RMK skonsolidowanych na 31.12.2011</w:t>
            </w:r>
          </w:p>
        </w:tc>
        <w:tc>
          <w:tcPr>
            <w:tcW w:w="1275" w:type="dxa"/>
            <w:tcBorders>
              <w:top w:val="nil"/>
              <w:left w:val="nil"/>
              <w:bottom w:val="nil"/>
              <w:right w:val="nil"/>
            </w:tcBorders>
            <w:vAlign w:val="center"/>
          </w:tcPr>
          <w:p w:rsidR="009A50C1" w:rsidRPr="00765C97" w:rsidRDefault="009A50C1" w:rsidP="007A03FC">
            <w:pPr>
              <w:ind w:right="120"/>
              <w:jc w:val="right"/>
              <w:rPr>
                <w:rFonts w:ascii="Arial" w:hAnsi="Arial" w:cs="Arial"/>
                <w:sz w:val="20"/>
                <w:szCs w:val="20"/>
              </w:rPr>
            </w:pPr>
            <w:r w:rsidRPr="00765C97">
              <w:rPr>
                <w:rFonts w:ascii="Arial" w:hAnsi="Arial" w:cs="Arial"/>
                <w:sz w:val="20"/>
                <w:szCs w:val="20"/>
              </w:rPr>
              <w:t>12 284</w:t>
            </w:r>
          </w:p>
        </w:tc>
        <w:tc>
          <w:tcPr>
            <w:tcW w:w="1418" w:type="dxa"/>
            <w:tcBorders>
              <w:top w:val="nil"/>
              <w:left w:val="nil"/>
              <w:bottom w:val="nil"/>
              <w:right w:val="nil"/>
            </w:tcBorders>
            <w:vAlign w:val="center"/>
          </w:tcPr>
          <w:p w:rsidR="009A50C1" w:rsidRPr="00765C97" w:rsidRDefault="009A50C1" w:rsidP="007A03FC">
            <w:pPr>
              <w:ind w:right="120"/>
              <w:jc w:val="right"/>
              <w:rPr>
                <w:rFonts w:ascii="Arial" w:hAnsi="Arial" w:cs="Arial"/>
                <w:sz w:val="20"/>
                <w:szCs w:val="20"/>
              </w:rPr>
            </w:pPr>
            <w:r w:rsidRPr="00765C97">
              <w:rPr>
                <w:rFonts w:ascii="Arial" w:hAnsi="Arial" w:cs="Arial"/>
                <w:sz w:val="20"/>
                <w:szCs w:val="20"/>
              </w:rPr>
              <w:t>8 363</w:t>
            </w:r>
          </w:p>
        </w:tc>
        <w:tc>
          <w:tcPr>
            <w:tcW w:w="1276" w:type="dxa"/>
            <w:tcBorders>
              <w:top w:val="nil"/>
              <w:left w:val="nil"/>
              <w:bottom w:val="nil"/>
              <w:right w:val="nil"/>
            </w:tcBorders>
            <w:vAlign w:val="center"/>
          </w:tcPr>
          <w:p w:rsidR="009A50C1" w:rsidRPr="00765C97" w:rsidRDefault="009A50C1" w:rsidP="007A03FC">
            <w:pPr>
              <w:ind w:right="120"/>
              <w:jc w:val="right"/>
              <w:rPr>
                <w:rFonts w:ascii="Arial" w:hAnsi="Arial" w:cs="Arial"/>
                <w:sz w:val="20"/>
                <w:szCs w:val="20"/>
              </w:rPr>
            </w:pPr>
            <w:r w:rsidRPr="00765C97">
              <w:rPr>
                <w:rFonts w:ascii="Arial" w:hAnsi="Arial" w:cs="Arial"/>
                <w:sz w:val="20"/>
                <w:szCs w:val="20"/>
              </w:rPr>
              <w:t>3 921</w:t>
            </w:r>
          </w:p>
        </w:tc>
      </w:tr>
      <w:tr w:rsidR="009A50C1" w:rsidRPr="00765C97" w:rsidTr="00A83C68">
        <w:trPr>
          <w:trHeight w:val="255"/>
        </w:trPr>
        <w:tc>
          <w:tcPr>
            <w:tcW w:w="4215" w:type="dxa"/>
            <w:tcBorders>
              <w:top w:val="nil"/>
              <w:left w:val="nil"/>
              <w:bottom w:val="nil"/>
              <w:right w:val="nil"/>
            </w:tcBorders>
            <w:vAlign w:val="center"/>
          </w:tcPr>
          <w:p w:rsidR="009A50C1" w:rsidRPr="00765C97" w:rsidRDefault="009A50C1" w:rsidP="00652D8D">
            <w:pPr>
              <w:ind w:left="66"/>
              <w:rPr>
                <w:rFonts w:ascii="Arial" w:hAnsi="Arial"/>
                <w:b/>
                <w:sz w:val="20"/>
                <w:lang w:val="pl-PL" w:eastAsia="pl-PL"/>
              </w:rPr>
            </w:pPr>
            <w:r w:rsidRPr="00765C97">
              <w:rPr>
                <w:rFonts w:ascii="Arial" w:hAnsi="Arial"/>
                <w:b/>
                <w:sz w:val="20"/>
                <w:lang w:val="pl-PL" w:eastAsia="pl-PL"/>
              </w:rPr>
              <w:t>Zmiana</w:t>
            </w:r>
          </w:p>
        </w:tc>
        <w:tc>
          <w:tcPr>
            <w:tcW w:w="1275" w:type="dxa"/>
            <w:tcBorders>
              <w:top w:val="nil"/>
              <w:left w:val="nil"/>
              <w:bottom w:val="nil"/>
              <w:right w:val="nil"/>
            </w:tcBorders>
            <w:vAlign w:val="center"/>
          </w:tcPr>
          <w:p w:rsidR="009A50C1" w:rsidRPr="00765C97" w:rsidRDefault="009A50C1" w:rsidP="007A03FC">
            <w:pPr>
              <w:ind w:right="120"/>
              <w:jc w:val="right"/>
              <w:rPr>
                <w:rFonts w:ascii="Arial" w:hAnsi="Arial" w:cs="Arial"/>
                <w:b/>
                <w:bCs/>
                <w:sz w:val="20"/>
                <w:szCs w:val="20"/>
              </w:rPr>
            </w:pPr>
            <w:r w:rsidRPr="00765C97">
              <w:rPr>
                <w:rFonts w:ascii="Arial" w:hAnsi="Arial" w:cs="Arial"/>
                <w:b/>
                <w:bCs/>
                <w:sz w:val="20"/>
                <w:szCs w:val="20"/>
              </w:rPr>
              <w:t>(3 172)</w:t>
            </w:r>
          </w:p>
        </w:tc>
        <w:tc>
          <w:tcPr>
            <w:tcW w:w="1418" w:type="dxa"/>
            <w:tcBorders>
              <w:top w:val="nil"/>
              <w:left w:val="nil"/>
              <w:bottom w:val="nil"/>
              <w:right w:val="nil"/>
            </w:tcBorders>
            <w:vAlign w:val="center"/>
          </w:tcPr>
          <w:p w:rsidR="009A50C1" w:rsidRPr="00765C97" w:rsidRDefault="009A50C1" w:rsidP="007A03FC">
            <w:pPr>
              <w:ind w:right="120"/>
              <w:jc w:val="right"/>
              <w:rPr>
                <w:rFonts w:ascii="Arial" w:hAnsi="Arial" w:cs="Arial"/>
                <w:b/>
                <w:bCs/>
                <w:sz w:val="20"/>
                <w:szCs w:val="20"/>
              </w:rPr>
            </w:pPr>
            <w:r w:rsidRPr="00765C97">
              <w:rPr>
                <w:rFonts w:ascii="Arial" w:hAnsi="Arial" w:cs="Arial"/>
                <w:b/>
                <w:bCs/>
                <w:sz w:val="20"/>
                <w:szCs w:val="20"/>
              </w:rPr>
              <w:t>(911)</w:t>
            </w:r>
          </w:p>
        </w:tc>
        <w:tc>
          <w:tcPr>
            <w:tcW w:w="1276" w:type="dxa"/>
            <w:tcBorders>
              <w:top w:val="nil"/>
              <w:left w:val="nil"/>
              <w:bottom w:val="nil"/>
              <w:right w:val="nil"/>
            </w:tcBorders>
            <w:vAlign w:val="center"/>
          </w:tcPr>
          <w:p w:rsidR="009A50C1" w:rsidRPr="00765C97" w:rsidRDefault="009A50C1" w:rsidP="007A03FC">
            <w:pPr>
              <w:ind w:right="120"/>
              <w:jc w:val="right"/>
              <w:rPr>
                <w:rFonts w:ascii="Arial" w:hAnsi="Arial" w:cs="Arial"/>
                <w:b/>
                <w:bCs/>
                <w:sz w:val="20"/>
                <w:szCs w:val="20"/>
              </w:rPr>
            </w:pPr>
            <w:r w:rsidRPr="00765C97">
              <w:rPr>
                <w:rFonts w:ascii="Arial" w:hAnsi="Arial" w:cs="Arial"/>
                <w:b/>
                <w:bCs/>
                <w:sz w:val="20"/>
                <w:szCs w:val="20"/>
              </w:rPr>
              <w:t xml:space="preserve">2 261    </w:t>
            </w:r>
          </w:p>
        </w:tc>
      </w:tr>
      <w:tr w:rsidR="00FC75BA" w:rsidRPr="00765C97" w:rsidTr="00FC75BA">
        <w:trPr>
          <w:trHeight w:val="255"/>
        </w:trPr>
        <w:tc>
          <w:tcPr>
            <w:tcW w:w="4215" w:type="dxa"/>
            <w:tcBorders>
              <w:top w:val="nil"/>
              <w:left w:val="nil"/>
              <w:bottom w:val="nil"/>
              <w:right w:val="nil"/>
            </w:tcBorders>
            <w:vAlign w:val="center"/>
          </w:tcPr>
          <w:p w:rsidR="00FC75BA" w:rsidRPr="00765C97" w:rsidRDefault="00FC75BA" w:rsidP="009A50C1">
            <w:pPr>
              <w:widowControl/>
              <w:autoSpaceDE/>
              <w:autoSpaceDN/>
              <w:ind w:left="66"/>
              <w:rPr>
                <w:rFonts w:ascii="Arial" w:hAnsi="Arial"/>
                <w:sz w:val="20"/>
                <w:lang w:val="pl-PL" w:eastAsia="pl-PL"/>
              </w:rPr>
            </w:pPr>
            <w:r w:rsidRPr="00765C97">
              <w:rPr>
                <w:rFonts w:ascii="Arial" w:hAnsi="Arial"/>
                <w:sz w:val="20"/>
                <w:lang w:val="pl-PL" w:eastAsia="pl-PL"/>
              </w:rPr>
              <w:t xml:space="preserve"> Saldo RMK skonsolidowanych na 01.01.2012</w:t>
            </w:r>
          </w:p>
        </w:tc>
        <w:tc>
          <w:tcPr>
            <w:tcW w:w="1275" w:type="dxa"/>
            <w:tcBorders>
              <w:top w:val="nil"/>
              <w:left w:val="nil"/>
              <w:bottom w:val="nil"/>
              <w:right w:val="nil"/>
            </w:tcBorders>
            <w:vAlign w:val="center"/>
          </w:tcPr>
          <w:p w:rsidR="00FC75BA" w:rsidRPr="00765C97" w:rsidRDefault="00FC75BA" w:rsidP="00FC75BA">
            <w:pPr>
              <w:ind w:right="120"/>
              <w:jc w:val="right"/>
              <w:rPr>
                <w:rFonts w:ascii="Arial" w:hAnsi="Arial"/>
                <w:sz w:val="20"/>
                <w:szCs w:val="20"/>
              </w:rPr>
            </w:pPr>
            <w:r w:rsidRPr="00765C97">
              <w:rPr>
                <w:rFonts w:ascii="Arial" w:hAnsi="Arial"/>
                <w:sz w:val="20"/>
                <w:szCs w:val="20"/>
              </w:rPr>
              <w:t xml:space="preserve">12 284    </w:t>
            </w:r>
          </w:p>
        </w:tc>
        <w:tc>
          <w:tcPr>
            <w:tcW w:w="1418" w:type="dxa"/>
            <w:tcBorders>
              <w:top w:val="nil"/>
              <w:left w:val="nil"/>
              <w:bottom w:val="nil"/>
              <w:right w:val="nil"/>
            </w:tcBorders>
            <w:vAlign w:val="center"/>
          </w:tcPr>
          <w:p w:rsidR="00FC75BA" w:rsidRPr="00765C97" w:rsidRDefault="00FC75BA" w:rsidP="00FC75BA">
            <w:pPr>
              <w:ind w:right="120"/>
              <w:jc w:val="right"/>
              <w:rPr>
                <w:rFonts w:ascii="Arial" w:hAnsi="Arial"/>
                <w:sz w:val="20"/>
                <w:szCs w:val="20"/>
              </w:rPr>
            </w:pPr>
            <w:r w:rsidRPr="00765C97">
              <w:rPr>
                <w:rFonts w:ascii="Arial" w:hAnsi="Arial"/>
                <w:sz w:val="20"/>
                <w:szCs w:val="20"/>
              </w:rPr>
              <w:t xml:space="preserve">8 363    </w:t>
            </w:r>
          </w:p>
        </w:tc>
        <w:tc>
          <w:tcPr>
            <w:tcW w:w="1276" w:type="dxa"/>
            <w:tcBorders>
              <w:top w:val="nil"/>
              <w:left w:val="nil"/>
              <w:bottom w:val="nil"/>
              <w:right w:val="nil"/>
            </w:tcBorders>
            <w:vAlign w:val="center"/>
          </w:tcPr>
          <w:p w:rsidR="00FC75BA" w:rsidRPr="00765C97" w:rsidRDefault="00FC75BA" w:rsidP="00FC75BA">
            <w:pPr>
              <w:ind w:right="120"/>
              <w:jc w:val="right"/>
              <w:rPr>
                <w:rFonts w:ascii="Arial" w:hAnsi="Arial"/>
                <w:sz w:val="20"/>
                <w:szCs w:val="20"/>
              </w:rPr>
            </w:pPr>
            <w:r w:rsidRPr="00765C97">
              <w:rPr>
                <w:rFonts w:ascii="Arial" w:hAnsi="Arial"/>
                <w:sz w:val="20"/>
                <w:szCs w:val="20"/>
              </w:rPr>
              <w:t xml:space="preserve">3 921    </w:t>
            </w:r>
          </w:p>
        </w:tc>
      </w:tr>
      <w:tr w:rsidR="00FC75BA" w:rsidRPr="00765C97" w:rsidTr="00FC75BA">
        <w:trPr>
          <w:trHeight w:val="255"/>
        </w:trPr>
        <w:tc>
          <w:tcPr>
            <w:tcW w:w="4215" w:type="dxa"/>
            <w:tcBorders>
              <w:top w:val="nil"/>
              <w:left w:val="nil"/>
              <w:bottom w:val="nil"/>
              <w:right w:val="nil"/>
            </w:tcBorders>
            <w:vAlign w:val="center"/>
          </w:tcPr>
          <w:p w:rsidR="00FC75BA" w:rsidRPr="00765C97" w:rsidRDefault="00FC75BA" w:rsidP="00106E97">
            <w:pPr>
              <w:ind w:left="66"/>
              <w:rPr>
                <w:rFonts w:ascii="Arial" w:hAnsi="Arial"/>
                <w:color w:val="000000"/>
                <w:sz w:val="20"/>
                <w:lang w:val="pl-PL"/>
              </w:rPr>
            </w:pPr>
            <w:r w:rsidRPr="00765C97">
              <w:rPr>
                <w:rFonts w:ascii="Arial" w:hAnsi="Arial"/>
                <w:sz w:val="20"/>
                <w:lang w:val="pl-PL" w:eastAsia="pl-PL"/>
              </w:rPr>
              <w:t xml:space="preserve"> Saldo RMK skonsolidowanych na 31.12.2012</w:t>
            </w:r>
          </w:p>
        </w:tc>
        <w:tc>
          <w:tcPr>
            <w:tcW w:w="1275" w:type="dxa"/>
            <w:tcBorders>
              <w:top w:val="nil"/>
              <w:left w:val="nil"/>
              <w:bottom w:val="nil"/>
              <w:right w:val="nil"/>
            </w:tcBorders>
            <w:vAlign w:val="center"/>
          </w:tcPr>
          <w:p w:rsidR="00FC75BA" w:rsidRPr="00765C97" w:rsidRDefault="002D56D8" w:rsidP="00FC75BA">
            <w:pPr>
              <w:ind w:right="120"/>
              <w:jc w:val="right"/>
              <w:rPr>
                <w:rFonts w:ascii="Arial" w:hAnsi="Arial"/>
                <w:sz w:val="20"/>
                <w:szCs w:val="20"/>
              </w:rPr>
            </w:pPr>
            <w:r w:rsidRPr="00765C97">
              <w:rPr>
                <w:rFonts w:ascii="Arial" w:hAnsi="Arial"/>
                <w:sz w:val="20"/>
                <w:szCs w:val="20"/>
              </w:rPr>
              <w:t>10 165</w:t>
            </w:r>
            <w:r w:rsidR="00FC75BA" w:rsidRPr="00765C97">
              <w:rPr>
                <w:rFonts w:ascii="Arial" w:hAnsi="Arial"/>
                <w:sz w:val="20"/>
                <w:szCs w:val="20"/>
              </w:rPr>
              <w:t xml:space="preserve">    </w:t>
            </w:r>
          </w:p>
        </w:tc>
        <w:tc>
          <w:tcPr>
            <w:tcW w:w="1418" w:type="dxa"/>
            <w:tcBorders>
              <w:top w:val="nil"/>
              <w:left w:val="nil"/>
              <w:bottom w:val="nil"/>
              <w:right w:val="nil"/>
            </w:tcBorders>
            <w:vAlign w:val="center"/>
          </w:tcPr>
          <w:p w:rsidR="00FC75BA" w:rsidRPr="00765C97" w:rsidRDefault="00FC75BA" w:rsidP="00641C22">
            <w:pPr>
              <w:ind w:right="120"/>
              <w:jc w:val="right"/>
              <w:rPr>
                <w:rFonts w:ascii="Arial" w:hAnsi="Arial"/>
                <w:sz w:val="20"/>
                <w:szCs w:val="20"/>
              </w:rPr>
            </w:pPr>
            <w:r w:rsidRPr="00765C97">
              <w:rPr>
                <w:rFonts w:ascii="Arial" w:hAnsi="Arial"/>
                <w:sz w:val="20"/>
                <w:szCs w:val="20"/>
              </w:rPr>
              <w:t xml:space="preserve">17 </w:t>
            </w:r>
            <w:r w:rsidR="002D56D8" w:rsidRPr="00765C97">
              <w:rPr>
                <w:rFonts w:ascii="Arial" w:hAnsi="Arial"/>
                <w:sz w:val="20"/>
                <w:szCs w:val="20"/>
              </w:rPr>
              <w:t>04</w:t>
            </w:r>
            <w:r w:rsidR="00641C22" w:rsidRPr="00765C97">
              <w:rPr>
                <w:rFonts w:ascii="Arial" w:hAnsi="Arial"/>
                <w:sz w:val="20"/>
                <w:szCs w:val="20"/>
              </w:rPr>
              <w:t>5</w:t>
            </w:r>
            <w:r w:rsidRPr="00765C97">
              <w:rPr>
                <w:rFonts w:ascii="Arial" w:hAnsi="Arial"/>
                <w:sz w:val="20"/>
                <w:szCs w:val="20"/>
              </w:rPr>
              <w:t xml:space="preserve">    </w:t>
            </w:r>
          </w:p>
        </w:tc>
        <w:tc>
          <w:tcPr>
            <w:tcW w:w="1276" w:type="dxa"/>
            <w:tcBorders>
              <w:top w:val="nil"/>
              <w:left w:val="nil"/>
              <w:bottom w:val="nil"/>
              <w:right w:val="nil"/>
            </w:tcBorders>
            <w:vAlign w:val="center"/>
          </w:tcPr>
          <w:p w:rsidR="00FC75BA" w:rsidRPr="00765C97" w:rsidRDefault="00FC75BA" w:rsidP="002D56D8">
            <w:pPr>
              <w:ind w:right="120"/>
              <w:jc w:val="right"/>
              <w:rPr>
                <w:rFonts w:ascii="Arial" w:hAnsi="Arial"/>
                <w:sz w:val="20"/>
                <w:szCs w:val="20"/>
              </w:rPr>
            </w:pPr>
            <w:r w:rsidRPr="00765C97">
              <w:rPr>
                <w:rFonts w:ascii="Arial" w:hAnsi="Arial"/>
                <w:sz w:val="20"/>
                <w:szCs w:val="20"/>
              </w:rPr>
              <w:t>(6 </w:t>
            </w:r>
            <w:r w:rsidR="002D56D8" w:rsidRPr="00765C97">
              <w:rPr>
                <w:rFonts w:ascii="Arial" w:hAnsi="Arial"/>
                <w:sz w:val="20"/>
                <w:szCs w:val="20"/>
              </w:rPr>
              <w:t>880</w:t>
            </w:r>
            <w:r w:rsidRPr="00765C97">
              <w:rPr>
                <w:rFonts w:ascii="Arial" w:hAnsi="Arial"/>
                <w:sz w:val="20"/>
                <w:szCs w:val="20"/>
              </w:rPr>
              <w:t xml:space="preserve">)    </w:t>
            </w:r>
          </w:p>
        </w:tc>
      </w:tr>
      <w:tr w:rsidR="00FC75BA" w:rsidRPr="00765C97" w:rsidTr="00FC75BA">
        <w:trPr>
          <w:trHeight w:val="255"/>
        </w:trPr>
        <w:tc>
          <w:tcPr>
            <w:tcW w:w="4215" w:type="dxa"/>
            <w:tcBorders>
              <w:top w:val="nil"/>
              <w:left w:val="nil"/>
              <w:bottom w:val="nil"/>
              <w:right w:val="nil"/>
            </w:tcBorders>
            <w:vAlign w:val="center"/>
          </w:tcPr>
          <w:p w:rsidR="00FC75BA" w:rsidRPr="00765C97" w:rsidRDefault="00FC75BA">
            <w:pPr>
              <w:ind w:left="66"/>
              <w:rPr>
                <w:rFonts w:ascii="Arial" w:hAnsi="Arial"/>
                <w:b/>
                <w:sz w:val="20"/>
                <w:lang w:val="pl-PL" w:eastAsia="pl-PL"/>
              </w:rPr>
            </w:pPr>
            <w:r w:rsidRPr="00765C97">
              <w:rPr>
                <w:rFonts w:ascii="Arial" w:hAnsi="Arial"/>
                <w:b/>
                <w:sz w:val="20"/>
                <w:lang w:val="pl-PL" w:eastAsia="pl-PL"/>
              </w:rPr>
              <w:t>Zmiana</w:t>
            </w:r>
          </w:p>
        </w:tc>
        <w:tc>
          <w:tcPr>
            <w:tcW w:w="1275" w:type="dxa"/>
            <w:tcBorders>
              <w:top w:val="nil"/>
              <w:left w:val="nil"/>
              <w:bottom w:val="nil"/>
              <w:right w:val="nil"/>
            </w:tcBorders>
            <w:vAlign w:val="center"/>
          </w:tcPr>
          <w:p w:rsidR="00FC75BA" w:rsidRPr="00765C97" w:rsidRDefault="002D56D8" w:rsidP="00FC75BA">
            <w:pPr>
              <w:ind w:right="120"/>
              <w:jc w:val="right"/>
              <w:rPr>
                <w:rFonts w:ascii="Arial" w:hAnsi="Arial"/>
                <w:b/>
                <w:sz w:val="20"/>
                <w:szCs w:val="20"/>
              </w:rPr>
            </w:pPr>
            <w:r w:rsidRPr="00765C97">
              <w:rPr>
                <w:rFonts w:ascii="Arial" w:hAnsi="Arial"/>
                <w:b/>
                <w:sz w:val="20"/>
                <w:szCs w:val="20"/>
              </w:rPr>
              <w:t>2 119</w:t>
            </w:r>
            <w:r w:rsidR="00FC75BA" w:rsidRPr="00765C97">
              <w:rPr>
                <w:rFonts w:ascii="Arial" w:hAnsi="Arial"/>
                <w:b/>
                <w:sz w:val="20"/>
                <w:szCs w:val="20"/>
              </w:rPr>
              <w:t xml:space="preserve">    </w:t>
            </w:r>
          </w:p>
        </w:tc>
        <w:tc>
          <w:tcPr>
            <w:tcW w:w="1418" w:type="dxa"/>
            <w:tcBorders>
              <w:top w:val="nil"/>
              <w:left w:val="nil"/>
              <w:bottom w:val="nil"/>
              <w:right w:val="nil"/>
            </w:tcBorders>
            <w:vAlign w:val="center"/>
          </w:tcPr>
          <w:p w:rsidR="00FC75BA" w:rsidRPr="00765C97" w:rsidRDefault="00FC75BA" w:rsidP="00641C22">
            <w:pPr>
              <w:ind w:right="120"/>
              <w:jc w:val="right"/>
              <w:rPr>
                <w:rFonts w:ascii="Arial" w:hAnsi="Arial"/>
                <w:b/>
                <w:sz w:val="20"/>
                <w:szCs w:val="20"/>
              </w:rPr>
            </w:pPr>
            <w:r w:rsidRPr="00765C97">
              <w:rPr>
                <w:rFonts w:ascii="Arial" w:hAnsi="Arial"/>
                <w:b/>
                <w:sz w:val="20"/>
                <w:szCs w:val="20"/>
              </w:rPr>
              <w:t>(</w:t>
            </w:r>
            <w:r w:rsidR="002D56D8" w:rsidRPr="00765C97">
              <w:rPr>
                <w:rFonts w:ascii="Arial" w:hAnsi="Arial"/>
                <w:b/>
                <w:sz w:val="20"/>
                <w:szCs w:val="20"/>
              </w:rPr>
              <w:t>8 68</w:t>
            </w:r>
            <w:r w:rsidR="00641C22" w:rsidRPr="00765C97">
              <w:rPr>
                <w:rFonts w:ascii="Arial" w:hAnsi="Arial"/>
                <w:b/>
                <w:sz w:val="20"/>
                <w:szCs w:val="20"/>
              </w:rPr>
              <w:t>2</w:t>
            </w:r>
            <w:r w:rsidRPr="00765C97">
              <w:rPr>
                <w:rFonts w:ascii="Arial" w:hAnsi="Arial"/>
                <w:b/>
                <w:sz w:val="20"/>
                <w:szCs w:val="20"/>
              </w:rPr>
              <w:t xml:space="preserve">)    </w:t>
            </w:r>
          </w:p>
        </w:tc>
        <w:tc>
          <w:tcPr>
            <w:tcW w:w="1276" w:type="dxa"/>
            <w:tcBorders>
              <w:top w:val="nil"/>
              <w:left w:val="nil"/>
              <w:bottom w:val="nil"/>
              <w:right w:val="nil"/>
            </w:tcBorders>
            <w:vAlign w:val="center"/>
          </w:tcPr>
          <w:p w:rsidR="00FC75BA" w:rsidRPr="00765C97" w:rsidRDefault="00FC75BA" w:rsidP="00641C22">
            <w:pPr>
              <w:ind w:right="120"/>
              <w:jc w:val="right"/>
              <w:rPr>
                <w:rFonts w:ascii="Arial" w:hAnsi="Arial"/>
                <w:b/>
                <w:sz w:val="20"/>
                <w:szCs w:val="20"/>
              </w:rPr>
            </w:pPr>
            <w:r w:rsidRPr="00765C97">
              <w:rPr>
                <w:rFonts w:ascii="Arial" w:hAnsi="Arial"/>
                <w:b/>
                <w:sz w:val="20"/>
                <w:szCs w:val="20"/>
              </w:rPr>
              <w:t>(10 </w:t>
            </w:r>
            <w:r w:rsidR="002D56D8" w:rsidRPr="00765C97">
              <w:rPr>
                <w:rFonts w:ascii="Arial" w:hAnsi="Arial"/>
                <w:b/>
                <w:sz w:val="20"/>
                <w:szCs w:val="20"/>
              </w:rPr>
              <w:t>80</w:t>
            </w:r>
            <w:r w:rsidR="00641C22" w:rsidRPr="00765C97">
              <w:rPr>
                <w:rFonts w:ascii="Arial" w:hAnsi="Arial"/>
                <w:b/>
                <w:sz w:val="20"/>
                <w:szCs w:val="20"/>
              </w:rPr>
              <w:t>1</w:t>
            </w:r>
            <w:r w:rsidRPr="00765C97">
              <w:rPr>
                <w:rFonts w:ascii="Arial" w:hAnsi="Arial"/>
                <w:b/>
                <w:sz w:val="20"/>
                <w:szCs w:val="20"/>
              </w:rPr>
              <w:t xml:space="preserve">)    </w:t>
            </w:r>
          </w:p>
        </w:tc>
      </w:tr>
      <w:tr w:rsidR="009A50C1" w:rsidRPr="00F346A4">
        <w:trPr>
          <w:trHeight w:val="255"/>
        </w:trPr>
        <w:tc>
          <w:tcPr>
            <w:tcW w:w="8184" w:type="dxa"/>
            <w:gridSpan w:val="4"/>
            <w:tcBorders>
              <w:top w:val="nil"/>
              <w:left w:val="nil"/>
              <w:bottom w:val="nil"/>
              <w:right w:val="nil"/>
            </w:tcBorders>
            <w:vAlign w:val="center"/>
          </w:tcPr>
          <w:p w:rsidR="009A50C1" w:rsidRPr="00765C97" w:rsidRDefault="009A50C1">
            <w:pPr>
              <w:tabs>
                <w:tab w:val="left" w:pos="1349"/>
              </w:tabs>
              <w:ind w:left="66" w:right="120"/>
              <w:rPr>
                <w:rFonts w:ascii="Arial" w:hAnsi="Arial"/>
                <w:i/>
                <w:sz w:val="20"/>
                <w:lang w:val="pl-PL"/>
              </w:rPr>
            </w:pPr>
            <w:r w:rsidRPr="00765C97">
              <w:rPr>
                <w:rFonts w:ascii="Arial" w:hAnsi="Arial"/>
                <w:i/>
                <w:sz w:val="20"/>
                <w:lang w:val="pl-PL" w:eastAsia="pl-PL"/>
              </w:rPr>
              <w:t>Różnica zmiany RMK księgowych do przeliczeń kontraktów (wg MSR 11).</w:t>
            </w:r>
          </w:p>
        </w:tc>
      </w:tr>
    </w:tbl>
    <w:p w:rsidR="00833CBA" w:rsidRPr="00765C97" w:rsidRDefault="00833CBA" w:rsidP="002D56D8">
      <w:pPr>
        <w:rPr>
          <w:sz w:val="20"/>
          <w:lang w:val="pl-PL"/>
        </w:rPr>
      </w:pPr>
      <w:bookmarkStart w:id="65" w:name="_Toc114460695"/>
      <w:bookmarkStart w:id="66" w:name="_Toc115093963"/>
      <w:bookmarkStart w:id="67" w:name="_Toc115094342"/>
      <w:bookmarkStart w:id="68" w:name="_Toc115094516"/>
    </w:p>
    <w:p w:rsidR="00833CBA" w:rsidRPr="00765C97" w:rsidRDefault="00833CBA">
      <w:pPr>
        <w:widowControl/>
        <w:autoSpaceDE/>
        <w:autoSpaceDN/>
        <w:rPr>
          <w:rFonts w:ascii="Arial" w:hAnsi="Arial" w:cs="Arial"/>
          <w:b/>
          <w:bCs/>
          <w:sz w:val="20"/>
          <w:szCs w:val="26"/>
          <w:lang w:val="pl-PL"/>
        </w:rPr>
      </w:pPr>
      <w:r w:rsidRPr="00765C97">
        <w:rPr>
          <w:sz w:val="20"/>
          <w:lang w:val="pl-PL"/>
        </w:rPr>
        <w:br w:type="page"/>
      </w:r>
    </w:p>
    <w:p w:rsidR="00B24DA9" w:rsidRPr="00765C97" w:rsidRDefault="00B24DA9" w:rsidP="00135A9A">
      <w:pPr>
        <w:pStyle w:val="Nagwek3"/>
        <w:numPr>
          <w:ilvl w:val="1"/>
          <w:numId w:val="22"/>
        </w:numPr>
        <w:spacing w:after="240"/>
        <w:ind w:left="709" w:hanging="567"/>
        <w:rPr>
          <w:sz w:val="20"/>
          <w:lang w:val="pl-PL"/>
        </w:rPr>
      </w:pPr>
      <w:bookmarkStart w:id="69" w:name="_Toc353973226"/>
      <w:r w:rsidRPr="00765C97">
        <w:rPr>
          <w:sz w:val="20"/>
          <w:lang w:val="pl-PL"/>
        </w:rPr>
        <w:t>Kredyty, pożyczki</w:t>
      </w:r>
      <w:bookmarkEnd w:id="65"/>
      <w:bookmarkEnd w:id="66"/>
      <w:bookmarkEnd w:id="67"/>
      <w:bookmarkEnd w:id="68"/>
      <w:bookmarkEnd w:id="69"/>
    </w:p>
    <w:p w:rsidR="00B24DA9" w:rsidRPr="00765C97" w:rsidRDefault="00B24DA9">
      <w:pPr>
        <w:spacing w:line="20" w:lineRule="exact"/>
        <w:jc w:val="center"/>
        <w:rPr>
          <w:rFonts w:ascii="Arial" w:hAnsi="Arial"/>
          <w:sz w:val="20"/>
          <w:lang w:val="pl-PL"/>
        </w:rPr>
      </w:pPr>
    </w:p>
    <w:tbl>
      <w:tblPr>
        <w:tblW w:w="0" w:type="auto"/>
        <w:tblInd w:w="180" w:type="dxa"/>
        <w:tblLayout w:type="fixed"/>
        <w:tblCellMar>
          <w:left w:w="0" w:type="dxa"/>
          <w:right w:w="0" w:type="dxa"/>
        </w:tblCellMar>
        <w:tblLook w:val="0000"/>
      </w:tblPr>
      <w:tblGrid>
        <w:gridCol w:w="4260"/>
        <w:gridCol w:w="2040"/>
        <w:gridCol w:w="1920"/>
      </w:tblGrid>
      <w:tr w:rsidR="00B24DA9" w:rsidRPr="00765C97">
        <w:trPr>
          <w:trHeight w:val="255"/>
        </w:trPr>
        <w:tc>
          <w:tcPr>
            <w:tcW w:w="4260" w:type="dxa"/>
            <w:tcBorders>
              <w:left w:val="nil"/>
              <w:bottom w:val="nil"/>
              <w:right w:val="nil"/>
            </w:tcBorders>
          </w:tcPr>
          <w:p w:rsidR="00B24DA9" w:rsidRPr="00765C97" w:rsidRDefault="00B24DA9">
            <w:pPr>
              <w:spacing w:before="20" w:after="20"/>
              <w:rPr>
                <w:rFonts w:ascii="Arial" w:hAnsi="Arial"/>
                <w:b/>
                <w:spacing w:val="10"/>
                <w:sz w:val="20"/>
                <w:lang w:val="pl-PL"/>
              </w:rPr>
            </w:pPr>
          </w:p>
        </w:tc>
        <w:tc>
          <w:tcPr>
            <w:tcW w:w="2040" w:type="dxa"/>
            <w:tcBorders>
              <w:left w:val="nil"/>
              <w:right w:val="nil"/>
            </w:tcBorders>
            <w:vAlign w:val="center"/>
          </w:tcPr>
          <w:p w:rsidR="00B24DA9" w:rsidRPr="00765C97" w:rsidRDefault="00B24DA9" w:rsidP="00106E97">
            <w:pPr>
              <w:spacing w:before="20" w:after="20"/>
              <w:ind w:right="101"/>
              <w:jc w:val="right"/>
              <w:rPr>
                <w:rFonts w:ascii="Arial" w:hAnsi="Arial"/>
                <w:b/>
                <w:sz w:val="20"/>
                <w:lang w:val="pl-PL"/>
              </w:rPr>
            </w:pPr>
            <w:r w:rsidRPr="00765C97">
              <w:rPr>
                <w:rFonts w:ascii="Arial" w:hAnsi="Arial"/>
                <w:b/>
                <w:sz w:val="20"/>
                <w:lang w:val="pl-PL"/>
              </w:rPr>
              <w:t>31 grudnia 20</w:t>
            </w:r>
            <w:r w:rsidR="00ED0ABA" w:rsidRPr="00765C97">
              <w:rPr>
                <w:rFonts w:ascii="Arial" w:hAnsi="Arial"/>
                <w:b/>
                <w:sz w:val="20"/>
                <w:lang w:val="pl-PL"/>
              </w:rPr>
              <w:t>1</w:t>
            </w:r>
            <w:r w:rsidR="0019506E" w:rsidRPr="00765C97">
              <w:rPr>
                <w:rFonts w:ascii="Arial" w:hAnsi="Arial"/>
                <w:b/>
                <w:sz w:val="20"/>
                <w:lang w:val="pl-PL"/>
              </w:rPr>
              <w:t>2</w:t>
            </w:r>
            <w:r w:rsidRPr="00765C97">
              <w:rPr>
                <w:rFonts w:ascii="Arial" w:hAnsi="Arial"/>
                <w:b/>
                <w:sz w:val="20"/>
                <w:lang w:val="pl-PL"/>
              </w:rPr>
              <w:t xml:space="preserve"> r.</w:t>
            </w:r>
          </w:p>
        </w:tc>
        <w:tc>
          <w:tcPr>
            <w:tcW w:w="1920" w:type="dxa"/>
            <w:tcBorders>
              <w:left w:val="nil"/>
              <w:right w:val="nil"/>
            </w:tcBorders>
            <w:vAlign w:val="center"/>
          </w:tcPr>
          <w:p w:rsidR="00B24DA9" w:rsidRPr="00765C97" w:rsidRDefault="00B24DA9" w:rsidP="00106E97">
            <w:pPr>
              <w:ind w:right="101"/>
              <w:jc w:val="right"/>
              <w:rPr>
                <w:rFonts w:ascii="Arial" w:hAnsi="Arial"/>
                <w:b/>
                <w:sz w:val="20"/>
                <w:lang w:val="pl-PL"/>
              </w:rPr>
            </w:pPr>
            <w:r w:rsidRPr="00765C97">
              <w:rPr>
                <w:rFonts w:ascii="Arial" w:hAnsi="Arial"/>
                <w:b/>
                <w:sz w:val="20"/>
                <w:lang w:val="pl-PL"/>
              </w:rPr>
              <w:t>31 grudnia 20</w:t>
            </w:r>
            <w:r w:rsidR="0019506E" w:rsidRPr="00765C97">
              <w:rPr>
                <w:rFonts w:ascii="Arial" w:hAnsi="Arial"/>
                <w:b/>
                <w:sz w:val="20"/>
                <w:lang w:val="pl-PL"/>
              </w:rPr>
              <w:t>11</w:t>
            </w:r>
            <w:r w:rsidRPr="00765C97">
              <w:rPr>
                <w:rFonts w:ascii="Arial" w:hAnsi="Arial"/>
                <w:b/>
                <w:sz w:val="20"/>
                <w:lang w:val="pl-PL"/>
              </w:rPr>
              <w:t xml:space="preserve"> r.</w:t>
            </w:r>
          </w:p>
        </w:tc>
      </w:tr>
      <w:tr w:rsidR="00FC75BA" w:rsidRPr="00765C97">
        <w:trPr>
          <w:trHeight w:val="255"/>
        </w:trPr>
        <w:tc>
          <w:tcPr>
            <w:tcW w:w="4260" w:type="dxa"/>
            <w:tcBorders>
              <w:top w:val="nil"/>
              <w:left w:val="nil"/>
              <w:bottom w:val="nil"/>
              <w:right w:val="nil"/>
            </w:tcBorders>
            <w:vAlign w:val="center"/>
          </w:tcPr>
          <w:p w:rsidR="00FC75BA" w:rsidRPr="00765C97" w:rsidRDefault="00FC75BA">
            <w:pPr>
              <w:spacing w:before="20" w:after="20"/>
              <w:rPr>
                <w:rFonts w:ascii="Arial" w:hAnsi="Arial"/>
                <w:b/>
                <w:sz w:val="20"/>
                <w:lang w:val="pl-PL"/>
              </w:rPr>
            </w:pPr>
            <w:r w:rsidRPr="00765C97">
              <w:rPr>
                <w:rFonts w:ascii="Arial" w:hAnsi="Arial"/>
                <w:b/>
                <w:sz w:val="20"/>
                <w:lang w:val="pl-PL"/>
              </w:rPr>
              <w:t>Długoterminowe</w:t>
            </w:r>
          </w:p>
          <w:p w:rsidR="00FC75BA" w:rsidRPr="00765C97" w:rsidRDefault="00FC75BA">
            <w:pPr>
              <w:spacing w:before="20" w:after="20"/>
              <w:rPr>
                <w:rFonts w:ascii="Arial" w:hAnsi="Arial"/>
                <w:sz w:val="20"/>
                <w:lang w:val="pl-PL"/>
              </w:rPr>
            </w:pPr>
            <w:r w:rsidRPr="00765C97">
              <w:rPr>
                <w:rFonts w:ascii="Arial" w:hAnsi="Arial"/>
                <w:sz w:val="20"/>
                <w:lang w:val="pl-PL"/>
              </w:rPr>
              <w:t>Kredyty bankowe</w:t>
            </w:r>
          </w:p>
        </w:tc>
        <w:tc>
          <w:tcPr>
            <w:tcW w:w="2040" w:type="dxa"/>
            <w:tcBorders>
              <w:top w:val="nil"/>
              <w:left w:val="nil"/>
              <w:right w:val="nil"/>
            </w:tcBorders>
            <w:vAlign w:val="center"/>
          </w:tcPr>
          <w:p w:rsidR="002757E9" w:rsidRPr="00765C97" w:rsidRDefault="002757E9" w:rsidP="005D7C6A">
            <w:pPr>
              <w:spacing w:before="20" w:after="20"/>
              <w:ind w:right="120"/>
              <w:jc w:val="right"/>
              <w:rPr>
                <w:rFonts w:ascii="Arial" w:hAnsi="Arial"/>
                <w:sz w:val="20"/>
                <w:lang w:val="pl-PL"/>
              </w:rPr>
            </w:pPr>
          </w:p>
          <w:p w:rsidR="00FC75BA" w:rsidRPr="00765C97" w:rsidRDefault="00FC75BA" w:rsidP="005D7C6A">
            <w:pPr>
              <w:spacing w:before="20" w:after="20"/>
              <w:ind w:right="120"/>
              <w:jc w:val="right"/>
              <w:rPr>
                <w:rFonts w:ascii="Arial" w:hAnsi="Arial"/>
                <w:sz w:val="20"/>
                <w:lang w:val="pl-PL"/>
              </w:rPr>
            </w:pPr>
            <w:r w:rsidRPr="00765C97">
              <w:rPr>
                <w:rFonts w:ascii="Arial" w:hAnsi="Arial"/>
                <w:sz w:val="20"/>
                <w:lang w:val="pl-PL"/>
              </w:rPr>
              <w:t>94 892</w:t>
            </w:r>
          </w:p>
        </w:tc>
        <w:tc>
          <w:tcPr>
            <w:tcW w:w="1920" w:type="dxa"/>
            <w:tcBorders>
              <w:top w:val="nil"/>
              <w:left w:val="nil"/>
              <w:right w:val="nil"/>
            </w:tcBorders>
            <w:vAlign w:val="center"/>
          </w:tcPr>
          <w:p w:rsidR="00FC75BA" w:rsidRPr="00765C97" w:rsidRDefault="00FC75BA" w:rsidP="007A03FC">
            <w:pPr>
              <w:spacing w:before="20" w:after="20"/>
              <w:ind w:right="120"/>
              <w:jc w:val="right"/>
              <w:rPr>
                <w:rFonts w:ascii="Arial" w:hAnsi="Arial"/>
                <w:sz w:val="20"/>
                <w:lang w:val="pl-PL"/>
              </w:rPr>
            </w:pPr>
          </w:p>
          <w:p w:rsidR="00FC75BA" w:rsidRPr="00765C97" w:rsidRDefault="00FC75BA" w:rsidP="007A03FC">
            <w:pPr>
              <w:spacing w:before="20" w:after="20"/>
              <w:ind w:right="120"/>
              <w:jc w:val="right"/>
              <w:rPr>
                <w:rFonts w:ascii="Arial" w:hAnsi="Arial"/>
                <w:sz w:val="20"/>
                <w:lang w:val="pl-PL"/>
              </w:rPr>
            </w:pPr>
            <w:r w:rsidRPr="00765C97">
              <w:rPr>
                <w:rFonts w:ascii="Arial" w:hAnsi="Arial"/>
                <w:sz w:val="20"/>
                <w:lang w:val="pl-PL"/>
              </w:rPr>
              <w:t>88 895</w:t>
            </w:r>
          </w:p>
        </w:tc>
      </w:tr>
      <w:tr w:rsidR="00FC75BA" w:rsidRPr="00765C97" w:rsidTr="007A03FC">
        <w:trPr>
          <w:trHeight w:val="255"/>
        </w:trPr>
        <w:tc>
          <w:tcPr>
            <w:tcW w:w="4260" w:type="dxa"/>
            <w:tcBorders>
              <w:top w:val="nil"/>
              <w:left w:val="nil"/>
              <w:bottom w:val="nil"/>
              <w:right w:val="nil"/>
            </w:tcBorders>
            <w:vAlign w:val="center"/>
          </w:tcPr>
          <w:p w:rsidR="00FC75BA" w:rsidRPr="00765C97" w:rsidRDefault="00FC75BA">
            <w:pPr>
              <w:spacing w:before="20" w:after="20"/>
              <w:rPr>
                <w:rFonts w:ascii="Arial" w:hAnsi="Arial"/>
                <w:sz w:val="20"/>
                <w:lang w:val="pl-PL"/>
              </w:rPr>
            </w:pPr>
            <w:r w:rsidRPr="00765C97">
              <w:rPr>
                <w:rFonts w:ascii="Arial" w:hAnsi="Arial"/>
                <w:sz w:val="20"/>
                <w:lang w:val="pl-PL"/>
              </w:rPr>
              <w:t xml:space="preserve">Pożyczki </w:t>
            </w:r>
          </w:p>
        </w:tc>
        <w:tc>
          <w:tcPr>
            <w:tcW w:w="2040" w:type="dxa"/>
            <w:tcBorders>
              <w:top w:val="nil"/>
              <w:left w:val="nil"/>
              <w:bottom w:val="single" w:sz="4" w:space="0" w:color="auto"/>
              <w:right w:val="nil"/>
            </w:tcBorders>
            <w:vAlign w:val="center"/>
          </w:tcPr>
          <w:p w:rsidR="00FC75BA" w:rsidRPr="00765C97" w:rsidRDefault="00FC75BA" w:rsidP="005D7C6A">
            <w:pPr>
              <w:spacing w:before="20" w:after="20"/>
              <w:ind w:right="120"/>
              <w:jc w:val="right"/>
              <w:rPr>
                <w:rFonts w:ascii="Arial" w:hAnsi="Arial"/>
                <w:sz w:val="20"/>
                <w:lang w:val="pl-PL"/>
              </w:rPr>
            </w:pPr>
            <w:r w:rsidRPr="00765C97">
              <w:rPr>
                <w:rFonts w:ascii="Arial" w:hAnsi="Arial"/>
                <w:sz w:val="20"/>
                <w:lang w:val="pl-PL"/>
              </w:rPr>
              <w:t>-</w:t>
            </w:r>
          </w:p>
        </w:tc>
        <w:tc>
          <w:tcPr>
            <w:tcW w:w="1920" w:type="dxa"/>
            <w:tcBorders>
              <w:top w:val="nil"/>
              <w:left w:val="nil"/>
              <w:bottom w:val="single" w:sz="4" w:space="0" w:color="auto"/>
              <w:right w:val="nil"/>
            </w:tcBorders>
            <w:vAlign w:val="center"/>
          </w:tcPr>
          <w:p w:rsidR="00FC75BA" w:rsidRPr="00765C97" w:rsidRDefault="00FC75BA" w:rsidP="007A03FC">
            <w:pPr>
              <w:spacing w:before="20" w:after="20"/>
              <w:ind w:right="120"/>
              <w:jc w:val="right"/>
              <w:rPr>
                <w:rFonts w:ascii="Arial" w:hAnsi="Arial"/>
                <w:sz w:val="20"/>
                <w:lang w:val="pl-PL"/>
              </w:rPr>
            </w:pPr>
            <w:r w:rsidRPr="00765C97">
              <w:rPr>
                <w:rFonts w:ascii="Arial" w:hAnsi="Arial"/>
                <w:sz w:val="20"/>
                <w:lang w:val="pl-PL"/>
              </w:rPr>
              <w:t>-</w:t>
            </w:r>
          </w:p>
        </w:tc>
      </w:tr>
      <w:tr w:rsidR="00FC75BA" w:rsidRPr="00765C97">
        <w:trPr>
          <w:trHeight w:val="255"/>
        </w:trPr>
        <w:tc>
          <w:tcPr>
            <w:tcW w:w="4260" w:type="dxa"/>
            <w:tcBorders>
              <w:left w:val="nil"/>
              <w:right w:val="nil"/>
            </w:tcBorders>
            <w:vAlign w:val="center"/>
          </w:tcPr>
          <w:p w:rsidR="00FC75BA" w:rsidRPr="00765C97" w:rsidRDefault="00FC75BA">
            <w:pPr>
              <w:spacing w:before="20" w:after="20"/>
              <w:rPr>
                <w:rFonts w:ascii="Arial" w:hAnsi="Arial"/>
                <w:sz w:val="20"/>
                <w:lang w:val="pl-PL"/>
              </w:rPr>
            </w:pPr>
          </w:p>
        </w:tc>
        <w:tc>
          <w:tcPr>
            <w:tcW w:w="2040" w:type="dxa"/>
            <w:tcBorders>
              <w:top w:val="single" w:sz="4" w:space="0" w:color="auto"/>
              <w:left w:val="nil"/>
              <w:right w:val="nil"/>
            </w:tcBorders>
            <w:vAlign w:val="center"/>
          </w:tcPr>
          <w:p w:rsidR="00FC75BA" w:rsidRPr="00765C97" w:rsidRDefault="00FC75BA" w:rsidP="005D7C6A">
            <w:pPr>
              <w:spacing w:before="20" w:after="20"/>
              <w:ind w:right="120"/>
              <w:jc w:val="right"/>
              <w:rPr>
                <w:rFonts w:ascii="Arial" w:hAnsi="Arial"/>
                <w:b/>
                <w:sz w:val="20"/>
                <w:lang w:val="pl-PL"/>
              </w:rPr>
            </w:pPr>
            <w:r w:rsidRPr="00765C97">
              <w:rPr>
                <w:rFonts w:ascii="Arial" w:hAnsi="Arial"/>
                <w:b/>
                <w:sz w:val="20"/>
                <w:lang w:val="pl-PL"/>
              </w:rPr>
              <w:t>94 892</w:t>
            </w:r>
          </w:p>
        </w:tc>
        <w:tc>
          <w:tcPr>
            <w:tcW w:w="1920" w:type="dxa"/>
            <w:tcBorders>
              <w:top w:val="single" w:sz="4" w:space="0" w:color="auto"/>
              <w:left w:val="nil"/>
              <w:right w:val="nil"/>
            </w:tcBorders>
            <w:vAlign w:val="center"/>
          </w:tcPr>
          <w:p w:rsidR="00FC75BA" w:rsidRPr="00765C97" w:rsidRDefault="00FC75BA" w:rsidP="007A03FC">
            <w:pPr>
              <w:spacing w:before="20" w:after="20"/>
              <w:ind w:right="120"/>
              <w:jc w:val="right"/>
              <w:rPr>
                <w:rFonts w:ascii="Arial" w:hAnsi="Arial"/>
                <w:b/>
                <w:sz w:val="20"/>
                <w:lang w:val="pl-PL"/>
              </w:rPr>
            </w:pPr>
            <w:r w:rsidRPr="00765C97">
              <w:rPr>
                <w:rFonts w:ascii="Arial" w:hAnsi="Arial"/>
                <w:b/>
                <w:sz w:val="20"/>
                <w:lang w:val="pl-PL"/>
              </w:rPr>
              <w:t>88 895</w:t>
            </w:r>
          </w:p>
        </w:tc>
      </w:tr>
      <w:tr w:rsidR="00FC75BA" w:rsidRPr="00765C97" w:rsidTr="00652D8D">
        <w:trPr>
          <w:trHeight w:val="255"/>
        </w:trPr>
        <w:tc>
          <w:tcPr>
            <w:tcW w:w="4260" w:type="dxa"/>
            <w:tcBorders>
              <w:left w:val="nil"/>
              <w:bottom w:val="nil"/>
              <w:right w:val="nil"/>
            </w:tcBorders>
            <w:vAlign w:val="center"/>
          </w:tcPr>
          <w:p w:rsidR="00FC75BA" w:rsidRPr="00765C97" w:rsidRDefault="00FC75BA">
            <w:pPr>
              <w:spacing w:before="20" w:after="20"/>
              <w:rPr>
                <w:rFonts w:ascii="Arial" w:hAnsi="Arial"/>
                <w:b/>
                <w:sz w:val="20"/>
                <w:lang w:val="pl-PL"/>
              </w:rPr>
            </w:pPr>
            <w:r w:rsidRPr="00765C97">
              <w:rPr>
                <w:rFonts w:ascii="Arial" w:hAnsi="Arial"/>
                <w:b/>
                <w:sz w:val="20"/>
                <w:lang w:val="pl-PL"/>
              </w:rPr>
              <w:t>Krótkoterminowe</w:t>
            </w:r>
          </w:p>
          <w:p w:rsidR="00FC75BA" w:rsidRPr="00765C97" w:rsidRDefault="00FC75BA">
            <w:pPr>
              <w:spacing w:before="20" w:after="20"/>
              <w:rPr>
                <w:rFonts w:ascii="Arial" w:hAnsi="Arial"/>
                <w:sz w:val="20"/>
                <w:lang w:val="pl-PL"/>
              </w:rPr>
            </w:pPr>
            <w:r w:rsidRPr="00765C97">
              <w:rPr>
                <w:rFonts w:ascii="Arial" w:hAnsi="Arial"/>
                <w:sz w:val="20"/>
                <w:lang w:val="pl-PL"/>
              </w:rPr>
              <w:t xml:space="preserve">Kredyt w rachunku bieżącym </w:t>
            </w:r>
          </w:p>
        </w:tc>
        <w:tc>
          <w:tcPr>
            <w:tcW w:w="2040" w:type="dxa"/>
            <w:tcBorders>
              <w:left w:val="nil"/>
              <w:bottom w:val="nil"/>
              <w:right w:val="nil"/>
            </w:tcBorders>
            <w:vAlign w:val="bottom"/>
          </w:tcPr>
          <w:p w:rsidR="00FC75BA" w:rsidRPr="00765C97" w:rsidRDefault="00FC75BA" w:rsidP="005D7C6A">
            <w:pPr>
              <w:spacing w:line="276" w:lineRule="auto"/>
              <w:ind w:right="120"/>
              <w:jc w:val="right"/>
              <w:rPr>
                <w:rFonts w:ascii="Arial" w:hAnsi="Arial"/>
                <w:sz w:val="20"/>
                <w:lang w:val="pl-PL"/>
              </w:rPr>
            </w:pPr>
            <w:r w:rsidRPr="00765C97">
              <w:rPr>
                <w:rFonts w:ascii="Arial" w:hAnsi="Arial"/>
                <w:sz w:val="20"/>
                <w:lang w:val="pl-PL"/>
              </w:rPr>
              <w:t>2 801</w:t>
            </w:r>
          </w:p>
        </w:tc>
        <w:tc>
          <w:tcPr>
            <w:tcW w:w="1920" w:type="dxa"/>
            <w:tcBorders>
              <w:left w:val="nil"/>
              <w:bottom w:val="nil"/>
              <w:right w:val="nil"/>
            </w:tcBorders>
            <w:vAlign w:val="bottom"/>
          </w:tcPr>
          <w:p w:rsidR="00FC75BA" w:rsidRPr="00765C97" w:rsidRDefault="00FC75BA" w:rsidP="007A03FC">
            <w:pPr>
              <w:spacing w:line="276" w:lineRule="auto"/>
              <w:ind w:right="120"/>
              <w:jc w:val="right"/>
              <w:rPr>
                <w:rFonts w:ascii="Arial" w:hAnsi="Arial"/>
                <w:sz w:val="20"/>
                <w:lang w:val="pl-PL"/>
              </w:rPr>
            </w:pPr>
            <w:r w:rsidRPr="00765C97">
              <w:rPr>
                <w:rFonts w:ascii="Arial" w:hAnsi="Arial"/>
                <w:sz w:val="20"/>
                <w:lang w:val="pl-PL"/>
              </w:rPr>
              <w:t>1 054</w:t>
            </w:r>
          </w:p>
        </w:tc>
      </w:tr>
      <w:tr w:rsidR="00FC75BA" w:rsidRPr="00765C97" w:rsidTr="007A03FC">
        <w:trPr>
          <w:trHeight w:val="255"/>
        </w:trPr>
        <w:tc>
          <w:tcPr>
            <w:tcW w:w="4260" w:type="dxa"/>
            <w:tcBorders>
              <w:top w:val="nil"/>
              <w:left w:val="nil"/>
              <w:bottom w:val="nil"/>
              <w:right w:val="nil"/>
            </w:tcBorders>
            <w:vAlign w:val="center"/>
          </w:tcPr>
          <w:p w:rsidR="00FC75BA" w:rsidRPr="00765C97" w:rsidRDefault="00FC75BA">
            <w:pPr>
              <w:spacing w:before="20" w:after="20"/>
              <w:rPr>
                <w:rFonts w:ascii="Arial" w:hAnsi="Arial"/>
                <w:sz w:val="20"/>
                <w:lang w:val="pl-PL"/>
              </w:rPr>
            </w:pPr>
            <w:r w:rsidRPr="00765C97">
              <w:rPr>
                <w:rFonts w:ascii="Arial" w:hAnsi="Arial"/>
                <w:sz w:val="20"/>
                <w:lang w:val="pl-PL"/>
              </w:rPr>
              <w:t xml:space="preserve">Pożyczki </w:t>
            </w:r>
          </w:p>
        </w:tc>
        <w:tc>
          <w:tcPr>
            <w:tcW w:w="2040" w:type="dxa"/>
            <w:tcBorders>
              <w:top w:val="nil"/>
              <w:left w:val="nil"/>
              <w:right w:val="nil"/>
            </w:tcBorders>
            <w:vAlign w:val="center"/>
          </w:tcPr>
          <w:p w:rsidR="00FC75BA" w:rsidRPr="00765C97" w:rsidRDefault="00FC75BA" w:rsidP="005D7C6A">
            <w:pPr>
              <w:spacing w:line="276" w:lineRule="auto"/>
              <w:ind w:right="120"/>
              <w:jc w:val="right"/>
              <w:rPr>
                <w:rFonts w:ascii="Arial" w:hAnsi="Arial"/>
                <w:sz w:val="20"/>
                <w:lang w:val="pl-PL"/>
              </w:rPr>
            </w:pPr>
            <w:r w:rsidRPr="00765C97">
              <w:rPr>
                <w:rFonts w:ascii="Arial" w:hAnsi="Arial"/>
                <w:sz w:val="20"/>
                <w:lang w:val="pl-PL"/>
              </w:rPr>
              <w:t>20 053</w:t>
            </w:r>
          </w:p>
        </w:tc>
        <w:tc>
          <w:tcPr>
            <w:tcW w:w="1920" w:type="dxa"/>
            <w:tcBorders>
              <w:top w:val="nil"/>
              <w:left w:val="nil"/>
              <w:right w:val="nil"/>
            </w:tcBorders>
            <w:vAlign w:val="center"/>
          </w:tcPr>
          <w:p w:rsidR="00FC75BA" w:rsidRPr="00765C97" w:rsidRDefault="00FC75BA" w:rsidP="007A03FC">
            <w:pPr>
              <w:spacing w:line="276" w:lineRule="auto"/>
              <w:ind w:right="120"/>
              <w:jc w:val="right"/>
              <w:rPr>
                <w:rFonts w:ascii="Arial" w:hAnsi="Arial"/>
                <w:sz w:val="20"/>
                <w:lang w:val="pl-PL"/>
              </w:rPr>
            </w:pPr>
            <w:r w:rsidRPr="00765C97">
              <w:rPr>
                <w:rFonts w:ascii="Arial" w:hAnsi="Arial"/>
                <w:sz w:val="20"/>
                <w:lang w:val="pl-PL"/>
              </w:rPr>
              <w:t>25</w:t>
            </w:r>
          </w:p>
        </w:tc>
      </w:tr>
      <w:tr w:rsidR="00FC75BA" w:rsidRPr="00765C97" w:rsidTr="007A03FC">
        <w:trPr>
          <w:trHeight w:val="255"/>
        </w:trPr>
        <w:tc>
          <w:tcPr>
            <w:tcW w:w="4260" w:type="dxa"/>
            <w:tcBorders>
              <w:top w:val="nil"/>
              <w:left w:val="nil"/>
              <w:right w:val="nil"/>
            </w:tcBorders>
            <w:vAlign w:val="center"/>
          </w:tcPr>
          <w:p w:rsidR="00FC75BA" w:rsidRPr="00765C97" w:rsidRDefault="00FC75BA">
            <w:pPr>
              <w:spacing w:before="20" w:after="20"/>
              <w:rPr>
                <w:rFonts w:ascii="Arial" w:hAnsi="Arial"/>
                <w:sz w:val="20"/>
                <w:lang w:val="pl-PL"/>
              </w:rPr>
            </w:pPr>
            <w:r w:rsidRPr="00765C97">
              <w:rPr>
                <w:rFonts w:ascii="Arial" w:hAnsi="Arial"/>
                <w:sz w:val="20"/>
                <w:lang w:val="pl-PL"/>
              </w:rPr>
              <w:t>Kredyty bankowe</w:t>
            </w:r>
          </w:p>
        </w:tc>
        <w:tc>
          <w:tcPr>
            <w:tcW w:w="2040" w:type="dxa"/>
            <w:tcBorders>
              <w:top w:val="nil"/>
              <w:left w:val="nil"/>
              <w:bottom w:val="single" w:sz="4" w:space="0" w:color="auto"/>
              <w:right w:val="nil"/>
            </w:tcBorders>
            <w:vAlign w:val="center"/>
          </w:tcPr>
          <w:p w:rsidR="00FC75BA" w:rsidRPr="00765C97" w:rsidRDefault="00FC75BA" w:rsidP="005D7C6A">
            <w:pPr>
              <w:spacing w:line="276" w:lineRule="auto"/>
              <w:ind w:right="120"/>
              <w:jc w:val="right"/>
              <w:rPr>
                <w:rFonts w:ascii="Arial" w:hAnsi="Arial"/>
                <w:sz w:val="20"/>
                <w:lang w:val="pl-PL"/>
              </w:rPr>
            </w:pPr>
            <w:r w:rsidRPr="00765C97">
              <w:rPr>
                <w:rFonts w:ascii="Arial" w:hAnsi="Arial"/>
                <w:sz w:val="20"/>
                <w:lang w:val="pl-PL"/>
              </w:rPr>
              <w:t>13 471</w:t>
            </w:r>
          </w:p>
        </w:tc>
        <w:tc>
          <w:tcPr>
            <w:tcW w:w="1920" w:type="dxa"/>
            <w:tcBorders>
              <w:top w:val="nil"/>
              <w:left w:val="nil"/>
              <w:bottom w:val="single" w:sz="4" w:space="0" w:color="auto"/>
              <w:right w:val="nil"/>
            </w:tcBorders>
            <w:vAlign w:val="center"/>
          </w:tcPr>
          <w:p w:rsidR="00FC75BA" w:rsidRPr="00765C97" w:rsidRDefault="00FC75BA" w:rsidP="007A03FC">
            <w:pPr>
              <w:spacing w:line="276" w:lineRule="auto"/>
              <w:ind w:right="120"/>
              <w:jc w:val="right"/>
              <w:rPr>
                <w:rFonts w:ascii="Arial" w:hAnsi="Arial"/>
                <w:sz w:val="20"/>
                <w:lang w:val="pl-PL"/>
              </w:rPr>
            </w:pPr>
            <w:r w:rsidRPr="00765C97">
              <w:rPr>
                <w:rFonts w:ascii="Arial" w:hAnsi="Arial"/>
                <w:sz w:val="20"/>
                <w:lang w:val="pl-PL"/>
              </w:rPr>
              <w:t>26 356</w:t>
            </w:r>
          </w:p>
        </w:tc>
      </w:tr>
      <w:tr w:rsidR="00FC75BA" w:rsidRPr="00765C97">
        <w:trPr>
          <w:trHeight w:val="255"/>
        </w:trPr>
        <w:tc>
          <w:tcPr>
            <w:tcW w:w="4260" w:type="dxa"/>
            <w:tcBorders>
              <w:left w:val="nil"/>
              <w:right w:val="nil"/>
            </w:tcBorders>
            <w:vAlign w:val="center"/>
          </w:tcPr>
          <w:p w:rsidR="00FC75BA" w:rsidRPr="00765C97" w:rsidRDefault="00FC75BA">
            <w:pPr>
              <w:spacing w:before="20" w:after="20"/>
              <w:rPr>
                <w:rFonts w:ascii="Arial" w:hAnsi="Arial"/>
                <w:sz w:val="20"/>
                <w:lang w:val="pl-PL"/>
              </w:rPr>
            </w:pPr>
          </w:p>
        </w:tc>
        <w:tc>
          <w:tcPr>
            <w:tcW w:w="2040" w:type="dxa"/>
            <w:tcBorders>
              <w:top w:val="single" w:sz="4" w:space="0" w:color="auto"/>
              <w:left w:val="nil"/>
              <w:bottom w:val="single" w:sz="4" w:space="0" w:color="auto"/>
              <w:right w:val="nil"/>
            </w:tcBorders>
            <w:vAlign w:val="center"/>
          </w:tcPr>
          <w:p w:rsidR="00FC75BA" w:rsidRPr="00765C97" w:rsidRDefault="00FC75BA" w:rsidP="005D7C6A">
            <w:pPr>
              <w:spacing w:before="20" w:after="20"/>
              <w:ind w:right="120"/>
              <w:jc w:val="right"/>
              <w:rPr>
                <w:rFonts w:ascii="Arial" w:hAnsi="Arial"/>
                <w:b/>
                <w:sz w:val="20"/>
                <w:lang w:val="pl-PL"/>
              </w:rPr>
            </w:pPr>
            <w:r w:rsidRPr="00765C97">
              <w:rPr>
                <w:rFonts w:ascii="Arial" w:hAnsi="Arial"/>
                <w:b/>
                <w:sz w:val="20"/>
                <w:lang w:val="pl-PL"/>
              </w:rPr>
              <w:t>36 325</w:t>
            </w:r>
          </w:p>
        </w:tc>
        <w:tc>
          <w:tcPr>
            <w:tcW w:w="1920" w:type="dxa"/>
            <w:tcBorders>
              <w:top w:val="single" w:sz="4" w:space="0" w:color="auto"/>
              <w:left w:val="nil"/>
              <w:bottom w:val="single" w:sz="4" w:space="0" w:color="auto"/>
              <w:right w:val="nil"/>
            </w:tcBorders>
            <w:vAlign w:val="center"/>
          </w:tcPr>
          <w:p w:rsidR="00FC75BA" w:rsidRPr="00765C97" w:rsidRDefault="00FC75BA" w:rsidP="007A03FC">
            <w:pPr>
              <w:spacing w:before="20" w:after="20"/>
              <w:ind w:right="120"/>
              <w:jc w:val="right"/>
              <w:rPr>
                <w:rFonts w:ascii="Arial" w:hAnsi="Arial"/>
                <w:b/>
                <w:sz w:val="20"/>
                <w:lang w:val="pl-PL"/>
              </w:rPr>
            </w:pPr>
            <w:r w:rsidRPr="00765C97">
              <w:rPr>
                <w:rFonts w:ascii="Arial" w:hAnsi="Arial"/>
                <w:b/>
                <w:sz w:val="20"/>
                <w:lang w:val="pl-PL"/>
              </w:rPr>
              <w:t>27 435</w:t>
            </w:r>
          </w:p>
        </w:tc>
      </w:tr>
      <w:tr w:rsidR="00FC75BA" w:rsidRPr="00765C97">
        <w:trPr>
          <w:trHeight w:val="255"/>
        </w:trPr>
        <w:tc>
          <w:tcPr>
            <w:tcW w:w="4260" w:type="dxa"/>
            <w:tcBorders>
              <w:left w:val="nil"/>
              <w:right w:val="nil"/>
            </w:tcBorders>
            <w:vAlign w:val="center"/>
          </w:tcPr>
          <w:p w:rsidR="00FC75BA" w:rsidRPr="00765C97" w:rsidRDefault="00FC75BA">
            <w:pPr>
              <w:spacing w:before="20" w:after="20"/>
              <w:rPr>
                <w:rFonts w:ascii="Arial" w:hAnsi="Arial"/>
                <w:b/>
                <w:sz w:val="20"/>
                <w:lang w:val="pl-PL"/>
              </w:rPr>
            </w:pPr>
            <w:r w:rsidRPr="00765C97">
              <w:rPr>
                <w:rFonts w:ascii="Arial" w:hAnsi="Arial"/>
                <w:b/>
                <w:sz w:val="20"/>
                <w:lang w:val="pl-PL"/>
              </w:rPr>
              <w:t>Kredyty, pożyczki ogółem</w:t>
            </w:r>
          </w:p>
        </w:tc>
        <w:tc>
          <w:tcPr>
            <w:tcW w:w="2040" w:type="dxa"/>
            <w:tcBorders>
              <w:top w:val="single" w:sz="4" w:space="0" w:color="auto"/>
              <w:left w:val="nil"/>
              <w:right w:val="nil"/>
            </w:tcBorders>
            <w:vAlign w:val="center"/>
          </w:tcPr>
          <w:p w:rsidR="00FC75BA" w:rsidRPr="00765C97" w:rsidRDefault="00FC75BA" w:rsidP="005D7C6A">
            <w:pPr>
              <w:spacing w:before="20" w:after="20"/>
              <w:ind w:right="120"/>
              <w:jc w:val="right"/>
              <w:rPr>
                <w:rFonts w:ascii="Arial" w:hAnsi="Arial"/>
                <w:b/>
                <w:sz w:val="20"/>
                <w:lang w:val="pl-PL"/>
              </w:rPr>
            </w:pPr>
            <w:r w:rsidRPr="00765C97">
              <w:rPr>
                <w:rFonts w:ascii="Arial" w:hAnsi="Arial"/>
                <w:b/>
                <w:sz w:val="20"/>
                <w:lang w:val="pl-PL"/>
              </w:rPr>
              <w:t>131 217</w:t>
            </w:r>
          </w:p>
        </w:tc>
        <w:tc>
          <w:tcPr>
            <w:tcW w:w="1920" w:type="dxa"/>
            <w:tcBorders>
              <w:top w:val="single" w:sz="4" w:space="0" w:color="auto"/>
              <w:left w:val="nil"/>
              <w:right w:val="nil"/>
            </w:tcBorders>
            <w:vAlign w:val="center"/>
          </w:tcPr>
          <w:p w:rsidR="00FC75BA" w:rsidRPr="00765C97" w:rsidRDefault="00FC75BA" w:rsidP="007A03FC">
            <w:pPr>
              <w:spacing w:before="20" w:after="20"/>
              <w:ind w:right="120"/>
              <w:jc w:val="right"/>
              <w:rPr>
                <w:rFonts w:ascii="Arial" w:hAnsi="Arial"/>
                <w:b/>
                <w:sz w:val="20"/>
                <w:lang w:val="pl-PL"/>
              </w:rPr>
            </w:pPr>
            <w:r w:rsidRPr="00765C97">
              <w:rPr>
                <w:rFonts w:ascii="Arial" w:hAnsi="Arial"/>
                <w:b/>
                <w:sz w:val="20"/>
                <w:lang w:val="pl-PL"/>
              </w:rPr>
              <w:t>116 330</w:t>
            </w:r>
          </w:p>
        </w:tc>
      </w:tr>
    </w:tbl>
    <w:p w:rsidR="00B24DA9" w:rsidRPr="00765C97" w:rsidRDefault="00B24DA9">
      <w:pPr>
        <w:pStyle w:val="Style3"/>
        <w:tabs>
          <w:tab w:val="left" w:pos="5954"/>
          <w:tab w:val="left" w:pos="6804"/>
        </w:tabs>
        <w:spacing w:before="0"/>
        <w:ind w:left="-360"/>
        <w:rPr>
          <w:rFonts w:ascii="Arial" w:hAnsi="Arial"/>
          <w:lang w:val="pl-PL"/>
        </w:rPr>
      </w:pPr>
    </w:p>
    <w:p w:rsidR="00B24DA9" w:rsidRPr="00765C97" w:rsidRDefault="00B24DA9" w:rsidP="00135A9A">
      <w:pPr>
        <w:pStyle w:val="Nagwek4"/>
        <w:numPr>
          <w:ilvl w:val="2"/>
          <w:numId w:val="17"/>
        </w:numPr>
        <w:spacing w:before="240" w:after="120" w:line="240" w:lineRule="auto"/>
        <w:ind w:left="1276" w:hanging="851"/>
        <w:rPr>
          <w:rFonts w:ascii="Arial" w:hAnsi="Arial" w:cs="Arial"/>
          <w:sz w:val="20"/>
          <w:lang w:val="pl-PL"/>
        </w:rPr>
      </w:pPr>
      <w:bookmarkStart w:id="70" w:name="_Toc353973227"/>
      <w:r w:rsidRPr="00765C97">
        <w:rPr>
          <w:rFonts w:ascii="Arial" w:hAnsi="Arial" w:cs="Arial"/>
          <w:sz w:val="20"/>
          <w:lang w:val="pl-PL"/>
        </w:rPr>
        <w:t>Kredyty inwestycyjne</w:t>
      </w:r>
      <w:bookmarkEnd w:id="70"/>
    </w:p>
    <w:p w:rsidR="00ED0ABA" w:rsidRPr="00765C97" w:rsidRDefault="00ED0ABA" w:rsidP="00833CBA">
      <w:pPr>
        <w:tabs>
          <w:tab w:val="left" w:pos="360"/>
        </w:tabs>
        <w:adjustRightInd w:val="0"/>
        <w:jc w:val="both"/>
        <w:rPr>
          <w:rFonts w:ascii="Arial" w:hAnsi="Arial"/>
          <w:sz w:val="20"/>
          <w:lang w:val="pl-PL"/>
        </w:rPr>
      </w:pPr>
      <w:r w:rsidRPr="00765C97">
        <w:rPr>
          <w:rFonts w:ascii="Arial" w:hAnsi="Arial"/>
          <w:sz w:val="20"/>
          <w:lang w:val="pl-PL"/>
        </w:rPr>
        <w:t xml:space="preserve">W Grupie Comarch </w:t>
      </w:r>
      <w:r w:rsidR="00F35BD0" w:rsidRPr="00765C97">
        <w:rPr>
          <w:rFonts w:ascii="Arial" w:hAnsi="Arial"/>
          <w:sz w:val="20"/>
          <w:lang w:val="pl-PL"/>
        </w:rPr>
        <w:t>jednostka</w:t>
      </w:r>
      <w:r w:rsidRPr="00765C97">
        <w:rPr>
          <w:rFonts w:ascii="Arial" w:hAnsi="Arial"/>
          <w:sz w:val="20"/>
          <w:lang w:val="pl-PL"/>
        </w:rPr>
        <w:t xml:space="preserve"> dominując</w:t>
      </w:r>
      <w:r w:rsidR="00F35BD0" w:rsidRPr="00765C97">
        <w:rPr>
          <w:rFonts w:ascii="Arial" w:hAnsi="Arial"/>
          <w:sz w:val="20"/>
          <w:lang w:val="pl-PL"/>
        </w:rPr>
        <w:t>a</w:t>
      </w:r>
      <w:r w:rsidRPr="00765C97">
        <w:rPr>
          <w:rFonts w:ascii="Arial" w:hAnsi="Arial"/>
          <w:sz w:val="20"/>
          <w:lang w:val="pl-PL"/>
        </w:rPr>
        <w:t xml:space="preserve"> Comarch S.A. korzysta z następujących kredytów inwestycyjnych:</w:t>
      </w:r>
    </w:p>
    <w:p w:rsidR="00ED0ABA" w:rsidRPr="00765C97" w:rsidRDefault="00ED0ABA" w:rsidP="0009347A">
      <w:pPr>
        <w:tabs>
          <w:tab w:val="left" w:pos="360"/>
        </w:tabs>
        <w:adjustRightInd w:val="0"/>
        <w:ind w:left="181"/>
        <w:jc w:val="both"/>
        <w:rPr>
          <w:rFonts w:ascii="Arial" w:hAnsi="Arial"/>
          <w:sz w:val="20"/>
          <w:lang w:val="pl-PL"/>
        </w:rPr>
      </w:pPr>
      <w:r w:rsidRPr="00765C97">
        <w:rPr>
          <w:rFonts w:ascii="Arial" w:hAnsi="Arial"/>
          <w:sz w:val="20"/>
          <w:lang w:val="pl-PL"/>
        </w:rPr>
        <w:t xml:space="preserve"> </w:t>
      </w:r>
    </w:p>
    <w:p w:rsidR="0009347A" w:rsidRPr="00765C97" w:rsidRDefault="0009347A" w:rsidP="00135A9A">
      <w:pPr>
        <w:pStyle w:val="Tekstpodstawowywcity2"/>
        <w:numPr>
          <w:ilvl w:val="0"/>
          <w:numId w:val="26"/>
        </w:numPr>
        <w:spacing w:after="0" w:line="240" w:lineRule="auto"/>
        <w:jc w:val="both"/>
        <w:rPr>
          <w:rFonts w:ascii="Arial" w:hAnsi="Arial"/>
          <w:sz w:val="20"/>
        </w:rPr>
      </w:pPr>
      <w:r w:rsidRPr="00765C97">
        <w:rPr>
          <w:rFonts w:ascii="Arial" w:hAnsi="Arial"/>
          <w:sz w:val="20"/>
          <w:lang w:val="pl-PL"/>
        </w:rPr>
        <w:t xml:space="preserve">kredyt inwestycyjny w BNP Paribas Bank Polska S.A. (dawniej Fortis Bank Polska S.A.) z siedzibą w Warszawie w wysokości 20 000 tys. zł zaciągnięty w 2004 roku na sfinansowanie I etapu budowy budynków produkcyjno - biurowych w Specjalnej Strefie Ekonomicznej w Krakowie. Okres kredytowania wynosi 10 lat, tj. do 2015 roku, oprocentowanie kredytu oparte jest na stopie zmiennej. W dniu 5 stycznia 2009 roku </w:t>
      </w:r>
      <w:r w:rsidR="006724E3" w:rsidRPr="00765C97">
        <w:rPr>
          <w:rFonts w:ascii="Arial" w:hAnsi="Arial"/>
          <w:sz w:val="20"/>
          <w:lang w:val="pl-PL"/>
        </w:rPr>
        <w:t>S</w:t>
      </w:r>
      <w:r w:rsidRPr="00765C97">
        <w:rPr>
          <w:rFonts w:ascii="Arial" w:hAnsi="Arial"/>
          <w:sz w:val="20"/>
          <w:lang w:val="pl-PL"/>
        </w:rPr>
        <w:t xml:space="preserve">półka dokonała przewalutowania pozostałej do spłaty kwoty kredytu na walutę euro. Zabezpieczeniem kredytu są hipoteka na wybudowanej nieruchomości, cesja polisy ubezpieczeniowej budynku oraz weksel in blanco. </w:t>
      </w:r>
      <w:r w:rsidRPr="00765C97">
        <w:rPr>
          <w:rFonts w:ascii="Arial" w:hAnsi="Arial" w:cs="Arial"/>
          <w:sz w:val="20"/>
          <w:szCs w:val="20"/>
          <w:lang w:val="pl-PL"/>
        </w:rPr>
        <w:t xml:space="preserve">Na dzień 31 grudnia 2012 r. wartość kapitału pozostającego do spłaty wynosiła 1 250 tys. </w:t>
      </w:r>
      <w:r w:rsidRPr="00765C97">
        <w:rPr>
          <w:rFonts w:ascii="Arial" w:hAnsi="Arial" w:cs="Arial"/>
          <w:sz w:val="20"/>
          <w:szCs w:val="20"/>
        </w:rPr>
        <w:t xml:space="preserve">EUR, tj. </w:t>
      </w:r>
      <w:r w:rsidRPr="00765C97">
        <w:rPr>
          <w:rFonts w:ascii="Arial" w:hAnsi="Arial" w:cs="Arial"/>
          <w:sz w:val="20"/>
          <w:szCs w:val="20"/>
          <w:lang w:val="pl-PL"/>
        </w:rPr>
        <w:t xml:space="preserve">5 110 </w:t>
      </w:r>
      <w:r w:rsidRPr="00765C97">
        <w:rPr>
          <w:rFonts w:ascii="Arial" w:hAnsi="Arial" w:cs="Arial"/>
          <w:sz w:val="20"/>
          <w:szCs w:val="20"/>
        </w:rPr>
        <w:t>tys. zł.</w:t>
      </w:r>
      <w:r w:rsidRPr="00765C97">
        <w:rPr>
          <w:rFonts w:ascii="Arial" w:hAnsi="Arial"/>
          <w:sz w:val="20"/>
        </w:rPr>
        <w:t xml:space="preserve"> </w:t>
      </w:r>
    </w:p>
    <w:p w:rsidR="0009347A" w:rsidRPr="00765C97" w:rsidRDefault="0009347A" w:rsidP="0009347A">
      <w:pPr>
        <w:pStyle w:val="Tekstpodstawowywcity2"/>
        <w:spacing w:after="0" w:line="240" w:lineRule="auto"/>
        <w:ind w:left="284"/>
        <w:jc w:val="both"/>
        <w:rPr>
          <w:rFonts w:ascii="Arial" w:hAnsi="Arial"/>
          <w:sz w:val="20"/>
        </w:rPr>
      </w:pPr>
    </w:p>
    <w:p w:rsidR="0009347A" w:rsidRPr="00765C97" w:rsidRDefault="0009347A" w:rsidP="00135A9A">
      <w:pPr>
        <w:pStyle w:val="Tekstpodstawowywcity2"/>
        <w:numPr>
          <w:ilvl w:val="0"/>
          <w:numId w:val="26"/>
        </w:numPr>
        <w:spacing w:after="0" w:line="240" w:lineRule="auto"/>
        <w:jc w:val="both"/>
        <w:rPr>
          <w:rFonts w:ascii="Arial" w:hAnsi="Arial"/>
          <w:sz w:val="20"/>
          <w:lang w:val="pl-PL"/>
        </w:rPr>
      </w:pPr>
      <w:r w:rsidRPr="00765C97">
        <w:rPr>
          <w:rFonts w:ascii="Arial" w:hAnsi="Arial"/>
          <w:sz w:val="20"/>
          <w:lang w:val="pl-PL"/>
        </w:rPr>
        <w:t xml:space="preserve">kredyt inwestycyjny w BZ WBK Bank S.A. (dawniej Kredyt Bank S.A.) z siedzibą w Warszawie zaciągnięty w 2006 roku na finansowanie II etapu budowy nowych budynków produkcyjno - biurowych w Specjalnej Strefie Ekonomicznej w Krakowie. Wysokość kredytu wynosiła 80% wartości inwestycji, maksymalnie 26 824 tys. zł. Okres kredytowania wynosi 16 lat, tj. do 2022 roku, oprocentowanie kredytu oparte jest na stopie zmiennej. Zabezpieczeniem kredytu są hipoteka na wybudowanej nieruchomości oraz cesja polisy ubezpieczeniowej budynku. </w:t>
      </w:r>
      <w:r w:rsidRPr="00765C97">
        <w:rPr>
          <w:rFonts w:ascii="Arial" w:hAnsi="Arial" w:cs="Arial"/>
          <w:sz w:val="20"/>
          <w:szCs w:val="20"/>
          <w:lang w:val="pl-PL"/>
        </w:rPr>
        <w:t xml:space="preserve">Na dzień 31 grudnia 2012 r. wartość kapitału pozostającego do spłaty wynosiła 17 458 tys. zł. W dniu 31 stycznia 2013 r. </w:t>
      </w:r>
      <w:r w:rsidR="006724E3" w:rsidRPr="00765C97">
        <w:rPr>
          <w:rFonts w:ascii="Arial" w:hAnsi="Arial" w:cs="Arial"/>
          <w:sz w:val="20"/>
          <w:szCs w:val="20"/>
          <w:lang w:val="pl-PL"/>
        </w:rPr>
        <w:t>S</w:t>
      </w:r>
      <w:r w:rsidRPr="00765C97">
        <w:rPr>
          <w:rFonts w:ascii="Arial" w:hAnsi="Arial" w:cs="Arial"/>
          <w:sz w:val="20"/>
          <w:szCs w:val="20"/>
          <w:lang w:val="pl-PL"/>
        </w:rPr>
        <w:t>półka dokonała spłaty całości pozostałego zadłużenia wynikającego z ww. kredytu. Informacja została przekazana raportem bieżącym RB-2-2013 z dnia 31 stycznia 2013 r.</w:t>
      </w:r>
      <w:r w:rsidRPr="00765C97">
        <w:rPr>
          <w:rFonts w:ascii="Arial" w:hAnsi="Arial" w:cs="Arial"/>
          <w:color w:val="1F497D"/>
          <w:sz w:val="20"/>
          <w:szCs w:val="20"/>
          <w:lang w:val="pl-PL"/>
        </w:rPr>
        <w:t xml:space="preserve"> </w:t>
      </w:r>
      <w:r w:rsidR="006724E3" w:rsidRPr="00765C97">
        <w:rPr>
          <w:rFonts w:ascii="Arial" w:hAnsi="Arial" w:cs="Arial"/>
          <w:sz w:val="20"/>
          <w:szCs w:val="20"/>
          <w:lang w:val="pl-PL"/>
        </w:rPr>
        <w:t>W dniu 8 marca 2013 Spółka Comarch S.A. otrzymała zawiadomienie z Sądu Rejonowego dla Krakowa-Podgórza w Krakowie IV Wydział Ksiąg Wieczystych o wykreśleniu hipotek stanowiących zabezpieczenie ww. kredytu inwestycyjnego. Informacja została przekazana raportem bieżącym RB-5-2013 z dnia 8 marca 2013 r.</w:t>
      </w:r>
    </w:p>
    <w:p w:rsidR="0009347A" w:rsidRPr="00765C97" w:rsidRDefault="0009347A" w:rsidP="0009347A">
      <w:pPr>
        <w:pStyle w:val="Tekstpodstawowywcity2"/>
        <w:spacing w:after="0" w:line="240" w:lineRule="auto"/>
        <w:ind w:left="0"/>
        <w:jc w:val="both"/>
        <w:rPr>
          <w:rFonts w:ascii="Arial" w:hAnsi="Arial"/>
          <w:sz w:val="20"/>
          <w:lang w:val="pl-PL"/>
        </w:rPr>
      </w:pPr>
    </w:p>
    <w:p w:rsidR="0009347A" w:rsidRPr="00765C97" w:rsidRDefault="0009347A" w:rsidP="00135A9A">
      <w:pPr>
        <w:pStyle w:val="Tekstpodstawowywcity2"/>
        <w:numPr>
          <w:ilvl w:val="0"/>
          <w:numId w:val="26"/>
        </w:numPr>
        <w:spacing w:after="0" w:line="240" w:lineRule="auto"/>
        <w:jc w:val="both"/>
        <w:rPr>
          <w:rFonts w:ascii="Arial" w:hAnsi="Arial"/>
          <w:sz w:val="20"/>
        </w:rPr>
      </w:pPr>
      <w:r w:rsidRPr="00765C97">
        <w:rPr>
          <w:rFonts w:ascii="Arial" w:hAnsi="Arial"/>
          <w:sz w:val="20"/>
          <w:lang w:val="pl-PL"/>
        </w:rPr>
        <w:t xml:space="preserve">kredyt inwestycyjny w BNP Paribas Bank Polska S.A. (dawniej Fortis Bank Polska S.A.) z siedzibą w Warszawie na sfinansowanie III etapu budowy budynków produkcyjno - biurowych w Specjalnej Strefie Ekonomicznej w Krakowie. Wysokość kredytu wynosiła </w:t>
      </w:r>
      <w:r w:rsidRPr="00765C97">
        <w:rPr>
          <w:rFonts w:ascii="Arial" w:hAnsi="Arial"/>
          <w:sz w:val="20"/>
          <w:lang w:val="pl-PL"/>
        </w:rPr>
        <w:br/>
        <w:t xml:space="preserve">44 000 tys. zł. Okres kredytowania wynosi 16 lat, tj. do 2024 roku, oprocentowanie kredytu oparte jest na stopie zmiennej. Wykorzystanie kredytu nastąpiło do dnia 30 września 2008 r. Zabezpieczeniem kredytu są hipoteka na wybudowanej nieruchomości, cesja polisy ubezpieczeniowej budynku oraz weksel in blanco. W dniu 5 października 2011 roku </w:t>
      </w:r>
      <w:r w:rsidR="006724E3" w:rsidRPr="00765C97">
        <w:rPr>
          <w:rFonts w:ascii="Arial" w:hAnsi="Arial"/>
          <w:sz w:val="20"/>
          <w:lang w:val="pl-PL"/>
        </w:rPr>
        <w:t>S</w:t>
      </w:r>
      <w:r w:rsidRPr="00765C97">
        <w:rPr>
          <w:rFonts w:ascii="Arial" w:hAnsi="Arial"/>
          <w:sz w:val="20"/>
          <w:lang w:val="pl-PL"/>
        </w:rPr>
        <w:t xml:space="preserve">półka dokonała przewalutowania pozostałej do spłaty kwoty kredytu na walutę euro. </w:t>
      </w:r>
      <w:r w:rsidRPr="00765C97">
        <w:rPr>
          <w:rFonts w:ascii="Arial" w:hAnsi="Arial" w:cs="Arial"/>
          <w:sz w:val="20"/>
          <w:szCs w:val="20"/>
          <w:lang w:val="pl-PL"/>
        </w:rPr>
        <w:t xml:space="preserve">Na dzień 31 grudnia 2012 r. wartość kapitału pozostającego do spłaty wynosiła 7 280 tys. </w:t>
      </w:r>
      <w:r w:rsidRPr="00765C97">
        <w:rPr>
          <w:rFonts w:ascii="Arial" w:hAnsi="Arial" w:cs="Arial"/>
          <w:sz w:val="20"/>
          <w:szCs w:val="20"/>
        </w:rPr>
        <w:t xml:space="preserve">EUR, tj. </w:t>
      </w:r>
      <w:r w:rsidRPr="00765C97">
        <w:rPr>
          <w:rFonts w:ascii="Arial" w:hAnsi="Arial" w:cs="Arial"/>
          <w:sz w:val="20"/>
          <w:szCs w:val="20"/>
          <w:lang w:val="pl-PL"/>
        </w:rPr>
        <w:t>29 764</w:t>
      </w:r>
      <w:r w:rsidRPr="00765C97">
        <w:rPr>
          <w:rFonts w:ascii="Arial" w:hAnsi="Arial" w:cs="Arial"/>
          <w:sz w:val="20"/>
          <w:szCs w:val="20"/>
        </w:rPr>
        <w:t xml:space="preserve"> tys. zł.</w:t>
      </w:r>
    </w:p>
    <w:p w:rsidR="0009347A" w:rsidRPr="00765C97" w:rsidRDefault="0009347A" w:rsidP="0009347A">
      <w:pPr>
        <w:pStyle w:val="Tekstpodstawowywcity2"/>
        <w:spacing w:after="0" w:line="240" w:lineRule="auto"/>
        <w:ind w:left="0"/>
        <w:jc w:val="both"/>
        <w:rPr>
          <w:rFonts w:ascii="Arial" w:hAnsi="Arial"/>
          <w:sz w:val="20"/>
        </w:rPr>
      </w:pPr>
    </w:p>
    <w:p w:rsidR="0009347A" w:rsidRPr="00765C97" w:rsidRDefault="0009347A" w:rsidP="00135A9A">
      <w:pPr>
        <w:pStyle w:val="Tekstpodstawowywcity2"/>
        <w:numPr>
          <w:ilvl w:val="0"/>
          <w:numId w:val="26"/>
        </w:numPr>
        <w:spacing w:after="0" w:line="240" w:lineRule="auto"/>
        <w:jc w:val="both"/>
        <w:rPr>
          <w:rFonts w:ascii="Arial" w:hAnsi="Arial"/>
          <w:sz w:val="20"/>
          <w:lang w:val="pl-PL"/>
        </w:rPr>
      </w:pPr>
      <w:r w:rsidRPr="00765C97">
        <w:rPr>
          <w:rFonts w:ascii="Arial" w:hAnsi="Arial"/>
          <w:sz w:val="20"/>
          <w:lang w:val="pl-PL"/>
        </w:rPr>
        <w:t xml:space="preserve">kredyt inwestycyjny w Banku Pekao S.A. z siedzibą w Warszawie na sfinansowanie zakupu nieruchomości gruntowej w Specjalnej Strefie Ekonomicznej w Krakowie, zaciągnięty w 2007 roku. Wysokość kredytu wynosi 15 100 tys. zł. </w:t>
      </w:r>
      <w:r w:rsidRPr="00765C97">
        <w:rPr>
          <w:rFonts w:ascii="Arial" w:hAnsi="Arial" w:cs="Arial"/>
          <w:sz w:val="20"/>
          <w:szCs w:val="20"/>
          <w:lang w:val="pl-PL"/>
        </w:rPr>
        <w:t>Oprocentowanie kredytu oparte jest na stopie zmiennej. Zabezpieczeniem kredytu są hipoteka na nieruchomości będącej przedmiotem kredytowania oraz weksel in blanco. Pierwotnie okres kredytowania wynosił 5 lat, tj. do 2012 roku, w dniu 29 maja 2012 r. został zawarty aneks przedłużający okres kredytowania do 2015 r. Na dzień 31 grudnia 2012 r. wartość kredytu przypadającego do spłaty wynosiła 15 100 tys. zł.</w:t>
      </w:r>
    </w:p>
    <w:p w:rsidR="0009347A" w:rsidRPr="00765C97" w:rsidRDefault="0009347A" w:rsidP="0009347A">
      <w:pPr>
        <w:pStyle w:val="Tekstpodstawowywcity2"/>
        <w:adjustRightInd w:val="0"/>
        <w:spacing w:after="0" w:line="240" w:lineRule="auto"/>
        <w:ind w:left="284"/>
        <w:jc w:val="both"/>
        <w:rPr>
          <w:rFonts w:ascii="Arial" w:hAnsi="Arial"/>
          <w:bCs/>
          <w:sz w:val="20"/>
          <w:lang w:val="pl-PL"/>
        </w:rPr>
      </w:pPr>
    </w:p>
    <w:p w:rsidR="0009347A" w:rsidRPr="00765C97" w:rsidRDefault="0009347A" w:rsidP="00135A9A">
      <w:pPr>
        <w:pStyle w:val="Tekstpodstawowywcity2"/>
        <w:numPr>
          <w:ilvl w:val="0"/>
          <w:numId w:val="26"/>
        </w:numPr>
        <w:spacing w:after="0" w:line="240" w:lineRule="auto"/>
        <w:jc w:val="both"/>
        <w:rPr>
          <w:rFonts w:ascii="Arial" w:hAnsi="Arial"/>
          <w:sz w:val="20"/>
          <w:lang w:val="pl-PL"/>
        </w:rPr>
      </w:pPr>
      <w:r w:rsidRPr="00765C97">
        <w:rPr>
          <w:rFonts w:ascii="Arial" w:hAnsi="Arial"/>
          <w:sz w:val="20"/>
          <w:lang w:val="pl-PL"/>
        </w:rPr>
        <w:t xml:space="preserve">kredyt inwestycyjny w Banku DnB NORD Polska S.A. z siedzibą w Warszawie na sfinansowanie IV etapu budowy budynków produkcyjno-biurowych w Specjalnej Strefie Ekonomicznej w Krakowie. Wysokość kredytu wynosi 22 000 tys. zł, maksymalnie 80% wartości inwestycji. Okres kredytowania wynosi 11 lat, tj. do 2021 roku, oprocentowanie kredytu oparte jest na stopie zmiennej. </w:t>
      </w:r>
      <w:r w:rsidRPr="00765C97">
        <w:rPr>
          <w:rFonts w:ascii="Arial" w:hAnsi="Arial" w:cs="Arial"/>
          <w:sz w:val="20"/>
          <w:szCs w:val="20"/>
          <w:lang w:val="pl-PL"/>
        </w:rPr>
        <w:t xml:space="preserve">Zabezpieczeniem kredytu są hipoteki </w:t>
      </w:r>
      <w:r w:rsidRPr="00765C97">
        <w:rPr>
          <w:rFonts w:ascii="Arial" w:hAnsi="Arial"/>
          <w:sz w:val="20"/>
          <w:lang w:val="pl-PL"/>
        </w:rPr>
        <w:t xml:space="preserve">ustanowione na nieruchomości objętej procesem inwestycyjnym i będącej przedmiotem kredytowania oraz cesja praw z polisy ubezpieczeniowej budynku. </w:t>
      </w:r>
      <w:r w:rsidRPr="00765C97">
        <w:rPr>
          <w:rFonts w:ascii="Arial" w:hAnsi="Arial" w:cs="Arial"/>
          <w:sz w:val="20"/>
          <w:szCs w:val="20"/>
          <w:lang w:val="pl-PL"/>
        </w:rPr>
        <w:t xml:space="preserve">Dnia 30 grudnia 2011 r. </w:t>
      </w:r>
      <w:r w:rsidRPr="00765C97">
        <w:rPr>
          <w:rFonts w:ascii="Arial" w:hAnsi="Arial"/>
          <w:sz w:val="20"/>
          <w:lang w:val="pl-PL"/>
        </w:rPr>
        <w:t xml:space="preserve">Spółka dokonała przewalutowania pozostałej do spłaty kwoty kredytu na walutę euro. </w:t>
      </w:r>
      <w:r w:rsidRPr="00765C97">
        <w:rPr>
          <w:rFonts w:ascii="Arial" w:hAnsi="Arial" w:cs="Arial"/>
          <w:sz w:val="20"/>
          <w:szCs w:val="20"/>
          <w:lang w:val="pl-PL"/>
        </w:rPr>
        <w:t xml:space="preserve">Na dzień 31 grudnia 2012 r. wartość kapitału pozostającego do spłaty wynosiła 4 513 tys. </w:t>
      </w:r>
      <w:r w:rsidRPr="00765C97">
        <w:rPr>
          <w:rFonts w:ascii="Arial" w:hAnsi="Arial" w:cs="Arial"/>
          <w:sz w:val="20"/>
          <w:szCs w:val="20"/>
        </w:rPr>
        <w:t xml:space="preserve">EUR, tj. </w:t>
      </w:r>
      <w:r w:rsidRPr="00765C97">
        <w:rPr>
          <w:rFonts w:ascii="Arial" w:hAnsi="Arial" w:cs="Arial"/>
          <w:sz w:val="20"/>
          <w:szCs w:val="20"/>
          <w:lang w:val="pl-PL"/>
        </w:rPr>
        <w:t>18 449</w:t>
      </w:r>
      <w:r w:rsidRPr="00765C97">
        <w:rPr>
          <w:rFonts w:ascii="Arial" w:hAnsi="Arial" w:cs="Arial"/>
          <w:sz w:val="20"/>
          <w:szCs w:val="20"/>
        </w:rPr>
        <w:t xml:space="preserve"> tys. zł.</w:t>
      </w:r>
    </w:p>
    <w:p w:rsidR="0009347A" w:rsidRPr="00765C97" w:rsidRDefault="0009347A" w:rsidP="0009347A">
      <w:pPr>
        <w:pStyle w:val="Akapitzlist"/>
        <w:rPr>
          <w:rFonts w:ascii="Arial" w:hAnsi="Arial"/>
          <w:sz w:val="20"/>
          <w:lang w:val="pl-PL"/>
        </w:rPr>
      </w:pPr>
    </w:p>
    <w:p w:rsidR="0009347A" w:rsidRPr="00765C97" w:rsidRDefault="0009347A" w:rsidP="00135A9A">
      <w:pPr>
        <w:pStyle w:val="Tekstpodstawowywcity2"/>
        <w:numPr>
          <w:ilvl w:val="0"/>
          <w:numId w:val="26"/>
        </w:numPr>
        <w:spacing w:after="0" w:line="240" w:lineRule="auto"/>
        <w:jc w:val="both"/>
        <w:rPr>
          <w:rFonts w:ascii="Arial" w:hAnsi="Arial"/>
          <w:sz w:val="20"/>
          <w:lang w:val="pl-PL"/>
        </w:rPr>
      </w:pPr>
      <w:r w:rsidRPr="00765C97">
        <w:rPr>
          <w:rFonts w:ascii="Arial" w:hAnsi="Arial" w:cs="Arial"/>
          <w:sz w:val="20"/>
          <w:szCs w:val="20"/>
          <w:lang w:val="pl-PL"/>
        </w:rPr>
        <w:t xml:space="preserve">kredyt inwestycyjny w BNP Paribas Bank Polska S.A. (dawniej Fortis Bank Polska S.A.) z siedzibą w Warszawie na sfinansowanie zakupu sprzętu oraz oprogramowania dla realizacji projektu outsourcingu usług data center dla jednego z klientów. Kredyt został udzielony w wysokości 2 400 tys. EUR, z okresem kredytowania do 2016 roku. Uruchomienie środków nastąpiło w dniu 7 sierpnia 2012 r. Oprocentowanie oparte jest na stopie zmiennej. Zabezpieczeniem kredytu są przelew wierzytelności z kontraktu oraz zastaw rejestrowy na środkach trwałych będących przedmiotem finansowania. Na dzień 31 grudnia 2012 r. wartość kapitału pozostającego do spłaty wynosiła 2 182 tys. </w:t>
      </w:r>
      <w:r w:rsidRPr="00765C97">
        <w:rPr>
          <w:rFonts w:ascii="Arial" w:hAnsi="Arial" w:cs="Arial"/>
          <w:sz w:val="20"/>
          <w:szCs w:val="20"/>
        </w:rPr>
        <w:t xml:space="preserve">EUR, tj. </w:t>
      </w:r>
      <w:r w:rsidRPr="00765C97">
        <w:rPr>
          <w:rFonts w:ascii="Arial" w:hAnsi="Arial" w:cs="Arial"/>
          <w:sz w:val="20"/>
          <w:szCs w:val="20"/>
          <w:lang w:val="pl-PL"/>
        </w:rPr>
        <w:t>8 920</w:t>
      </w:r>
      <w:r w:rsidRPr="00765C97">
        <w:rPr>
          <w:rFonts w:ascii="Arial" w:hAnsi="Arial" w:cs="Arial"/>
          <w:sz w:val="20"/>
          <w:szCs w:val="20"/>
        </w:rPr>
        <w:t xml:space="preserve"> tys. zł.</w:t>
      </w:r>
    </w:p>
    <w:p w:rsidR="0009347A" w:rsidRPr="00765C97" w:rsidRDefault="0009347A" w:rsidP="0009347A">
      <w:pPr>
        <w:pStyle w:val="Tekstpodstawowywcity2"/>
        <w:spacing w:after="0" w:line="240" w:lineRule="auto"/>
        <w:ind w:left="142"/>
        <w:jc w:val="both"/>
        <w:rPr>
          <w:rFonts w:ascii="Arial" w:hAnsi="Arial"/>
          <w:sz w:val="20"/>
          <w:lang w:val="pl-PL"/>
        </w:rPr>
      </w:pPr>
    </w:p>
    <w:p w:rsidR="0009347A" w:rsidRPr="00765C97" w:rsidRDefault="0009347A" w:rsidP="00833CBA">
      <w:pPr>
        <w:pStyle w:val="Tekstpodstawowywcity2"/>
        <w:spacing w:after="0" w:line="240" w:lineRule="auto"/>
        <w:ind w:left="0"/>
        <w:jc w:val="both"/>
        <w:rPr>
          <w:rFonts w:ascii="Arial" w:hAnsi="Arial"/>
          <w:sz w:val="20"/>
          <w:lang w:val="pl-PL"/>
        </w:rPr>
      </w:pPr>
      <w:r w:rsidRPr="00765C97">
        <w:rPr>
          <w:rFonts w:ascii="Arial" w:hAnsi="Arial"/>
          <w:sz w:val="20"/>
          <w:lang w:val="pl-PL"/>
        </w:rPr>
        <w:t xml:space="preserve">Spółka iMed24 S.A. zaciągnęła w trzecim kwartale 2011 roku kredyt inwestycyjny w Banku Pekao S.A. z siedzibą w Warszawie na sfinansowanie zakupu sprzętu medycznego i wyposażenia gabinetów medycznych w związku z realizacją projektu NZOZ Centrum Medyczne iMed24 w Krakowie. Wysokość dostępnego kredytu wynosiła 15 889 tys. zł, kredyt został wykorzystany w całości do 31 grudnia 2011. Okres kredytowania wynosi 7 lat, tj. do 2018 roku, oprocentowanie kredytu oparte jest na stopie zmiennej. Zabezpieczeniem kredytu są zastaw rejestrowy na środkach trwałych będących przedmiotem finansowania, cesja praw z polisy ubezpieczeniowej środków trwałych oraz poręczenie </w:t>
      </w:r>
      <w:r w:rsidR="00F35BD0" w:rsidRPr="00765C97">
        <w:rPr>
          <w:rFonts w:ascii="Arial" w:hAnsi="Arial"/>
          <w:sz w:val="20"/>
          <w:lang w:val="pl-PL"/>
        </w:rPr>
        <w:t>jednostki</w:t>
      </w:r>
      <w:r w:rsidRPr="00765C97">
        <w:rPr>
          <w:rFonts w:ascii="Arial" w:hAnsi="Arial"/>
          <w:sz w:val="20"/>
          <w:lang w:val="pl-PL"/>
        </w:rPr>
        <w:t xml:space="preserve"> dominujące</w:t>
      </w:r>
      <w:r w:rsidR="00F35BD0" w:rsidRPr="00765C97">
        <w:rPr>
          <w:rFonts w:ascii="Arial" w:hAnsi="Arial"/>
          <w:sz w:val="20"/>
          <w:lang w:val="pl-PL"/>
        </w:rPr>
        <w:t>j</w:t>
      </w:r>
      <w:r w:rsidRPr="00765C97">
        <w:rPr>
          <w:rFonts w:ascii="Arial" w:hAnsi="Arial"/>
          <w:sz w:val="20"/>
          <w:lang w:val="pl-PL"/>
        </w:rPr>
        <w:t xml:space="preserve"> tj. Comarch S.A. Na dzień 31 grudnia 2012 r. wartość kapitału pozostającego do spłaty wynosiła 13 619 tys. zł.</w:t>
      </w:r>
    </w:p>
    <w:p w:rsidR="00652D8D" w:rsidRPr="00765C97" w:rsidRDefault="00652D8D" w:rsidP="00833CBA">
      <w:pPr>
        <w:pStyle w:val="Tekstpodstawowywcity2"/>
        <w:spacing w:after="0" w:line="240" w:lineRule="auto"/>
        <w:ind w:left="0"/>
        <w:jc w:val="both"/>
        <w:rPr>
          <w:rFonts w:ascii="Arial" w:hAnsi="Arial"/>
          <w:sz w:val="20"/>
          <w:lang w:val="pl-PL" w:eastAsia="pl-PL"/>
        </w:rPr>
      </w:pPr>
    </w:p>
    <w:p w:rsidR="00652D8D" w:rsidRPr="00765C97" w:rsidRDefault="00652D8D" w:rsidP="00833CBA">
      <w:pPr>
        <w:pStyle w:val="Tekstpodstawowywcity2"/>
        <w:spacing w:after="0" w:line="240" w:lineRule="auto"/>
        <w:ind w:left="0"/>
        <w:jc w:val="both"/>
        <w:rPr>
          <w:rFonts w:ascii="Arial" w:hAnsi="Arial"/>
          <w:sz w:val="20"/>
          <w:lang w:val="pl-PL"/>
        </w:rPr>
      </w:pPr>
      <w:r w:rsidRPr="00765C97">
        <w:rPr>
          <w:rFonts w:ascii="Arial" w:hAnsi="Arial"/>
          <w:sz w:val="20"/>
          <w:lang w:val="pl-PL"/>
        </w:rPr>
        <w:t>Wartość zobowiązań z tytułu kredytów została ujęta w wysokości zamortyzowanego kosztu ustalonego przy zastosowaniu efektywnej stopy procentowej. Wartość godziwa zobowiązań z tytułu kredytów i pożyczek nie jest istotnie różna od wartości bilansowej. W okresie sprawozdawczym nie wystąpiły przypadki nieterminowej spłaty kapitału lub wypłaty odsetek od zaciągniętych kredytów i pożyczek, ani nie zostały naruszone inne warunki umów kredytów i pożyczek, uprawniające kredytodawcę do żądania wcześniejszej spłaty kredytu lub pożyczki.</w:t>
      </w:r>
    </w:p>
    <w:p w:rsidR="00652D8D" w:rsidRPr="00765C97" w:rsidRDefault="00652D8D" w:rsidP="00833CBA">
      <w:pPr>
        <w:adjustRightInd w:val="0"/>
        <w:jc w:val="both"/>
        <w:rPr>
          <w:rFonts w:ascii="Arial" w:hAnsi="Arial"/>
          <w:sz w:val="20"/>
          <w:lang w:val="pl-PL"/>
        </w:rPr>
      </w:pPr>
    </w:p>
    <w:p w:rsidR="00ED0ABA" w:rsidRPr="00765C97" w:rsidRDefault="00652D8D" w:rsidP="00833CBA">
      <w:pPr>
        <w:pStyle w:val="Tekstpodstawowywcity2"/>
        <w:spacing w:after="0" w:line="240" w:lineRule="auto"/>
        <w:ind w:left="0"/>
        <w:jc w:val="both"/>
        <w:rPr>
          <w:rFonts w:ascii="Arial" w:hAnsi="Arial"/>
          <w:sz w:val="20"/>
          <w:lang w:val="pl-PL"/>
        </w:rPr>
      </w:pPr>
      <w:r w:rsidRPr="00765C97">
        <w:rPr>
          <w:rFonts w:ascii="Arial" w:hAnsi="Arial"/>
          <w:sz w:val="20"/>
          <w:lang w:val="pl-PL"/>
        </w:rPr>
        <w:t>Obciążenie kredytów Grupy ryzykiem stopy procentowej dotyczy kredytów oprocentowanych w oparciu o zmienną stopę procentową. Grupa prowadzi optymalizacje kosztów odsetkowych poprzez stały monitoring struktury stóp procentowych i odpowiednie dopasowanie bazowej stopy procentowej kredytu.</w:t>
      </w:r>
    </w:p>
    <w:p w:rsidR="00B069E7" w:rsidRPr="00765C97" w:rsidRDefault="00B069E7" w:rsidP="00833CBA">
      <w:pPr>
        <w:pStyle w:val="Tekstpodstawowywcity3"/>
        <w:adjustRightInd w:val="0"/>
        <w:spacing w:after="0"/>
        <w:ind w:left="0"/>
        <w:rPr>
          <w:rFonts w:ascii="Arial" w:hAnsi="Arial"/>
          <w:b/>
          <w:sz w:val="20"/>
          <w:lang w:val="pl-PL"/>
        </w:rPr>
      </w:pPr>
    </w:p>
    <w:p w:rsidR="00156FAC" w:rsidRPr="00765C97" w:rsidRDefault="00156FAC" w:rsidP="00833CBA">
      <w:pPr>
        <w:pStyle w:val="Tekstpodstawowywcity3"/>
        <w:adjustRightInd w:val="0"/>
        <w:spacing w:after="0"/>
        <w:ind w:left="0"/>
        <w:rPr>
          <w:rFonts w:ascii="Arial" w:hAnsi="Arial"/>
          <w:b/>
          <w:sz w:val="20"/>
          <w:lang w:val="pl-PL"/>
        </w:rPr>
      </w:pPr>
      <w:r w:rsidRPr="00765C97">
        <w:rPr>
          <w:rFonts w:ascii="Arial" w:hAnsi="Arial"/>
          <w:b/>
          <w:sz w:val="20"/>
          <w:lang w:val="pl-PL"/>
        </w:rPr>
        <w:t>Obciążenie kredytów Grupy ryzykiem stopy procentowej</w:t>
      </w:r>
    </w:p>
    <w:p w:rsidR="00156FAC" w:rsidRPr="00765C97" w:rsidRDefault="00156FAC" w:rsidP="00156FAC">
      <w:pPr>
        <w:pStyle w:val="Tekstpodstawowywcity3"/>
        <w:adjustRightInd w:val="0"/>
        <w:spacing w:after="0"/>
        <w:ind w:left="284"/>
        <w:rPr>
          <w:rFonts w:ascii="Arial" w:hAnsi="Arial"/>
          <w:b/>
          <w:sz w:val="20"/>
          <w:lang w:val="pl-PL"/>
        </w:rPr>
      </w:pPr>
    </w:p>
    <w:tbl>
      <w:tblPr>
        <w:tblW w:w="0" w:type="auto"/>
        <w:tblInd w:w="212" w:type="dxa"/>
        <w:tblLayout w:type="fixed"/>
        <w:tblCellMar>
          <w:left w:w="70" w:type="dxa"/>
          <w:right w:w="70" w:type="dxa"/>
        </w:tblCellMar>
        <w:tblLook w:val="04A0"/>
      </w:tblPr>
      <w:tblGrid>
        <w:gridCol w:w="2126"/>
        <w:gridCol w:w="1276"/>
        <w:gridCol w:w="1276"/>
        <w:gridCol w:w="1276"/>
        <w:gridCol w:w="1417"/>
        <w:gridCol w:w="992"/>
      </w:tblGrid>
      <w:tr w:rsidR="00156FAC" w:rsidRPr="00765C97">
        <w:trPr>
          <w:trHeight w:val="255"/>
        </w:trPr>
        <w:tc>
          <w:tcPr>
            <w:tcW w:w="2126" w:type="dxa"/>
            <w:vAlign w:val="center"/>
          </w:tcPr>
          <w:p w:rsidR="00156FAC" w:rsidRPr="00765C97" w:rsidRDefault="00156FAC" w:rsidP="00156FAC">
            <w:pPr>
              <w:rPr>
                <w:rFonts w:ascii="Arial" w:hAnsi="Arial"/>
                <w:b/>
                <w:sz w:val="20"/>
                <w:lang w:val="pl-PL"/>
              </w:rPr>
            </w:pPr>
            <w:r w:rsidRPr="00765C97">
              <w:rPr>
                <w:rFonts w:ascii="Arial" w:hAnsi="Arial"/>
                <w:b/>
                <w:sz w:val="20"/>
                <w:lang w:val="pl-PL"/>
              </w:rPr>
              <w:t xml:space="preserve">Stan na </w:t>
            </w:r>
          </w:p>
          <w:p w:rsidR="00156FAC" w:rsidRPr="00765C97" w:rsidRDefault="00156FAC" w:rsidP="00652D8D">
            <w:pPr>
              <w:rPr>
                <w:rFonts w:ascii="Arial" w:hAnsi="Arial"/>
                <w:b/>
                <w:sz w:val="20"/>
                <w:lang w:val="pl-PL"/>
              </w:rPr>
            </w:pPr>
            <w:r w:rsidRPr="00765C97">
              <w:rPr>
                <w:rFonts w:ascii="Arial" w:hAnsi="Arial"/>
                <w:b/>
                <w:sz w:val="20"/>
                <w:lang w:val="pl-PL"/>
              </w:rPr>
              <w:t>31 grudnia 201</w:t>
            </w:r>
            <w:r w:rsidR="0019506E" w:rsidRPr="00765C97">
              <w:rPr>
                <w:rFonts w:ascii="Arial" w:hAnsi="Arial"/>
                <w:b/>
                <w:sz w:val="20"/>
                <w:lang w:val="pl-PL"/>
              </w:rPr>
              <w:t>2</w:t>
            </w:r>
            <w:r w:rsidRPr="00765C97">
              <w:rPr>
                <w:rFonts w:ascii="Arial" w:hAnsi="Arial"/>
                <w:b/>
                <w:sz w:val="20"/>
                <w:lang w:val="pl-PL"/>
              </w:rPr>
              <w:t xml:space="preserve"> r.</w:t>
            </w:r>
          </w:p>
        </w:tc>
        <w:tc>
          <w:tcPr>
            <w:tcW w:w="1276" w:type="dxa"/>
            <w:vAlign w:val="center"/>
          </w:tcPr>
          <w:p w:rsidR="00156FAC" w:rsidRPr="00765C97" w:rsidRDefault="00156FAC" w:rsidP="00156FAC">
            <w:pPr>
              <w:ind w:firstLine="201"/>
              <w:jc w:val="right"/>
              <w:rPr>
                <w:rFonts w:ascii="Arial" w:hAnsi="Arial"/>
                <w:b/>
                <w:sz w:val="20"/>
                <w:lang w:val="pl-PL"/>
              </w:rPr>
            </w:pPr>
            <w:r w:rsidRPr="00765C97">
              <w:rPr>
                <w:rFonts w:ascii="Arial" w:hAnsi="Arial"/>
                <w:b/>
                <w:sz w:val="20"/>
                <w:lang w:val="pl-PL"/>
              </w:rPr>
              <w:t>do 6 miesięcy</w:t>
            </w:r>
          </w:p>
        </w:tc>
        <w:tc>
          <w:tcPr>
            <w:tcW w:w="1276" w:type="dxa"/>
            <w:vAlign w:val="center"/>
          </w:tcPr>
          <w:p w:rsidR="00156FAC" w:rsidRPr="00765C97" w:rsidRDefault="00156FAC" w:rsidP="00156FAC">
            <w:pPr>
              <w:ind w:firstLine="201"/>
              <w:jc w:val="right"/>
              <w:rPr>
                <w:rFonts w:ascii="Arial" w:hAnsi="Arial"/>
                <w:b/>
                <w:sz w:val="20"/>
                <w:lang w:val="pl-PL"/>
              </w:rPr>
            </w:pPr>
            <w:r w:rsidRPr="00765C97">
              <w:rPr>
                <w:rFonts w:ascii="Arial" w:hAnsi="Arial"/>
                <w:b/>
                <w:sz w:val="20"/>
                <w:lang w:val="pl-PL"/>
              </w:rPr>
              <w:t>6-12 miesięcy</w:t>
            </w:r>
          </w:p>
        </w:tc>
        <w:tc>
          <w:tcPr>
            <w:tcW w:w="1276" w:type="dxa"/>
            <w:vAlign w:val="center"/>
          </w:tcPr>
          <w:p w:rsidR="00156FAC" w:rsidRPr="00765C97" w:rsidRDefault="00156FAC" w:rsidP="00156FAC">
            <w:pPr>
              <w:ind w:firstLine="201"/>
              <w:jc w:val="right"/>
              <w:rPr>
                <w:rFonts w:ascii="Arial" w:hAnsi="Arial"/>
                <w:b/>
                <w:sz w:val="20"/>
                <w:lang w:val="pl-PL"/>
              </w:rPr>
            </w:pPr>
            <w:r w:rsidRPr="00765C97">
              <w:rPr>
                <w:rFonts w:ascii="Arial" w:hAnsi="Arial"/>
                <w:b/>
                <w:sz w:val="20"/>
                <w:lang w:val="pl-PL"/>
              </w:rPr>
              <w:t>1-5 lat</w:t>
            </w:r>
          </w:p>
        </w:tc>
        <w:tc>
          <w:tcPr>
            <w:tcW w:w="1417" w:type="dxa"/>
            <w:vAlign w:val="center"/>
          </w:tcPr>
          <w:p w:rsidR="00156FAC" w:rsidRPr="00765C97" w:rsidRDefault="00156FAC" w:rsidP="00156FAC">
            <w:pPr>
              <w:ind w:firstLine="201"/>
              <w:jc w:val="right"/>
              <w:rPr>
                <w:rFonts w:ascii="Arial" w:hAnsi="Arial"/>
                <w:b/>
                <w:sz w:val="20"/>
                <w:lang w:val="pl-PL"/>
              </w:rPr>
            </w:pPr>
            <w:r w:rsidRPr="00765C97">
              <w:rPr>
                <w:rFonts w:ascii="Arial" w:hAnsi="Arial"/>
                <w:b/>
                <w:sz w:val="20"/>
                <w:lang w:val="pl-PL"/>
              </w:rPr>
              <w:t>powyżej 5 lat</w:t>
            </w:r>
          </w:p>
        </w:tc>
        <w:tc>
          <w:tcPr>
            <w:tcW w:w="992" w:type="dxa"/>
            <w:vAlign w:val="center"/>
          </w:tcPr>
          <w:p w:rsidR="00156FAC" w:rsidRPr="00765C97" w:rsidRDefault="00156FAC" w:rsidP="00156FAC">
            <w:pPr>
              <w:ind w:firstLine="201"/>
              <w:jc w:val="right"/>
              <w:rPr>
                <w:rFonts w:ascii="Arial" w:hAnsi="Arial"/>
                <w:b/>
                <w:sz w:val="20"/>
                <w:lang w:val="pl-PL"/>
              </w:rPr>
            </w:pPr>
            <w:r w:rsidRPr="00765C97">
              <w:rPr>
                <w:rFonts w:ascii="Arial" w:hAnsi="Arial"/>
                <w:b/>
                <w:sz w:val="20"/>
                <w:lang w:val="pl-PL"/>
              </w:rPr>
              <w:t>Razem</w:t>
            </w:r>
          </w:p>
        </w:tc>
      </w:tr>
      <w:tr w:rsidR="0009347A" w:rsidRPr="00765C97" w:rsidTr="00652D8D">
        <w:trPr>
          <w:trHeight w:val="255"/>
        </w:trPr>
        <w:tc>
          <w:tcPr>
            <w:tcW w:w="2126" w:type="dxa"/>
            <w:vAlign w:val="center"/>
          </w:tcPr>
          <w:p w:rsidR="0009347A" w:rsidRPr="00765C97" w:rsidRDefault="0009347A" w:rsidP="00156FAC">
            <w:pPr>
              <w:rPr>
                <w:rFonts w:ascii="Arial" w:hAnsi="Arial"/>
                <w:sz w:val="20"/>
                <w:lang w:val="pl-PL"/>
              </w:rPr>
            </w:pPr>
            <w:r w:rsidRPr="00765C97">
              <w:rPr>
                <w:rFonts w:ascii="Arial" w:hAnsi="Arial"/>
                <w:sz w:val="20"/>
                <w:lang w:val="pl-PL"/>
              </w:rPr>
              <w:t xml:space="preserve">Kredyty i pożyczki  </w:t>
            </w:r>
          </w:p>
        </w:tc>
        <w:tc>
          <w:tcPr>
            <w:tcW w:w="1276" w:type="dxa"/>
            <w:vAlign w:val="center"/>
          </w:tcPr>
          <w:p w:rsidR="0009347A" w:rsidRPr="00765C97" w:rsidRDefault="0009347A" w:rsidP="005D7C6A">
            <w:pPr>
              <w:jc w:val="right"/>
              <w:rPr>
                <w:rFonts w:ascii="Arial" w:hAnsi="Arial" w:cs="Arial"/>
                <w:sz w:val="20"/>
                <w:szCs w:val="20"/>
              </w:rPr>
            </w:pPr>
            <w:r w:rsidRPr="00765C97">
              <w:rPr>
                <w:rFonts w:ascii="Arial" w:hAnsi="Arial" w:cs="Arial"/>
                <w:sz w:val="20"/>
                <w:szCs w:val="20"/>
              </w:rPr>
              <w:t>29 502</w:t>
            </w:r>
          </w:p>
        </w:tc>
        <w:tc>
          <w:tcPr>
            <w:tcW w:w="1276" w:type="dxa"/>
            <w:vAlign w:val="center"/>
          </w:tcPr>
          <w:p w:rsidR="0009347A" w:rsidRPr="00765C97" w:rsidRDefault="0009347A" w:rsidP="005D7C6A">
            <w:pPr>
              <w:jc w:val="right"/>
              <w:rPr>
                <w:rFonts w:ascii="Arial" w:hAnsi="Arial" w:cs="Arial"/>
                <w:sz w:val="20"/>
                <w:szCs w:val="20"/>
              </w:rPr>
            </w:pPr>
            <w:r w:rsidRPr="00765C97">
              <w:rPr>
                <w:rFonts w:ascii="Arial" w:hAnsi="Arial" w:cs="Arial"/>
                <w:sz w:val="20"/>
                <w:szCs w:val="20"/>
              </w:rPr>
              <w:t>6 764</w:t>
            </w:r>
          </w:p>
        </w:tc>
        <w:tc>
          <w:tcPr>
            <w:tcW w:w="1276" w:type="dxa"/>
            <w:vAlign w:val="center"/>
          </w:tcPr>
          <w:p w:rsidR="0009347A" w:rsidRPr="00765C97" w:rsidRDefault="0009347A" w:rsidP="005D7C6A">
            <w:pPr>
              <w:jc w:val="right"/>
              <w:rPr>
                <w:rFonts w:ascii="Arial" w:hAnsi="Arial" w:cs="Arial"/>
                <w:sz w:val="20"/>
                <w:szCs w:val="20"/>
              </w:rPr>
            </w:pPr>
            <w:r w:rsidRPr="00765C97">
              <w:rPr>
                <w:rFonts w:ascii="Arial" w:hAnsi="Arial" w:cs="Arial"/>
                <w:sz w:val="20"/>
                <w:szCs w:val="20"/>
              </w:rPr>
              <w:t>59 639</w:t>
            </w:r>
          </w:p>
        </w:tc>
        <w:tc>
          <w:tcPr>
            <w:tcW w:w="1417" w:type="dxa"/>
            <w:vAlign w:val="center"/>
          </w:tcPr>
          <w:p w:rsidR="0009347A" w:rsidRPr="00765C97" w:rsidRDefault="0009347A" w:rsidP="005D7C6A">
            <w:pPr>
              <w:jc w:val="right"/>
              <w:rPr>
                <w:rFonts w:ascii="Arial" w:hAnsi="Arial" w:cs="Arial"/>
                <w:sz w:val="20"/>
                <w:szCs w:val="20"/>
              </w:rPr>
            </w:pPr>
            <w:r w:rsidRPr="00765C97">
              <w:rPr>
                <w:rFonts w:ascii="Arial" w:hAnsi="Arial" w:cs="Arial"/>
                <w:sz w:val="20"/>
                <w:szCs w:val="20"/>
              </w:rPr>
              <w:t>35 253</w:t>
            </w:r>
          </w:p>
        </w:tc>
        <w:tc>
          <w:tcPr>
            <w:tcW w:w="992" w:type="dxa"/>
            <w:vAlign w:val="center"/>
          </w:tcPr>
          <w:p w:rsidR="0009347A" w:rsidRPr="00765C97" w:rsidRDefault="0009347A" w:rsidP="005D7C6A">
            <w:pPr>
              <w:jc w:val="right"/>
              <w:rPr>
                <w:rFonts w:ascii="Arial" w:hAnsi="Arial" w:cs="Arial"/>
                <w:sz w:val="20"/>
                <w:szCs w:val="20"/>
              </w:rPr>
            </w:pPr>
            <w:r w:rsidRPr="00765C97">
              <w:rPr>
                <w:rFonts w:ascii="Arial" w:hAnsi="Arial" w:cs="Arial"/>
                <w:sz w:val="20"/>
                <w:szCs w:val="20"/>
              </w:rPr>
              <w:t>131 158</w:t>
            </w:r>
          </w:p>
        </w:tc>
      </w:tr>
      <w:tr w:rsidR="0009347A" w:rsidRPr="00765C97" w:rsidTr="00652D8D">
        <w:trPr>
          <w:trHeight w:val="255"/>
        </w:trPr>
        <w:tc>
          <w:tcPr>
            <w:tcW w:w="2126" w:type="dxa"/>
            <w:vAlign w:val="center"/>
          </w:tcPr>
          <w:p w:rsidR="0009347A" w:rsidRPr="00765C97" w:rsidRDefault="0009347A" w:rsidP="00156FAC">
            <w:pPr>
              <w:rPr>
                <w:rFonts w:ascii="Arial" w:hAnsi="Arial"/>
                <w:sz w:val="20"/>
                <w:lang w:val="pl-PL"/>
              </w:rPr>
            </w:pPr>
            <w:r w:rsidRPr="00765C97">
              <w:rPr>
                <w:rFonts w:ascii="Arial" w:hAnsi="Arial"/>
                <w:sz w:val="20"/>
                <w:lang w:val="pl-PL"/>
              </w:rPr>
              <w:t>odsetki</w:t>
            </w:r>
          </w:p>
        </w:tc>
        <w:tc>
          <w:tcPr>
            <w:tcW w:w="1276" w:type="dxa"/>
            <w:tcBorders>
              <w:top w:val="nil"/>
              <w:left w:val="nil"/>
              <w:bottom w:val="single" w:sz="4" w:space="0" w:color="auto"/>
              <w:right w:val="nil"/>
            </w:tcBorders>
            <w:vAlign w:val="center"/>
          </w:tcPr>
          <w:p w:rsidR="0009347A" w:rsidRPr="00765C97" w:rsidRDefault="0009347A" w:rsidP="005D7C6A">
            <w:pPr>
              <w:jc w:val="right"/>
              <w:rPr>
                <w:rFonts w:ascii="Arial" w:hAnsi="Arial" w:cs="Arial"/>
                <w:sz w:val="20"/>
                <w:szCs w:val="20"/>
              </w:rPr>
            </w:pPr>
            <w:r w:rsidRPr="00765C97">
              <w:rPr>
                <w:rFonts w:ascii="Arial" w:hAnsi="Arial" w:cs="Arial"/>
                <w:sz w:val="20"/>
                <w:szCs w:val="20"/>
              </w:rPr>
              <w:t>59</w:t>
            </w:r>
          </w:p>
        </w:tc>
        <w:tc>
          <w:tcPr>
            <w:tcW w:w="1276" w:type="dxa"/>
            <w:tcBorders>
              <w:top w:val="nil"/>
              <w:left w:val="nil"/>
              <w:bottom w:val="single" w:sz="4" w:space="0" w:color="auto"/>
              <w:right w:val="nil"/>
            </w:tcBorders>
            <w:vAlign w:val="center"/>
          </w:tcPr>
          <w:p w:rsidR="0009347A" w:rsidRPr="00765C97" w:rsidRDefault="0009347A" w:rsidP="005D7C6A">
            <w:pPr>
              <w:jc w:val="right"/>
              <w:rPr>
                <w:rFonts w:ascii="Arial" w:hAnsi="Arial" w:cs="Arial"/>
                <w:sz w:val="20"/>
                <w:szCs w:val="20"/>
              </w:rPr>
            </w:pPr>
            <w:r w:rsidRPr="00765C97">
              <w:rPr>
                <w:rFonts w:ascii="Arial" w:hAnsi="Arial" w:cs="Arial"/>
                <w:sz w:val="20"/>
                <w:szCs w:val="20"/>
              </w:rPr>
              <w:t>- </w:t>
            </w:r>
          </w:p>
        </w:tc>
        <w:tc>
          <w:tcPr>
            <w:tcW w:w="1276" w:type="dxa"/>
            <w:tcBorders>
              <w:top w:val="nil"/>
              <w:left w:val="nil"/>
              <w:bottom w:val="single" w:sz="4" w:space="0" w:color="auto"/>
              <w:right w:val="nil"/>
            </w:tcBorders>
            <w:vAlign w:val="center"/>
          </w:tcPr>
          <w:p w:rsidR="0009347A" w:rsidRPr="00765C97" w:rsidRDefault="0009347A" w:rsidP="005D7C6A">
            <w:pPr>
              <w:jc w:val="right"/>
              <w:rPr>
                <w:rFonts w:ascii="Arial" w:hAnsi="Arial" w:cs="Arial"/>
                <w:sz w:val="20"/>
                <w:szCs w:val="20"/>
              </w:rPr>
            </w:pPr>
            <w:r w:rsidRPr="00765C97">
              <w:rPr>
                <w:rFonts w:ascii="Arial" w:hAnsi="Arial" w:cs="Arial"/>
                <w:sz w:val="20"/>
                <w:szCs w:val="20"/>
              </w:rPr>
              <w:t>- </w:t>
            </w:r>
          </w:p>
        </w:tc>
        <w:tc>
          <w:tcPr>
            <w:tcW w:w="1417" w:type="dxa"/>
            <w:tcBorders>
              <w:top w:val="nil"/>
              <w:left w:val="nil"/>
              <w:bottom w:val="single" w:sz="4" w:space="0" w:color="auto"/>
              <w:right w:val="nil"/>
            </w:tcBorders>
            <w:vAlign w:val="center"/>
          </w:tcPr>
          <w:p w:rsidR="0009347A" w:rsidRPr="00765C97" w:rsidRDefault="0009347A" w:rsidP="005D7C6A">
            <w:pPr>
              <w:jc w:val="right"/>
              <w:rPr>
                <w:rFonts w:ascii="Arial" w:hAnsi="Arial" w:cs="Arial"/>
                <w:sz w:val="20"/>
                <w:szCs w:val="20"/>
              </w:rPr>
            </w:pPr>
            <w:r w:rsidRPr="00765C97">
              <w:rPr>
                <w:rFonts w:ascii="Arial" w:hAnsi="Arial" w:cs="Arial"/>
                <w:sz w:val="20"/>
                <w:szCs w:val="20"/>
              </w:rPr>
              <w:t>- </w:t>
            </w:r>
          </w:p>
        </w:tc>
        <w:tc>
          <w:tcPr>
            <w:tcW w:w="992" w:type="dxa"/>
            <w:tcBorders>
              <w:top w:val="nil"/>
              <w:left w:val="nil"/>
              <w:bottom w:val="single" w:sz="4" w:space="0" w:color="auto"/>
              <w:right w:val="nil"/>
            </w:tcBorders>
            <w:vAlign w:val="center"/>
          </w:tcPr>
          <w:p w:rsidR="0009347A" w:rsidRPr="00765C97" w:rsidRDefault="0009347A" w:rsidP="005D7C6A">
            <w:pPr>
              <w:jc w:val="right"/>
              <w:rPr>
                <w:rFonts w:ascii="Arial" w:hAnsi="Arial" w:cs="Arial"/>
                <w:sz w:val="20"/>
                <w:szCs w:val="20"/>
              </w:rPr>
            </w:pPr>
            <w:r w:rsidRPr="00765C97">
              <w:rPr>
                <w:rFonts w:ascii="Arial" w:hAnsi="Arial" w:cs="Arial"/>
                <w:sz w:val="20"/>
                <w:szCs w:val="20"/>
              </w:rPr>
              <w:t>59</w:t>
            </w:r>
          </w:p>
        </w:tc>
      </w:tr>
      <w:tr w:rsidR="0009347A" w:rsidRPr="00765C97" w:rsidTr="00652D8D">
        <w:trPr>
          <w:trHeight w:val="231"/>
        </w:trPr>
        <w:tc>
          <w:tcPr>
            <w:tcW w:w="2126" w:type="dxa"/>
            <w:vAlign w:val="center"/>
          </w:tcPr>
          <w:p w:rsidR="0009347A" w:rsidRPr="00765C97" w:rsidRDefault="0009347A" w:rsidP="00156FAC">
            <w:pPr>
              <w:rPr>
                <w:rFonts w:ascii="Arial" w:hAnsi="Arial"/>
                <w:sz w:val="20"/>
                <w:lang w:val="pl-PL"/>
              </w:rPr>
            </w:pPr>
          </w:p>
        </w:tc>
        <w:tc>
          <w:tcPr>
            <w:tcW w:w="1276" w:type="dxa"/>
            <w:vAlign w:val="center"/>
          </w:tcPr>
          <w:p w:rsidR="0009347A" w:rsidRPr="00765C97" w:rsidRDefault="0009347A" w:rsidP="005D7C6A">
            <w:pPr>
              <w:jc w:val="right"/>
              <w:rPr>
                <w:rFonts w:ascii="Arial" w:hAnsi="Arial" w:cs="Arial"/>
                <w:b/>
                <w:bCs/>
                <w:sz w:val="20"/>
                <w:szCs w:val="20"/>
              </w:rPr>
            </w:pPr>
            <w:r w:rsidRPr="00765C97">
              <w:rPr>
                <w:rFonts w:ascii="Arial" w:hAnsi="Arial" w:cs="Arial"/>
                <w:b/>
                <w:bCs/>
                <w:sz w:val="20"/>
                <w:szCs w:val="20"/>
              </w:rPr>
              <w:t>29 561</w:t>
            </w:r>
          </w:p>
        </w:tc>
        <w:tc>
          <w:tcPr>
            <w:tcW w:w="1276" w:type="dxa"/>
            <w:vAlign w:val="center"/>
          </w:tcPr>
          <w:p w:rsidR="0009347A" w:rsidRPr="00765C97" w:rsidRDefault="0009347A" w:rsidP="005D7C6A">
            <w:pPr>
              <w:jc w:val="right"/>
              <w:rPr>
                <w:rFonts w:ascii="Arial" w:hAnsi="Arial" w:cs="Arial"/>
                <w:b/>
                <w:bCs/>
                <w:sz w:val="20"/>
                <w:szCs w:val="20"/>
              </w:rPr>
            </w:pPr>
            <w:r w:rsidRPr="00765C97">
              <w:rPr>
                <w:rFonts w:ascii="Arial" w:hAnsi="Arial" w:cs="Arial"/>
                <w:b/>
                <w:bCs/>
                <w:sz w:val="20"/>
                <w:szCs w:val="20"/>
              </w:rPr>
              <w:t>6 764</w:t>
            </w:r>
          </w:p>
        </w:tc>
        <w:tc>
          <w:tcPr>
            <w:tcW w:w="1276" w:type="dxa"/>
            <w:vAlign w:val="center"/>
          </w:tcPr>
          <w:p w:rsidR="0009347A" w:rsidRPr="00765C97" w:rsidRDefault="0009347A" w:rsidP="005D7C6A">
            <w:pPr>
              <w:jc w:val="right"/>
              <w:rPr>
                <w:rFonts w:ascii="Arial" w:hAnsi="Arial" w:cs="Arial"/>
                <w:b/>
                <w:bCs/>
                <w:sz w:val="20"/>
                <w:szCs w:val="20"/>
              </w:rPr>
            </w:pPr>
            <w:r w:rsidRPr="00765C97">
              <w:rPr>
                <w:rFonts w:ascii="Arial" w:hAnsi="Arial" w:cs="Arial"/>
                <w:b/>
                <w:bCs/>
                <w:sz w:val="20"/>
                <w:szCs w:val="20"/>
              </w:rPr>
              <w:t>59 639</w:t>
            </w:r>
          </w:p>
        </w:tc>
        <w:tc>
          <w:tcPr>
            <w:tcW w:w="1417" w:type="dxa"/>
            <w:vAlign w:val="center"/>
          </w:tcPr>
          <w:p w:rsidR="0009347A" w:rsidRPr="00765C97" w:rsidRDefault="0009347A" w:rsidP="005D7C6A">
            <w:pPr>
              <w:jc w:val="right"/>
              <w:rPr>
                <w:rFonts w:ascii="Arial" w:hAnsi="Arial" w:cs="Arial"/>
                <w:b/>
                <w:bCs/>
                <w:sz w:val="20"/>
                <w:szCs w:val="20"/>
              </w:rPr>
            </w:pPr>
            <w:r w:rsidRPr="00765C97">
              <w:rPr>
                <w:rFonts w:ascii="Arial" w:hAnsi="Arial" w:cs="Arial"/>
                <w:b/>
                <w:bCs/>
                <w:sz w:val="20"/>
                <w:szCs w:val="20"/>
              </w:rPr>
              <w:t>35 253</w:t>
            </w:r>
          </w:p>
        </w:tc>
        <w:tc>
          <w:tcPr>
            <w:tcW w:w="992" w:type="dxa"/>
            <w:vAlign w:val="center"/>
          </w:tcPr>
          <w:p w:rsidR="0009347A" w:rsidRPr="00765C97" w:rsidRDefault="0009347A" w:rsidP="005D7C6A">
            <w:pPr>
              <w:jc w:val="right"/>
              <w:rPr>
                <w:rFonts w:ascii="Arial" w:hAnsi="Arial" w:cs="Arial"/>
                <w:b/>
                <w:bCs/>
                <w:sz w:val="20"/>
                <w:szCs w:val="20"/>
              </w:rPr>
            </w:pPr>
            <w:r w:rsidRPr="00765C97">
              <w:rPr>
                <w:rFonts w:ascii="Arial" w:hAnsi="Arial" w:cs="Arial"/>
                <w:b/>
                <w:bCs/>
                <w:sz w:val="20"/>
                <w:szCs w:val="20"/>
              </w:rPr>
              <w:t>131 217</w:t>
            </w:r>
          </w:p>
        </w:tc>
      </w:tr>
    </w:tbl>
    <w:p w:rsidR="00156FAC" w:rsidRPr="00765C97" w:rsidRDefault="00156FAC" w:rsidP="00156FAC">
      <w:pPr>
        <w:pStyle w:val="Tekstpodstawowywcity3"/>
        <w:adjustRightInd w:val="0"/>
        <w:spacing w:after="0"/>
        <w:ind w:left="284"/>
        <w:rPr>
          <w:rFonts w:ascii="Arial" w:hAnsi="Arial"/>
          <w:b/>
          <w:sz w:val="20"/>
        </w:rPr>
      </w:pPr>
    </w:p>
    <w:p w:rsidR="001757A8" w:rsidRPr="00765C97" w:rsidRDefault="001757A8">
      <w:pPr>
        <w:widowControl/>
        <w:autoSpaceDE/>
        <w:autoSpaceDN/>
        <w:rPr>
          <w:rFonts w:ascii="Arial" w:hAnsi="Arial"/>
          <w:b/>
          <w:sz w:val="20"/>
          <w:lang w:val="pl-PL"/>
        </w:rPr>
      </w:pPr>
    </w:p>
    <w:p w:rsidR="00833CBA" w:rsidRPr="00765C97" w:rsidRDefault="00833CBA">
      <w:pPr>
        <w:widowControl/>
        <w:autoSpaceDE/>
        <w:autoSpaceDN/>
        <w:rPr>
          <w:rFonts w:ascii="Arial" w:hAnsi="Arial"/>
          <w:b/>
          <w:sz w:val="20"/>
          <w:lang w:val="pl-PL"/>
        </w:rPr>
      </w:pPr>
      <w:r w:rsidRPr="00765C97">
        <w:rPr>
          <w:rFonts w:ascii="Arial" w:hAnsi="Arial"/>
          <w:b/>
          <w:sz w:val="20"/>
          <w:lang w:val="pl-PL"/>
        </w:rPr>
        <w:br w:type="page"/>
      </w:r>
    </w:p>
    <w:p w:rsidR="00156FAC" w:rsidRPr="00765C97" w:rsidRDefault="00156FAC" w:rsidP="00833CBA">
      <w:pPr>
        <w:tabs>
          <w:tab w:val="left" w:pos="1134"/>
          <w:tab w:val="left" w:pos="5103"/>
          <w:tab w:val="left" w:pos="5978"/>
          <w:tab w:val="left" w:pos="6698"/>
          <w:tab w:val="left" w:pos="7413"/>
          <w:tab w:val="left" w:pos="8210"/>
          <w:tab w:val="left" w:pos="8930"/>
        </w:tabs>
        <w:rPr>
          <w:rFonts w:ascii="Arial" w:hAnsi="Arial"/>
          <w:sz w:val="20"/>
          <w:lang w:val="pl-PL"/>
        </w:rPr>
      </w:pPr>
      <w:r w:rsidRPr="00765C97">
        <w:rPr>
          <w:rFonts w:ascii="Arial" w:hAnsi="Arial"/>
          <w:b/>
          <w:sz w:val="20"/>
          <w:lang w:val="pl-PL"/>
        </w:rPr>
        <w:t>Struktura zapadalności kredytów, pożyczek i zobowiązań finansowych długoterminowych</w:t>
      </w:r>
      <w:r w:rsidRPr="00765C97">
        <w:rPr>
          <w:rFonts w:ascii="Arial" w:hAnsi="Arial"/>
          <w:sz w:val="20"/>
          <w:lang w:val="pl-PL"/>
        </w:rPr>
        <w:t xml:space="preserve"> </w:t>
      </w:r>
    </w:p>
    <w:p w:rsidR="00156FAC" w:rsidRPr="00765C97" w:rsidRDefault="00156FAC" w:rsidP="00156FAC">
      <w:pPr>
        <w:tabs>
          <w:tab w:val="left" w:pos="1134"/>
          <w:tab w:val="left" w:pos="5103"/>
          <w:tab w:val="left" w:pos="5978"/>
          <w:tab w:val="left" w:pos="6698"/>
          <w:tab w:val="left" w:pos="7413"/>
          <w:tab w:val="left" w:pos="8210"/>
          <w:tab w:val="left" w:pos="8930"/>
        </w:tabs>
        <w:ind w:left="180"/>
        <w:rPr>
          <w:rFonts w:ascii="Arial" w:hAnsi="Arial"/>
          <w:sz w:val="20"/>
          <w:lang w:val="pl-PL"/>
        </w:rPr>
      </w:pPr>
    </w:p>
    <w:tbl>
      <w:tblPr>
        <w:tblW w:w="0" w:type="auto"/>
        <w:tblInd w:w="180" w:type="dxa"/>
        <w:tblLayout w:type="fixed"/>
        <w:tblCellMar>
          <w:left w:w="0" w:type="dxa"/>
          <w:right w:w="0" w:type="dxa"/>
        </w:tblCellMar>
        <w:tblLook w:val="04A0"/>
      </w:tblPr>
      <w:tblGrid>
        <w:gridCol w:w="4260"/>
        <w:gridCol w:w="2040"/>
        <w:gridCol w:w="1920"/>
      </w:tblGrid>
      <w:tr w:rsidR="00156FAC" w:rsidRPr="00765C97" w:rsidTr="00652D8D">
        <w:trPr>
          <w:trHeight w:val="255"/>
        </w:trPr>
        <w:tc>
          <w:tcPr>
            <w:tcW w:w="4260" w:type="dxa"/>
            <w:vAlign w:val="center"/>
          </w:tcPr>
          <w:p w:rsidR="00156FAC" w:rsidRPr="00765C97" w:rsidRDefault="00156FAC" w:rsidP="00156FAC">
            <w:pPr>
              <w:rPr>
                <w:rFonts w:ascii="Arial" w:hAnsi="Arial"/>
                <w:sz w:val="20"/>
                <w:lang w:val="pl-PL"/>
              </w:rPr>
            </w:pPr>
          </w:p>
        </w:tc>
        <w:tc>
          <w:tcPr>
            <w:tcW w:w="2040" w:type="dxa"/>
            <w:vAlign w:val="center"/>
          </w:tcPr>
          <w:p w:rsidR="00156FAC" w:rsidRPr="00765C97" w:rsidRDefault="00156FAC" w:rsidP="000A451D">
            <w:pPr>
              <w:ind w:right="130"/>
              <w:jc w:val="right"/>
              <w:rPr>
                <w:rFonts w:ascii="Arial" w:hAnsi="Arial"/>
                <w:b/>
                <w:sz w:val="20"/>
                <w:lang w:val="pl-PL"/>
              </w:rPr>
            </w:pPr>
            <w:r w:rsidRPr="00765C97">
              <w:rPr>
                <w:rFonts w:ascii="Arial" w:hAnsi="Arial"/>
                <w:b/>
                <w:sz w:val="20"/>
                <w:lang w:val="pl-PL"/>
              </w:rPr>
              <w:t>31 grudnia 201</w:t>
            </w:r>
            <w:r w:rsidR="0019506E" w:rsidRPr="00765C97">
              <w:rPr>
                <w:rFonts w:ascii="Arial" w:hAnsi="Arial"/>
                <w:b/>
                <w:sz w:val="20"/>
                <w:lang w:val="pl-PL"/>
              </w:rPr>
              <w:t>2</w:t>
            </w:r>
            <w:r w:rsidRPr="00765C97">
              <w:rPr>
                <w:rFonts w:ascii="Arial" w:hAnsi="Arial"/>
                <w:b/>
                <w:sz w:val="20"/>
                <w:lang w:val="pl-PL"/>
              </w:rPr>
              <w:t xml:space="preserve"> r.</w:t>
            </w:r>
          </w:p>
        </w:tc>
        <w:tc>
          <w:tcPr>
            <w:tcW w:w="1920" w:type="dxa"/>
            <w:vAlign w:val="center"/>
          </w:tcPr>
          <w:p w:rsidR="00156FAC" w:rsidRPr="00765C97" w:rsidRDefault="00156FAC" w:rsidP="0019506E">
            <w:pPr>
              <w:ind w:right="130"/>
              <w:jc w:val="right"/>
              <w:rPr>
                <w:rFonts w:ascii="Arial" w:hAnsi="Arial"/>
                <w:b/>
                <w:sz w:val="20"/>
                <w:lang w:val="pl-PL"/>
              </w:rPr>
            </w:pPr>
            <w:r w:rsidRPr="00765C97">
              <w:rPr>
                <w:rFonts w:ascii="Arial" w:hAnsi="Arial"/>
                <w:b/>
                <w:sz w:val="20"/>
                <w:lang w:val="pl-PL"/>
              </w:rPr>
              <w:t>31 grudnia 20</w:t>
            </w:r>
            <w:r w:rsidR="00652D8D" w:rsidRPr="00765C97">
              <w:rPr>
                <w:rFonts w:ascii="Arial" w:hAnsi="Arial"/>
                <w:b/>
                <w:sz w:val="20"/>
                <w:lang w:val="pl-PL"/>
              </w:rPr>
              <w:t>1</w:t>
            </w:r>
            <w:r w:rsidR="0019506E" w:rsidRPr="00765C97">
              <w:rPr>
                <w:rFonts w:ascii="Arial" w:hAnsi="Arial"/>
                <w:b/>
                <w:sz w:val="20"/>
                <w:lang w:val="pl-PL"/>
              </w:rPr>
              <w:t>1</w:t>
            </w:r>
            <w:r w:rsidRPr="00765C97">
              <w:rPr>
                <w:rFonts w:ascii="Arial" w:hAnsi="Arial"/>
                <w:b/>
                <w:sz w:val="20"/>
                <w:lang w:val="pl-PL"/>
              </w:rPr>
              <w:t xml:space="preserve"> r.</w:t>
            </w:r>
          </w:p>
        </w:tc>
      </w:tr>
      <w:tr w:rsidR="0009347A" w:rsidRPr="00765C97" w:rsidTr="00652D8D">
        <w:trPr>
          <w:trHeight w:val="255"/>
        </w:trPr>
        <w:tc>
          <w:tcPr>
            <w:tcW w:w="4260" w:type="dxa"/>
            <w:vAlign w:val="center"/>
          </w:tcPr>
          <w:p w:rsidR="0009347A" w:rsidRPr="00765C97" w:rsidRDefault="0009347A" w:rsidP="00156FAC">
            <w:pPr>
              <w:rPr>
                <w:rFonts w:ascii="Arial" w:hAnsi="Arial"/>
                <w:sz w:val="20"/>
                <w:lang w:val="pl-PL"/>
              </w:rPr>
            </w:pPr>
            <w:r w:rsidRPr="00765C97">
              <w:rPr>
                <w:rFonts w:ascii="Arial" w:hAnsi="Arial"/>
                <w:sz w:val="20"/>
                <w:lang w:val="pl-PL"/>
              </w:rPr>
              <w:t>Od 1 do 2 lat</w:t>
            </w:r>
          </w:p>
        </w:tc>
        <w:tc>
          <w:tcPr>
            <w:tcW w:w="2040" w:type="dxa"/>
            <w:vAlign w:val="center"/>
          </w:tcPr>
          <w:p w:rsidR="0009347A" w:rsidRPr="00765C97" w:rsidRDefault="0009347A" w:rsidP="005D7C6A">
            <w:pPr>
              <w:jc w:val="right"/>
              <w:rPr>
                <w:rFonts w:ascii="Arial" w:hAnsi="Arial" w:cs="Arial"/>
                <w:sz w:val="20"/>
                <w:szCs w:val="20"/>
              </w:rPr>
            </w:pPr>
            <w:r w:rsidRPr="00765C97">
              <w:rPr>
                <w:rFonts w:ascii="Arial" w:hAnsi="Arial" w:cs="Arial"/>
                <w:sz w:val="20"/>
                <w:szCs w:val="20"/>
              </w:rPr>
              <w:t>13 527</w:t>
            </w:r>
          </w:p>
        </w:tc>
        <w:tc>
          <w:tcPr>
            <w:tcW w:w="1920" w:type="dxa"/>
            <w:vAlign w:val="center"/>
          </w:tcPr>
          <w:p w:rsidR="0009347A" w:rsidRPr="00765C97" w:rsidRDefault="0009347A" w:rsidP="007A03FC">
            <w:pPr>
              <w:ind w:right="130"/>
              <w:jc w:val="right"/>
              <w:rPr>
                <w:rFonts w:ascii="Arial" w:hAnsi="Arial" w:cs="Arial"/>
                <w:sz w:val="20"/>
                <w:szCs w:val="20"/>
              </w:rPr>
            </w:pPr>
            <w:r w:rsidRPr="00765C97">
              <w:rPr>
                <w:rFonts w:ascii="Arial" w:hAnsi="Arial" w:cs="Arial"/>
                <w:sz w:val="20"/>
                <w:szCs w:val="20"/>
              </w:rPr>
              <w:t>11 388</w:t>
            </w:r>
          </w:p>
        </w:tc>
      </w:tr>
      <w:tr w:rsidR="0009347A" w:rsidRPr="00765C97" w:rsidTr="00652D8D">
        <w:trPr>
          <w:trHeight w:val="255"/>
        </w:trPr>
        <w:tc>
          <w:tcPr>
            <w:tcW w:w="4260" w:type="dxa"/>
            <w:vAlign w:val="center"/>
          </w:tcPr>
          <w:p w:rsidR="0009347A" w:rsidRPr="00765C97" w:rsidRDefault="0009347A" w:rsidP="00156FAC">
            <w:pPr>
              <w:rPr>
                <w:rFonts w:ascii="Arial" w:hAnsi="Arial"/>
                <w:sz w:val="20"/>
                <w:lang w:val="pl-PL"/>
              </w:rPr>
            </w:pPr>
            <w:r w:rsidRPr="00765C97">
              <w:rPr>
                <w:rFonts w:ascii="Arial" w:hAnsi="Arial"/>
                <w:sz w:val="20"/>
                <w:lang w:val="pl-PL"/>
              </w:rPr>
              <w:t>Od 2 do 5 lat</w:t>
            </w:r>
          </w:p>
        </w:tc>
        <w:tc>
          <w:tcPr>
            <w:tcW w:w="2040" w:type="dxa"/>
            <w:vAlign w:val="center"/>
          </w:tcPr>
          <w:p w:rsidR="0009347A" w:rsidRPr="00765C97" w:rsidRDefault="0009347A" w:rsidP="005D7C6A">
            <w:pPr>
              <w:jc w:val="right"/>
              <w:rPr>
                <w:rFonts w:ascii="Arial" w:hAnsi="Arial" w:cs="Arial"/>
                <w:sz w:val="20"/>
                <w:szCs w:val="20"/>
              </w:rPr>
            </w:pPr>
            <w:r w:rsidRPr="00765C97">
              <w:rPr>
                <w:rFonts w:ascii="Arial" w:hAnsi="Arial" w:cs="Arial"/>
                <w:sz w:val="20"/>
                <w:szCs w:val="20"/>
              </w:rPr>
              <w:t>46 112</w:t>
            </w:r>
          </w:p>
        </w:tc>
        <w:tc>
          <w:tcPr>
            <w:tcW w:w="1920" w:type="dxa"/>
            <w:vAlign w:val="center"/>
          </w:tcPr>
          <w:p w:rsidR="0009347A" w:rsidRPr="00765C97" w:rsidRDefault="0009347A" w:rsidP="007A03FC">
            <w:pPr>
              <w:ind w:right="130"/>
              <w:jc w:val="right"/>
              <w:rPr>
                <w:rFonts w:ascii="Arial" w:hAnsi="Arial" w:cs="Arial"/>
                <w:sz w:val="20"/>
                <w:szCs w:val="20"/>
              </w:rPr>
            </w:pPr>
            <w:r w:rsidRPr="00765C97">
              <w:rPr>
                <w:rFonts w:ascii="Arial" w:hAnsi="Arial" w:cs="Arial"/>
                <w:sz w:val="20"/>
                <w:szCs w:val="20"/>
              </w:rPr>
              <w:t>30 874</w:t>
            </w:r>
          </w:p>
        </w:tc>
      </w:tr>
      <w:tr w:rsidR="0009347A" w:rsidRPr="00765C97" w:rsidTr="00652D8D">
        <w:trPr>
          <w:trHeight w:val="255"/>
        </w:trPr>
        <w:tc>
          <w:tcPr>
            <w:tcW w:w="4260" w:type="dxa"/>
            <w:vAlign w:val="center"/>
          </w:tcPr>
          <w:p w:rsidR="0009347A" w:rsidRPr="00765C97" w:rsidRDefault="0009347A" w:rsidP="00156FAC">
            <w:pPr>
              <w:rPr>
                <w:rFonts w:ascii="Arial" w:hAnsi="Arial"/>
                <w:sz w:val="20"/>
                <w:lang w:val="pl-PL"/>
              </w:rPr>
            </w:pPr>
            <w:r w:rsidRPr="00765C97">
              <w:rPr>
                <w:rFonts w:ascii="Arial" w:hAnsi="Arial"/>
                <w:sz w:val="20"/>
                <w:lang w:val="pl-PL"/>
              </w:rPr>
              <w:t>Powyżej 5 lat</w:t>
            </w:r>
          </w:p>
        </w:tc>
        <w:tc>
          <w:tcPr>
            <w:tcW w:w="2040" w:type="dxa"/>
            <w:tcBorders>
              <w:top w:val="nil"/>
              <w:left w:val="nil"/>
              <w:bottom w:val="single" w:sz="4" w:space="0" w:color="auto"/>
              <w:right w:val="nil"/>
            </w:tcBorders>
            <w:vAlign w:val="center"/>
          </w:tcPr>
          <w:p w:rsidR="0009347A" w:rsidRPr="00765C97" w:rsidRDefault="0009347A" w:rsidP="005D7C6A">
            <w:pPr>
              <w:jc w:val="right"/>
              <w:rPr>
                <w:rFonts w:ascii="Arial" w:hAnsi="Arial" w:cs="Arial"/>
                <w:sz w:val="20"/>
                <w:szCs w:val="20"/>
              </w:rPr>
            </w:pPr>
            <w:r w:rsidRPr="00765C97">
              <w:rPr>
                <w:rFonts w:ascii="Arial" w:hAnsi="Arial" w:cs="Arial"/>
                <w:sz w:val="20"/>
                <w:szCs w:val="20"/>
              </w:rPr>
              <w:t>35 253</w:t>
            </w:r>
          </w:p>
        </w:tc>
        <w:tc>
          <w:tcPr>
            <w:tcW w:w="1920" w:type="dxa"/>
            <w:tcBorders>
              <w:top w:val="nil"/>
              <w:left w:val="nil"/>
              <w:bottom w:val="single" w:sz="4" w:space="0" w:color="auto"/>
              <w:right w:val="nil"/>
            </w:tcBorders>
            <w:vAlign w:val="center"/>
          </w:tcPr>
          <w:p w:rsidR="0009347A" w:rsidRPr="00765C97" w:rsidRDefault="0009347A" w:rsidP="007A03FC">
            <w:pPr>
              <w:ind w:right="130"/>
              <w:jc w:val="right"/>
              <w:rPr>
                <w:rFonts w:ascii="Arial" w:hAnsi="Arial" w:cs="Arial"/>
                <w:sz w:val="20"/>
                <w:szCs w:val="20"/>
              </w:rPr>
            </w:pPr>
            <w:r w:rsidRPr="00765C97">
              <w:rPr>
                <w:rFonts w:ascii="Arial" w:hAnsi="Arial" w:cs="Arial"/>
                <w:sz w:val="20"/>
                <w:szCs w:val="20"/>
              </w:rPr>
              <w:t>46 633</w:t>
            </w:r>
          </w:p>
        </w:tc>
      </w:tr>
      <w:tr w:rsidR="0009347A" w:rsidRPr="00765C97" w:rsidTr="00652D8D">
        <w:trPr>
          <w:trHeight w:val="255"/>
        </w:trPr>
        <w:tc>
          <w:tcPr>
            <w:tcW w:w="4260" w:type="dxa"/>
            <w:vAlign w:val="center"/>
          </w:tcPr>
          <w:p w:rsidR="0009347A" w:rsidRPr="00765C97" w:rsidRDefault="0009347A" w:rsidP="00156FAC">
            <w:pPr>
              <w:rPr>
                <w:rFonts w:ascii="Arial" w:hAnsi="Arial"/>
                <w:sz w:val="20"/>
                <w:lang w:val="pl-PL"/>
              </w:rPr>
            </w:pPr>
          </w:p>
        </w:tc>
        <w:tc>
          <w:tcPr>
            <w:tcW w:w="2040" w:type="dxa"/>
            <w:tcBorders>
              <w:top w:val="single" w:sz="4" w:space="0" w:color="auto"/>
              <w:left w:val="nil"/>
              <w:bottom w:val="nil"/>
              <w:right w:val="nil"/>
            </w:tcBorders>
            <w:vAlign w:val="center"/>
          </w:tcPr>
          <w:p w:rsidR="0009347A" w:rsidRPr="00765C97" w:rsidRDefault="0009347A" w:rsidP="005D7C6A">
            <w:pPr>
              <w:jc w:val="right"/>
              <w:rPr>
                <w:rFonts w:ascii="Arial" w:hAnsi="Arial" w:cs="Arial"/>
                <w:b/>
                <w:bCs/>
                <w:sz w:val="20"/>
                <w:szCs w:val="20"/>
              </w:rPr>
            </w:pPr>
            <w:r w:rsidRPr="00765C97">
              <w:rPr>
                <w:rFonts w:ascii="Arial" w:hAnsi="Arial" w:cs="Arial"/>
                <w:b/>
                <w:bCs/>
                <w:sz w:val="20"/>
                <w:szCs w:val="20"/>
              </w:rPr>
              <w:t>94 892</w:t>
            </w:r>
          </w:p>
        </w:tc>
        <w:tc>
          <w:tcPr>
            <w:tcW w:w="1920" w:type="dxa"/>
            <w:tcBorders>
              <w:top w:val="single" w:sz="4" w:space="0" w:color="auto"/>
              <w:left w:val="nil"/>
              <w:bottom w:val="nil"/>
              <w:right w:val="nil"/>
            </w:tcBorders>
            <w:vAlign w:val="center"/>
          </w:tcPr>
          <w:p w:rsidR="0009347A" w:rsidRPr="00765C97" w:rsidRDefault="0009347A" w:rsidP="007A03FC">
            <w:pPr>
              <w:ind w:right="130"/>
              <w:jc w:val="right"/>
              <w:rPr>
                <w:rFonts w:ascii="Arial" w:hAnsi="Arial" w:cs="Arial"/>
                <w:b/>
                <w:bCs/>
                <w:sz w:val="20"/>
                <w:szCs w:val="20"/>
              </w:rPr>
            </w:pPr>
            <w:r w:rsidRPr="00765C97">
              <w:rPr>
                <w:rFonts w:ascii="Arial" w:hAnsi="Arial" w:cs="Arial"/>
                <w:b/>
                <w:bCs/>
                <w:sz w:val="20"/>
                <w:szCs w:val="20"/>
              </w:rPr>
              <w:t>88 895</w:t>
            </w:r>
          </w:p>
        </w:tc>
      </w:tr>
    </w:tbl>
    <w:p w:rsidR="00156FAC" w:rsidRPr="00765C97" w:rsidRDefault="00156FAC" w:rsidP="00156FAC">
      <w:pPr>
        <w:tabs>
          <w:tab w:val="left" w:pos="1134"/>
          <w:tab w:val="left" w:pos="5103"/>
          <w:tab w:val="left" w:pos="5978"/>
          <w:tab w:val="left" w:pos="6698"/>
          <w:tab w:val="left" w:pos="7413"/>
          <w:tab w:val="left" w:pos="8210"/>
          <w:tab w:val="left" w:pos="8930"/>
        </w:tabs>
        <w:ind w:left="180"/>
        <w:rPr>
          <w:rFonts w:ascii="Arial" w:hAnsi="Arial"/>
          <w:sz w:val="20"/>
          <w:lang w:val="pl-PL"/>
        </w:rPr>
      </w:pPr>
    </w:p>
    <w:p w:rsidR="00156FAC" w:rsidRPr="00765C97" w:rsidRDefault="00156FAC" w:rsidP="00156FAC">
      <w:pPr>
        <w:tabs>
          <w:tab w:val="left" w:pos="1134"/>
          <w:tab w:val="left" w:pos="6120"/>
          <w:tab w:val="left" w:pos="8889"/>
        </w:tabs>
        <w:ind w:left="180"/>
        <w:rPr>
          <w:rFonts w:ascii="Arial" w:hAnsi="Arial"/>
          <w:spacing w:val="-2"/>
          <w:sz w:val="20"/>
          <w:lang w:val="pl-PL"/>
        </w:rPr>
      </w:pPr>
    </w:p>
    <w:p w:rsidR="00156FAC" w:rsidRPr="00765C97" w:rsidRDefault="00156FAC" w:rsidP="00833CBA">
      <w:pPr>
        <w:ind w:right="113"/>
        <w:jc w:val="both"/>
        <w:rPr>
          <w:rFonts w:ascii="Arial" w:hAnsi="Arial"/>
          <w:b/>
          <w:sz w:val="20"/>
          <w:lang w:val="pl-PL"/>
        </w:rPr>
      </w:pPr>
      <w:r w:rsidRPr="00765C97">
        <w:rPr>
          <w:rFonts w:ascii="Arial" w:hAnsi="Arial"/>
          <w:b/>
          <w:sz w:val="20"/>
          <w:lang w:val="pl-PL"/>
        </w:rPr>
        <w:t xml:space="preserve">Struktura walutowa wartości bilansowej kredytów, pożyczek i zobowiązań finansowych </w:t>
      </w:r>
    </w:p>
    <w:p w:rsidR="00156FAC" w:rsidRPr="00765C97" w:rsidRDefault="00156FAC" w:rsidP="00156FAC">
      <w:pPr>
        <w:ind w:left="181" w:right="113"/>
        <w:jc w:val="both"/>
        <w:rPr>
          <w:rFonts w:ascii="Arial" w:hAnsi="Arial"/>
          <w:b/>
          <w:sz w:val="20"/>
          <w:lang w:val="pl-PL"/>
        </w:rPr>
      </w:pPr>
    </w:p>
    <w:tbl>
      <w:tblPr>
        <w:tblW w:w="0" w:type="auto"/>
        <w:tblInd w:w="180" w:type="dxa"/>
        <w:tblLayout w:type="fixed"/>
        <w:tblCellMar>
          <w:left w:w="0" w:type="dxa"/>
          <w:right w:w="0" w:type="dxa"/>
        </w:tblCellMar>
        <w:tblLook w:val="04A0"/>
      </w:tblPr>
      <w:tblGrid>
        <w:gridCol w:w="4260"/>
        <w:gridCol w:w="2040"/>
        <w:gridCol w:w="1920"/>
      </w:tblGrid>
      <w:tr w:rsidR="00156FAC" w:rsidRPr="00765C97" w:rsidTr="000A451D">
        <w:trPr>
          <w:trHeight w:val="255"/>
        </w:trPr>
        <w:tc>
          <w:tcPr>
            <w:tcW w:w="4260" w:type="dxa"/>
            <w:vAlign w:val="center"/>
          </w:tcPr>
          <w:p w:rsidR="00156FAC" w:rsidRPr="00765C97" w:rsidRDefault="00156FAC" w:rsidP="00156FAC">
            <w:pPr>
              <w:spacing w:before="20" w:after="20"/>
              <w:rPr>
                <w:rFonts w:ascii="Arial" w:hAnsi="Arial"/>
                <w:sz w:val="20"/>
                <w:lang w:val="pl-PL"/>
              </w:rPr>
            </w:pPr>
          </w:p>
        </w:tc>
        <w:tc>
          <w:tcPr>
            <w:tcW w:w="2040" w:type="dxa"/>
            <w:vAlign w:val="center"/>
          </w:tcPr>
          <w:p w:rsidR="00156FAC" w:rsidRPr="00765C97" w:rsidRDefault="00156FAC" w:rsidP="0019506E">
            <w:pPr>
              <w:ind w:right="130"/>
              <w:jc w:val="right"/>
              <w:rPr>
                <w:rFonts w:ascii="Arial" w:hAnsi="Arial"/>
                <w:b/>
                <w:sz w:val="20"/>
                <w:lang w:val="pl-PL"/>
              </w:rPr>
            </w:pPr>
            <w:r w:rsidRPr="00765C97">
              <w:rPr>
                <w:rFonts w:ascii="Arial" w:hAnsi="Arial"/>
                <w:b/>
                <w:sz w:val="20"/>
                <w:lang w:val="pl-PL"/>
              </w:rPr>
              <w:t>31 grudnia 201</w:t>
            </w:r>
            <w:r w:rsidR="0019506E" w:rsidRPr="00765C97">
              <w:rPr>
                <w:rFonts w:ascii="Arial" w:hAnsi="Arial"/>
                <w:b/>
                <w:sz w:val="20"/>
                <w:lang w:val="pl-PL"/>
              </w:rPr>
              <w:t>2</w:t>
            </w:r>
            <w:r w:rsidRPr="00765C97">
              <w:rPr>
                <w:rFonts w:ascii="Arial" w:hAnsi="Arial"/>
                <w:b/>
                <w:sz w:val="20"/>
                <w:lang w:val="pl-PL"/>
              </w:rPr>
              <w:t xml:space="preserve"> r.</w:t>
            </w:r>
          </w:p>
        </w:tc>
        <w:tc>
          <w:tcPr>
            <w:tcW w:w="1920" w:type="dxa"/>
            <w:tcBorders>
              <w:right w:val="nil"/>
            </w:tcBorders>
            <w:vAlign w:val="center"/>
          </w:tcPr>
          <w:p w:rsidR="00156FAC" w:rsidRPr="00765C97" w:rsidRDefault="00156FAC" w:rsidP="000A451D">
            <w:pPr>
              <w:ind w:right="130"/>
              <w:jc w:val="right"/>
              <w:rPr>
                <w:rFonts w:ascii="Arial" w:hAnsi="Arial"/>
                <w:b/>
                <w:sz w:val="20"/>
                <w:lang w:val="pl-PL"/>
              </w:rPr>
            </w:pPr>
            <w:r w:rsidRPr="00765C97">
              <w:rPr>
                <w:rFonts w:ascii="Arial" w:hAnsi="Arial"/>
                <w:b/>
                <w:sz w:val="20"/>
                <w:lang w:val="pl-PL"/>
              </w:rPr>
              <w:t>31 grudnia 20</w:t>
            </w:r>
            <w:r w:rsidR="0019506E" w:rsidRPr="00765C97">
              <w:rPr>
                <w:rFonts w:ascii="Arial" w:hAnsi="Arial"/>
                <w:b/>
                <w:sz w:val="20"/>
                <w:lang w:val="pl-PL"/>
              </w:rPr>
              <w:t>11</w:t>
            </w:r>
            <w:r w:rsidRPr="00765C97">
              <w:rPr>
                <w:rFonts w:ascii="Arial" w:hAnsi="Arial"/>
                <w:b/>
                <w:sz w:val="20"/>
                <w:lang w:val="pl-PL"/>
              </w:rPr>
              <w:t xml:space="preserve"> r.</w:t>
            </w:r>
          </w:p>
        </w:tc>
      </w:tr>
      <w:tr w:rsidR="0009347A" w:rsidRPr="00765C97" w:rsidTr="000A451D">
        <w:trPr>
          <w:trHeight w:val="255"/>
        </w:trPr>
        <w:tc>
          <w:tcPr>
            <w:tcW w:w="4260" w:type="dxa"/>
            <w:vAlign w:val="center"/>
          </w:tcPr>
          <w:p w:rsidR="0009347A" w:rsidRPr="00765C97" w:rsidRDefault="0009347A" w:rsidP="00156FAC">
            <w:pPr>
              <w:spacing w:before="20" w:after="20"/>
              <w:rPr>
                <w:rFonts w:ascii="Arial" w:hAnsi="Arial"/>
                <w:sz w:val="20"/>
                <w:lang w:val="pl-PL"/>
              </w:rPr>
            </w:pPr>
            <w:r w:rsidRPr="00765C97">
              <w:rPr>
                <w:rFonts w:ascii="Arial" w:hAnsi="Arial"/>
                <w:sz w:val="20"/>
                <w:lang w:val="pl-PL"/>
              </w:rPr>
              <w:t>w walucie polskiej</w:t>
            </w:r>
          </w:p>
        </w:tc>
        <w:tc>
          <w:tcPr>
            <w:tcW w:w="2040" w:type="dxa"/>
            <w:tcBorders>
              <w:top w:val="nil"/>
              <w:left w:val="nil"/>
            </w:tcBorders>
            <w:vAlign w:val="center"/>
          </w:tcPr>
          <w:p w:rsidR="0009347A" w:rsidRPr="00765C97" w:rsidRDefault="0009347A" w:rsidP="005D7C6A">
            <w:pPr>
              <w:jc w:val="right"/>
              <w:rPr>
                <w:rFonts w:ascii="Arial" w:hAnsi="Arial" w:cs="Arial"/>
                <w:sz w:val="20"/>
                <w:szCs w:val="20"/>
              </w:rPr>
            </w:pPr>
            <w:r w:rsidRPr="00765C97">
              <w:rPr>
                <w:rFonts w:ascii="Arial" w:hAnsi="Arial" w:cs="Arial"/>
                <w:sz w:val="20"/>
                <w:szCs w:val="20"/>
              </w:rPr>
              <w:t>68 974</w:t>
            </w:r>
          </w:p>
        </w:tc>
        <w:tc>
          <w:tcPr>
            <w:tcW w:w="1920" w:type="dxa"/>
            <w:tcBorders>
              <w:top w:val="nil"/>
              <w:left w:val="nil"/>
              <w:right w:val="nil"/>
            </w:tcBorders>
            <w:vAlign w:val="center"/>
          </w:tcPr>
          <w:p w:rsidR="0009347A" w:rsidRPr="00765C97" w:rsidRDefault="0009347A" w:rsidP="007A03FC">
            <w:pPr>
              <w:ind w:right="130"/>
              <w:jc w:val="right"/>
              <w:rPr>
                <w:rFonts w:ascii="Arial" w:hAnsi="Arial" w:cs="Arial"/>
                <w:sz w:val="20"/>
                <w:szCs w:val="20"/>
              </w:rPr>
            </w:pPr>
            <w:r w:rsidRPr="00765C97">
              <w:rPr>
                <w:rFonts w:ascii="Arial" w:hAnsi="Arial" w:cs="Arial"/>
                <w:sz w:val="20"/>
                <w:szCs w:val="20"/>
              </w:rPr>
              <w:t>50 661</w:t>
            </w:r>
          </w:p>
        </w:tc>
      </w:tr>
      <w:tr w:rsidR="0009347A" w:rsidRPr="00765C97" w:rsidTr="000A451D">
        <w:trPr>
          <w:trHeight w:val="255"/>
        </w:trPr>
        <w:tc>
          <w:tcPr>
            <w:tcW w:w="4260" w:type="dxa"/>
            <w:vAlign w:val="center"/>
          </w:tcPr>
          <w:p w:rsidR="0009347A" w:rsidRPr="00765C97" w:rsidRDefault="0009347A" w:rsidP="00156FAC">
            <w:pPr>
              <w:spacing w:before="20" w:after="20"/>
              <w:rPr>
                <w:rFonts w:ascii="Arial" w:hAnsi="Arial"/>
                <w:sz w:val="20"/>
                <w:lang w:val="pl-PL"/>
              </w:rPr>
            </w:pPr>
            <w:r w:rsidRPr="00765C97">
              <w:rPr>
                <w:rFonts w:ascii="Arial" w:hAnsi="Arial"/>
                <w:sz w:val="20"/>
                <w:lang w:val="pl-PL"/>
              </w:rPr>
              <w:t>w EUR (równowartość w zł)</w:t>
            </w:r>
          </w:p>
        </w:tc>
        <w:tc>
          <w:tcPr>
            <w:tcW w:w="2040" w:type="dxa"/>
            <w:tcBorders>
              <w:left w:val="nil"/>
              <w:bottom w:val="single" w:sz="4" w:space="0" w:color="auto"/>
            </w:tcBorders>
            <w:vAlign w:val="center"/>
          </w:tcPr>
          <w:p w:rsidR="0009347A" w:rsidRPr="00765C97" w:rsidRDefault="0009347A" w:rsidP="005D7C6A">
            <w:pPr>
              <w:jc w:val="right"/>
              <w:rPr>
                <w:rFonts w:ascii="Arial" w:hAnsi="Arial" w:cs="Arial"/>
                <w:sz w:val="20"/>
                <w:szCs w:val="20"/>
              </w:rPr>
            </w:pPr>
            <w:r w:rsidRPr="00765C97">
              <w:rPr>
                <w:rFonts w:ascii="Arial" w:hAnsi="Arial" w:cs="Arial"/>
                <w:sz w:val="20"/>
                <w:szCs w:val="20"/>
              </w:rPr>
              <w:t>62 243</w:t>
            </w:r>
          </w:p>
        </w:tc>
        <w:tc>
          <w:tcPr>
            <w:tcW w:w="1920" w:type="dxa"/>
            <w:tcBorders>
              <w:left w:val="nil"/>
              <w:bottom w:val="single" w:sz="4" w:space="0" w:color="auto"/>
              <w:right w:val="nil"/>
            </w:tcBorders>
            <w:vAlign w:val="center"/>
          </w:tcPr>
          <w:p w:rsidR="0009347A" w:rsidRPr="00765C97" w:rsidRDefault="0009347A" w:rsidP="007A03FC">
            <w:pPr>
              <w:ind w:right="130"/>
              <w:jc w:val="right"/>
              <w:rPr>
                <w:rFonts w:ascii="Arial" w:hAnsi="Arial" w:cs="Arial"/>
                <w:sz w:val="20"/>
                <w:szCs w:val="20"/>
                <w:lang w:val="pl-PL"/>
              </w:rPr>
            </w:pPr>
            <w:r w:rsidRPr="00765C97">
              <w:rPr>
                <w:rFonts w:ascii="Arial" w:hAnsi="Arial" w:cs="Arial"/>
                <w:sz w:val="20"/>
                <w:szCs w:val="20"/>
                <w:lang w:val="pl-PL"/>
              </w:rPr>
              <w:t>65 669</w:t>
            </w:r>
          </w:p>
        </w:tc>
      </w:tr>
      <w:tr w:rsidR="0009347A" w:rsidRPr="00765C97" w:rsidTr="000A451D">
        <w:trPr>
          <w:trHeight w:val="255"/>
        </w:trPr>
        <w:tc>
          <w:tcPr>
            <w:tcW w:w="4260" w:type="dxa"/>
            <w:vAlign w:val="center"/>
          </w:tcPr>
          <w:p w:rsidR="0009347A" w:rsidRPr="00765C97" w:rsidRDefault="0009347A" w:rsidP="00156FAC">
            <w:pPr>
              <w:spacing w:before="20" w:after="20"/>
              <w:rPr>
                <w:rFonts w:ascii="Arial" w:hAnsi="Arial"/>
                <w:b/>
                <w:sz w:val="20"/>
                <w:lang w:val="pl-PL"/>
              </w:rPr>
            </w:pPr>
          </w:p>
        </w:tc>
        <w:tc>
          <w:tcPr>
            <w:tcW w:w="2040" w:type="dxa"/>
            <w:tcBorders>
              <w:top w:val="single" w:sz="4" w:space="0" w:color="auto"/>
              <w:left w:val="nil"/>
              <w:bottom w:val="nil"/>
            </w:tcBorders>
            <w:vAlign w:val="center"/>
          </w:tcPr>
          <w:p w:rsidR="0009347A" w:rsidRPr="00765C97" w:rsidRDefault="0009347A" w:rsidP="005D7C6A">
            <w:pPr>
              <w:jc w:val="right"/>
              <w:rPr>
                <w:rFonts w:ascii="Arial" w:hAnsi="Arial" w:cs="Arial"/>
                <w:b/>
                <w:bCs/>
                <w:sz w:val="20"/>
                <w:szCs w:val="20"/>
              </w:rPr>
            </w:pPr>
            <w:r w:rsidRPr="00765C97">
              <w:rPr>
                <w:rFonts w:ascii="Arial" w:hAnsi="Arial" w:cs="Arial"/>
                <w:b/>
                <w:bCs/>
                <w:sz w:val="20"/>
                <w:szCs w:val="20"/>
              </w:rPr>
              <w:t>131 217</w:t>
            </w:r>
          </w:p>
        </w:tc>
        <w:tc>
          <w:tcPr>
            <w:tcW w:w="1920" w:type="dxa"/>
            <w:tcBorders>
              <w:top w:val="single" w:sz="4" w:space="0" w:color="auto"/>
              <w:left w:val="nil"/>
              <w:bottom w:val="nil"/>
              <w:right w:val="nil"/>
            </w:tcBorders>
            <w:vAlign w:val="center"/>
          </w:tcPr>
          <w:p w:rsidR="0009347A" w:rsidRPr="00765C97" w:rsidRDefault="0009347A" w:rsidP="007A03FC">
            <w:pPr>
              <w:ind w:right="130"/>
              <w:jc w:val="right"/>
              <w:rPr>
                <w:rFonts w:ascii="Arial" w:hAnsi="Arial" w:cs="Arial"/>
                <w:b/>
                <w:bCs/>
                <w:sz w:val="20"/>
                <w:szCs w:val="20"/>
              </w:rPr>
            </w:pPr>
            <w:r w:rsidRPr="00765C97">
              <w:rPr>
                <w:rFonts w:ascii="Arial" w:hAnsi="Arial" w:cs="Arial"/>
                <w:b/>
                <w:bCs/>
                <w:sz w:val="20"/>
                <w:szCs w:val="20"/>
              </w:rPr>
              <w:t>116 330</w:t>
            </w:r>
          </w:p>
        </w:tc>
      </w:tr>
    </w:tbl>
    <w:p w:rsidR="00156FAC" w:rsidRPr="00765C97" w:rsidRDefault="00156FAC" w:rsidP="00156FAC">
      <w:pPr>
        <w:ind w:left="181" w:right="113"/>
        <w:jc w:val="both"/>
        <w:rPr>
          <w:rFonts w:ascii="Arial" w:hAnsi="Arial"/>
          <w:b/>
          <w:sz w:val="20"/>
          <w:lang w:val="pl-PL"/>
        </w:rPr>
      </w:pPr>
    </w:p>
    <w:p w:rsidR="00156FAC" w:rsidRPr="00765C97" w:rsidRDefault="00156FAC" w:rsidP="00156FAC">
      <w:pPr>
        <w:tabs>
          <w:tab w:val="left" w:pos="1134"/>
          <w:tab w:val="left" w:pos="6120"/>
          <w:tab w:val="left" w:pos="8889"/>
        </w:tabs>
        <w:ind w:left="181"/>
        <w:rPr>
          <w:rFonts w:ascii="Arial" w:hAnsi="Arial"/>
          <w:b/>
          <w:spacing w:val="-2"/>
          <w:sz w:val="20"/>
          <w:lang w:val="pl-PL"/>
        </w:rPr>
      </w:pPr>
    </w:p>
    <w:p w:rsidR="00156FAC" w:rsidRPr="00765C97" w:rsidRDefault="00156FAC" w:rsidP="00833CBA">
      <w:pPr>
        <w:tabs>
          <w:tab w:val="left" w:pos="1134"/>
          <w:tab w:val="left" w:pos="6120"/>
          <w:tab w:val="left" w:pos="8889"/>
        </w:tabs>
        <w:rPr>
          <w:rFonts w:ascii="Arial" w:hAnsi="Arial"/>
          <w:spacing w:val="-2"/>
          <w:sz w:val="20"/>
          <w:lang w:val="pl-PL"/>
        </w:rPr>
      </w:pPr>
      <w:r w:rsidRPr="00765C97">
        <w:rPr>
          <w:rFonts w:ascii="Arial" w:hAnsi="Arial"/>
          <w:b/>
          <w:spacing w:val="-2"/>
          <w:sz w:val="20"/>
          <w:lang w:val="pl-PL"/>
        </w:rPr>
        <w:t>Efektywne stopy procentowe na dzień bilansowy</w:t>
      </w:r>
      <w:r w:rsidRPr="00765C97">
        <w:rPr>
          <w:rFonts w:ascii="Arial" w:hAnsi="Arial"/>
          <w:spacing w:val="-2"/>
          <w:sz w:val="20"/>
          <w:lang w:val="pl-PL"/>
        </w:rPr>
        <w:t>:</w:t>
      </w:r>
    </w:p>
    <w:p w:rsidR="00156FAC" w:rsidRPr="00765C97" w:rsidRDefault="00156FAC" w:rsidP="00156FAC">
      <w:pPr>
        <w:tabs>
          <w:tab w:val="left" w:pos="1134"/>
          <w:tab w:val="left" w:pos="6120"/>
          <w:tab w:val="left" w:pos="8889"/>
        </w:tabs>
        <w:ind w:left="181"/>
        <w:rPr>
          <w:rFonts w:ascii="Arial" w:hAnsi="Arial"/>
          <w:spacing w:val="-2"/>
          <w:sz w:val="20"/>
          <w:lang w:val="pl-PL"/>
        </w:rPr>
      </w:pPr>
    </w:p>
    <w:tbl>
      <w:tblPr>
        <w:tblW w:w="0" w:type="auto"/>
        <w:tblInd w:w="180" w:type="dxa"/>
        <w:tblLayout w:type="fixed"/>
        <w:tblCellMar>
          <w:left w:w="0" w:type="dxa"/>
          <w:right w:w="0" w:type="dxa"/>
        </w:tblCellMar>
        <w:tblLook w:val="04A0"/>
      </w:tblPr>
      <w:tblGrid>
        <w:gridCol w:w="4260"/>
        <w:gridCol w:w="2081"/>
        <w:gridCol w:w="1879"/>
      </w:tblGrid>
      <w:tr w:rsidR="00156FAC" w:rsidRPr="00765C97">
        <w:trPr>
          <w:trHeight w:val="255"/>
        </w:trPr>
        <w:tc>
          <w:tcPr>
            <w:tcW w:w="4260" w:type="dxa"/>
            <w:vAlign w:val="center"/>
          </w:tcPr>
          <w:p w:rsidR="00156FAC" w:rsidRPr="00765C97" w:rsidRDefault="00156FAC" w:rsidP="00156FAC">
            <w:pPr>
              <w:rPr>
                <w:rFonts w:ascii="Arial" w:hAnsi="Arial"/>
                <w:sz w:val="20"/>
                <w:lang w:val="pl-PL"/>
              </w:rPr>
            </w:pPr>
          </w:p>
        </w:tc>
        <w:tc>
          <w:tcPr>
            <w:tcW w:w="2081" w:type="dxa"/>
            <w:vAlign w:val="center"/>
          </w:tcPr>
          <w:p w:rsidR="00156FAC" w:rsidRPr="00765C97" w:rsidRDefault="00156FAC" w:rsidP="000A451D">
            <w:pPr>
              <w:ind w:right="130"/>
              <w:jc w:val="right"/>
              <w:rPr>
                <w:rFonts w:ascii="Arial" w:hAnsi="Arial"/>
                <w:b/>
                <w:sz w:val="20"/>
                <w:lang w:val="pl-PL"/>
              </w:rPr>
            </w:pPr>
            <w:r w:rsidRPr="00765C97">
              <w:rPr>
                <w:rFonts w:ascii="Arial" w:hAnsi="Arial"/>
                <w:b/>
                <w:sz w:val="20"/>
                <w:lang w:val="pl-PL"/>
              </w:rPr>
              <w:t>31 grudnia 201</w:t>
            </w:r>
            <w:r w:rsidR="0019506E" w:rsidRPr="00765C97">
              <w:rPr>
                <w:rFonts w:ascii="Arial" w:hAnsi="Arial"/>
                <w:b/>
                <w:sz w:val="20"/>
                <w:lang w:val="pl-PL"/>
              </w:rPr>
              <w:t>2</w:t>
            </w:r>
            <w:r w:rsidRPr="00765C97">
              <w:rPr>
                <w:rFonts w:ascii="Arial" w:hAnsi="Arial"/>
                <w:b/>
                <w:sz w:val="20"/>
                <w:lang w:val="pl-PL"/>
              </w:rPr>
              <w:t xml:space="preserve"> r.</w:t>
            </w:r>
          </w:p>
        </w:tc>
        <w:tc>
          <w:tcPr>
            <w:tcW w:w="1879" w:type="dxa"/>
            <w:vAlign w:val="center"/>
          </w:tcPr>
          <w:p w:rsidR="00156FAC" w:rsidRPr="00765C97" w:rsidRDefault="00156FAC" w:rsidP="000A451D">
            <w:pPr>
              <w:ind w:right="130"/>
              <w:jc w:val="right"/>
              <w:rPr>
                <w:rFonts w:ascii="Arial" w:hAnsi="Arial"/>
                <w:b/>
                <w:sz w:val="20"/>
                <w:lang w:val="pl-PL"/>
              </w:rPr>
            </w:pPr>
            <w:r w:rsidRPr="00765C97">
              <w:rPr>
                <w:rFonts w:ascii="Arial" w:hAnsi="Arial"/>
                <w:b/>
                <w:sz w:val="20"/>
                <w:lang w:val="pl-PL"/>
              </w:rPr>
              <w:t>31 grudnia 20</w:t>
            </w:r>
            <w:r w:rsidR="0019506E" w:rsidRPr="00765C97">
              <w:rPr>
                <w:rFonts w:ascii="Arial" w:hAnsi="Arial"/>
                <w:b/>
                <w:sz w:val="20"/>
                <w:lang w:val="pl-PL"/>
              </w:rPr>
              <w:t>11</w:t>
            </w:r>
            <w:r w:rsidRPr="00765C97">
              <w:rPr>
                <w:rFonts w:ascii="Arial" w:hAnsi="Arial"/>
                <w:b/>
                <w:sz w:val="20"/>
                <w:lang w:val="pl-PL"/>
              </w:rPr>
              <w:t xml:space="preserve"> r.</w:t>
            </w:r>
          </w:p>
        </w:tc>
      </w:tr>
      <w:tr w:rsidR="0009347A" w:rsidRPr="00765C97">
        <w:trPr>
          <w:trHeight w:val="255"/>
        </w:trPr>
        <w:tc>
          <w:tcPr>
            <w:tcW w:w="4260" w:type="dxa"/>
            <w:vAlign w:val="center"/>
          </w:tcPr>
          <w:p w:rsidR="0009347A" w:rsidRPr="00765C97" w:rsidRDefault="0009347A" w:rsidP="00156FAC">
            <w:pPr>
              <w:rPr>
                <w:rFonts w:ascii="Arial" w:hAnsi="Arial"/>
                <w:sz w:val="20"/>
                <w:lang w:val="pl-PL"/>
              </w:rPr>
            </w:pPr>
            <w:r w:rsidRPr="00765C97">
              <w:rPr>
                <w:rFonts w:ascii="Arial" w:hAnsi="Arial"/>
                <w:sz w:val="20"/>
                <w:lang w:val="pl-PL"/>
              </w:rPr>
              <w:t>Kredyty bankowe</w:t>
            </w:r>
          </w:p>
        </w:tc>
        <w:tc>
          <w:tcPr>
            <w:tcW w:w="2081" w:type="dxa"/>
            <w:vAlign w:val="bottom"/>
          </w:tcPr>
          <w:p w:rsidR="0009347A" w:rsidRPr="00765C97" w:rsidRDefault="0009347A" w:rsidP="005D7C6A">
            <w:pPr>
              <w:ind w:right="130"/>
              <w:jc w:val="right"/>
              <w:rPr>
                <w:rFonts w:ascii="Arial" w:hAnsi="Arial"/>
                <w:sz w:val="20"/>
                <w:lang w:val="pl-PL"/>
              </w:rPr>
            </w:pPr>
            <w:r w:rsidRPr="00765C97">
              <w:rPr>
                <w:rFonts w:ascii="Arial" w:hAnsi="Arial"/>
                <w:sz w:val="20"/>
                <w:lang w:val="pl-PL"/>
              </w:rPr>
              <w:t>3,22%</w:t>
            </w:r>
          </w:p>
        </w:tc>
        <w:tc>
          <w:tcPr>
            <w:tcW w:w="1879" w:type="dxa"/>
            <w:vAlign w:val="bottom"/>
          </w:tcPr>
          <w:p w:rsidR="0009347A" w:rsidRPr="00765C97" w:rsidRDefault="0009347A" w:rsidP="007A03FC">
            <w:pPr>
              <w:ind w:right="130"/>
              <w:jc w:val="right"/>
              <w:rPr>
                <w:rFonts w:ascii="Arial" w:hAnsi="Arial"/>
                <w:sz w:val="20"/>
                <w:lang w:val="pl-PL"/>
              </w:rPr>
            </w:pPr>
            <w:r w:rsidRPr="00765C97">
              <w:rPr>
                <w:rFonts w:ascii="Arial" w:hAnsi="Arial"/>
                <w:sz w:val="20"/>
                <w:lang w:val="pl-PL"/>
              </w:rPr>
              <w:t>4,25%</w:t>
            </w:r>
          </w:p>
        </w:tc>
      </w:tr>
      <w:tr w:rsidR="0009347A" w:rsidRPr="00765C97">
        <w:trPr>
          <w:trHeight w:val="255"/>
        </w:trPr>
        <w:tc>
          <w:tcPr>
            <w:tcW w:w="4260" w:type="dxa"/>
            <w:vAlign w:val="center"/>
          </w:tcPr>
          <w:p w:rsidR="0009347A" w:rsidRPr="00765C97" w:rsidRDefault="0009347A" w:rsidP="00156FAC">
            <w:pPr>
              <w:rPr>
                <w:rFonts w:ascii="Arial" w:hAnsi="Arial"/>
                <w:sz w:val="20"/>
                <w:lang w:val="pl-PL"/>
              </w:rPr>
            </w:pPr>
            <w:r w:rsidRPr="00765C97">
              <w:rPr>
                <w:rFonts w:ascii="Arial" w:hAnsi="Arial"/>
                <w:sz w:val="20"/>
                <w:lang w:val="pl-PL"/>
              </w:rPr>
              <w:t>Pożyczki</w:t>
            </w:r>
          </w:p>
        </w:tc>
        <w:tc>
          <w:tcPr>
            <w:tcW w:w="2081" w:type="dxa"/>
            <w:vAlign w:val="bottom"/>
          </w:tcPr>
          <w:p w:rsidR="0009347A" w:rsidRPr="00765C97" w:rsidRDefault="0009347A" w:rsidP="005D7C6A">
            <w:pPr>
              <w:ind w:right="130"/>
              <w:jc w:val="right"/>
              <w:rPr>
                <w:rFonts w:ascii="Arial" w:hAnsi="Arial"/>
                <w:sz w:val="20"/>
                <w:lang w:val="pl-PL"/>
              </w:rPr>
            </w:pPr>
            <w:r w:rsidRPr="00765C97">
              <w:rPr>
                <w:rFonts w:ascii="Arial" w:hAnsi="Arial"/>
                <w:sz w:val="20"/>
                <w:lang w:val="pl-PL"/>
              </w:rPr>
              <w:t>5,47%</w:t>
            </w:r>
          </w:p>
        </w:tc>
        <w:tc>
          <w:tcPr>
            <w:tcW w:w="1879" w:type="dxa"/>
            <w:vAlign w:val="bottom"/>
          </w:tcPr>
          <w:p w:rsidR="0009347A" w:rsidRPr="00765C97" w:rsidRDefault="0009347A" w:rsidP="007A03FC">
            <w:pPr>
              <w:ind w:right="130"/>
              <w:jc w:val="right"/>
              <w:rPr>
                <w:rFonts w:ascii="Arial" w:hAnsi="Arial"/>
                <w:sz w:val="20"/>
                <w:lang w:val="pl-PL"/>
              </w:rPr>
            </w:pPr>
            <w:r w:rsidRPr="00765C97">
              <w:rPr>
                <w:rFonts w:ascii="Arial" w:hAnsi="Arial"/>
                <w:sz w:val="20"/>
                <w:lang w:val="pl-PL"/>
              </w:rPr>
              <w:t>0,00%</w:t>
            </w:r>
          </w:p>
        </w:tc>
      </w:tr>
    </w:tbl>
    <w:p w:rsidR="0009347A" w:rsidRPr="00765C97" w:rsidRDefault="0009347A" w:rsidP="00135A9A">
      <w:pPr>
        <w:pStyle w:val="Nagwek4"/>
        <w:numPr>
          <w:ilvl w:val="2"/>
          <w:numId w:val="17"/>
        </w:numPr>
        <w:spacing w:before="240" w:after="120" w:line="240" w:lineRule="auto"/>
        <w:ind w:left="1276" w:hanging="851"/>
        <w:rPr>
          <w:rFonts w:ascii="Arial" w:hAnsi="Arial" w:cs="Arial"/>
          <w:sz w:val="20"/>
          <w:lang w:val="pl-PL"/>
        </w:rPr>
      </w:pPr>
      <w:bookmarkStart w:id="71" w:name="_Toc353973228"/>
      <w:r w:rsidRPr="00765C97">
        <w:rPr>
          <w:rFonts w:ascii="Arial" w:hAnsi="Arial" w:cs="Arial"/>
          <w:sz w:val="20"/>
          <w:lang w:val="pl-PL"/>
        </w:rPr>
        <w:t>Pożyczki</w:t>
      </w:r>
      <w:bookmarkEnd w:id="71"/>
    </w:p>
    <w:p w:rsidR="0009347A" w:rsidRPr="00765C97" w:rsidRDefault="0009347A" w:rsidP="00833CBA">
      <w:pPr>
        <w:jc w:val="both"/>
        <w:rPr>
          <w:rFonts w:ascii="Arial" w:hAnsi="Arial"/>
          <w:sz w:val="20"/>
          <w:lang w:val="pl-PL"/>
        </w:rPr>
      </w:pPr>
      <w:r w:rsidRPr="00765C97">
        <w:rPr>
          <w:rFonts w:ascii="Arial" w:hAnsi="Arial"/>
          <w:sz w:val="20"/>
          <w:lang w:val="pl-PL"/>
        </w:rPr>
        <w:t>S</w:t>
      </w:r>
      <w:r w:rsidR="0031442C" w:rsidRPr="00765C97">
        <w:rPr>
          <w:rFonts w:ascii="Arial" w:hAnsi="Arial"/>
          <w:sz w:val="20"/>
          <w:lang w:val="pl-PL"/>
        </w:rPr>
        <w:t>półka CA Consulting S.A., jednostka</w:t>
      </w:r>
      <w:r w:rsidRPr="00765C97">
        <w:rPr>
          <w:rFonts w:ascii="Arial" w:hAnsi="Arial"/>
          <w:sz w:val="20"/>
          <w:lang w:val="pl-PL"/>
        </w:rPr>
        <w:t xml:space="preserve"> zależna Comarch S.A., w czwartym kwartale 2012 roku zawarła z IBM Polska Sp. z o.o. umowę pożyczki w kwocie 12 559 tys. zł na sfinansowanie dostawy sprzętu, w związku z realizowanym przez spółkę projektem informatycznym. Pożyczka została uruchomiona w czwartym kwartale 2012 roku. Termin spłaty pożyczki przypada na wrzesień 2013 roku, oprocentowanie jest stałe. Zabezpieczeniem pożyczki jest poręczenie Comarch S.A.</w:t>
      </w:r>
    </w:p>
    <w:p w:rsidR="0009347A" w:rsidRPr="00765C97" w:rsidRDefault="0009347A" w:rsidP="00833CBA">
      <w:pPr>
        <w:jc w:val="both"/>
        <w:rPr>
          <w:rFonts w:ascii="Arial" w:hAnsi="Arial"/>
          <w:sz w:val="20"/>
          <w:lang w:val="pl-PL"/>
        </w:rPr>
      </w:pPr>
    </w:p>
    <w:p w:rsidR="0009347A" w:rsidRPr="00765C97" w:rsidRDefault="0009347A" w:rsidP="00833CBA">
      <w:pPr>
        <w:jc w:val="both"/>
        <w:rPr>
          <w:rFonts w:ascii="Arial" w:hAnsi="Arial"/>
          <w:sz w:val="20"/>
          <w:lang w:val="pl-PL"/>
        </w:rPr>
      </w:pPr>
      <w:r w:rsidRPr="00765C97">
        <w:rPr>
          <w:rFonts w:ascii="Arial" w:hAnsi="Arial"/>
          <w:sz w:val="20"/>
          <w:lang w:val="pl-PL"/>
        </w:rPr>
        <w:t>Spółka Comarch S</w:t>
      </w:r>
      <w:r w:rsidR="00C73F2A" w:rsidRPr="00765C97">
        <w:rPr>
          <w:rFonts w:ascii="Arial" w:hAnsi="Arial"/>
          <w:sz w:val="20"/>
          <w:lang w:val="pl-PL"/>
        </w:rPr>
        <w:t>.</w:t>
      </w:r>
      <w:r w:rsidRPr="00765C97">
        <w:rPr>
          <w:rFonts w:ascii="Arial" w:hAnsi="Arial"/>
          <w:sz w:val="20"/>
          <w:lang w:val="pl-PL"/>
        </w:rPr>
        <w:t>A</w:t>
      </w:r>
      <w:r w:rsidR="00C73F2A" w:rsidRPr="00765C97">
        <w:rPr>
          <w:rFonts w:ascii="Arial" w:hAnsi="Arial"/>
          <w:sz w:val="20"/>
          <w:lang w:val="pl-PL"/>
        </w:rPr>
        <w:t>.</w:t>
      </w:r>
      <w:r w:rsidRPr="00765C97">
        <w:rPr>
          <w:rFonts w:ascii="Arial" w:hAnsi="Arial"/>
          <w:sz w:val="20"/>
          <w:lang w:val="pl-PL"/>
        </w:rPr>
        <w:t xml:space="preserve"> w czwartym kwartale 2012 roku zawarła z IBM Polska Sp. z o.o umowę pożyczki w kwocie 7 353 tys. zł na sfinansowanie dostawy sprzętu i licencji IBM w związku z realizowanym przez Grupę Comarch projektem informatycznym. Pożyczka została uruchomiona w czwartym kwartale 2012 roku. Ostateczny termin spłaty pożyczki przypada na sierpień 2013 roku, oprocentowanie jest stałe. Pożyczka nie jest zabezpieczona.</w:t>
      </w:r>
    </w:p>
    <w:p w:rsidR="0009347A" w:rsidRPr="00765C97" w:rsidRDefault="0009347A" w:rsidP="00833CBA">
      <w:pPr>
        <w:jc w:val="both"/>
        <w:rPr>
          <w:rFonts w:ascii="Arial" w:hAnsi="Arial"/>
          <w:sz w:val="20"/>
          <w:lang w:val="pl-PL"/>
        </w:rPr>
      </w:pPr>
    </w:p>
    <w:p w:rsidR="0009347A" w:rsidRPr="00765C97" w:rsidRDefault="0009347A" w:rsidP="00833CBA">
      <w:pPr>
        <w:tabs>
          <w:tab w:val="left" w:pos="1134"/>
        </w:tabs>
        <w:rPr>
          <w:rFonts w:ascii="Arial" w:hAnsi="Arial"/>
          <w:sz w:val="20"/>
          <w:lang w:val="pl-PL"/>
        </w:rPr>
      </w:pPr>
      <w:r w:rsidRPr="00765C97">
        <w:rPr>
          <w:rFonts w:ascii="Arial" w:hAnsi="Arial"/>
          <w:sz w:val="20"/>
          <w:lang w:val="pl-PL"/>
        </w:rPr>
        <w:t>Spółka Comarch S</w:t>
      </w:r>
      <w:r w:rsidR="00C73F2A" w:rsidRPr="00765C97">
        <w:rPr>
          <w:rFonts w:ascii="Arial" w:hAnsi="Arial"/>
          <w:sz w:val="20"/>
          <w:lang w:val="pl-PL"/>
        </w:rPr>
        <w:t>.</w:t>
      </w:r>
      <w:r w:rsidRPr="00765C97">
        <w:rPr>
          <w:rFonts w:ascii="Arial" w:hAnsi="Arial"/>
          <w:sz w:val="20"/>
          <w:lang w:val="pl-PL"/>
        </w:rPr>
        <w:t>A</w:t>
      </w:r>
      <w:r w:rsidR="00C73F2A" w:rsidRPr="00765C97">
        <w:rPr>
          <w:rFonts w:ascii="Arial" w:hAnsi="Arial"/>
          <w:sz w:val="20"/>
          <w:lang w:val="pl-PL"/>
        </w:rPr>
        <w:t>.</w:t>
      </w:r>
      <w:r w:rsidRPr="00765C97">
        <w:rPr>
          <w:rFonts w:ascii="Arial" w:hAnsi="Arial"/>
          <w:sz w:val="20"/>
          <w:lang w:val="pl-PL"/>
        </w:rPr>
        <w:t xml:space="preserve"> w dniu 27 grudnia 2012 zawarła z IBM Polska Sp. z o.o umowę pożyczki na kwotę 343 tys. zł na sfinansowanie dostawy sprzętu IBM w związku z realizowanym przez Grupę Comarch projektem informatycznym. Pożyczka została uruchomiona po dniu bilansu tj., w pierwszym kwartale 2013 roku. Ostateczny termin spłaty pożyczki przypada na grudzień 2015 roku, oprocentowanie jest stałe. Pożyczka nie jest zabezpieczona.</w:t>
      </w:r>
    </w:p>
    <w:p w:rsidR="001B2BB6" w:rsidRPr="00765C97" w:rsidRDefault="001B2BB6" w:rsidP="00135A9A">
      <w:pPr>
        <w:pStyle w:val="Nagwek4"/>
        <w:numPr>
          <w:ilvl w:val="2"/>
          <w:numId w:val="17"/>
        </w:numPr>
        <w:spacing w:before="240" w:after="120" w:line="240" w:lineRule="auto"/>
        <w:ind w:left="1276" w:hanging="851"/>
        <w:rPr>
          <w:rFonts w:ascii="Arial" w:hAnsi="Arial" w:cs="Arial"/>
          <w:b w:val="0"/>
          <w:sz w:val="20"/>
          <w:lang w:val="pl-PL"/>
        </w:rPr>
      </w:pPr>
      <w:bookmarkStart w:id="72" w:name="_Toc353973229"/>
      <w:r w:rsidRPr="00765C97">
        <w:rPr>
          <w:rFonts w:ascii="Arial" w:hAnsi="Arial" w:cs="Arial"/>
          <w:sz w:val="20"/>
          <w:lang w:val="pl-PL"/>
        </w:rPr>
        <w:t>Linie kredytowe w rachunku bieżącym (o zmiennym oprocentowaniu)</w:t>
      </w:r>
      <w:bookmarkEnd w:id="72"/>
    </w:p>
    <w:p w:rsidR="001B2BB6" w:rsidRPr="00765C97" w:rsidRDefault="001B2BB6" w:rsidP="00833CBA">
      <w:pPr>
        <w:tabs>
          <w:tab w:val="left" w:pos="1134"/>
        </w:tabs>
        <w:jc w:val="both"/>
        <w:rPr>
          <w:rFonts w:ascii="Arial" w:hAnsi="Arial"/>
          <w:sz w:val="20"/>
          <w:lang w:val="pl-PL"/>
        </w:rPr>
      </w:pPr>
      <w:r w:rsidRPr="00765C97">
        <w:rPr>
          <w:rFonts w:ascii="Arial" w:hAnsi="Arial"/>
          <w:sz w:val="20"/>
          <w:lang w:val="pl-PL"/>
        </w:rPr>
        <w:t xml:space="preserve">W Grupie Comarch </w:t>
      </w:r>
      <w:r w:rsidR="00F35BD0" w:rsidRPr="00765C97">
        <w:rPr>
          <w:rFonts w:ascii="Arial" w:hAnsi="Arial"/>
          <w:sz w:val="20"/>
          <w:lang w:val="pl-PL"/>
        </w:rPr>
        <w:t>jednostka</w:t>
      </w:r>
      <w:r w:rsidRPr="00765C97">
        <w:rPr>
          <w:rFonts w:ascii="Arial" w:hAnsi="Arial"/>
          <w:sz w:val="20"/>
          <w:lang w:val="pl-PL"/>
        </w:rPr>
        <w:t xml:space="preserve"> dominując</w:t>
      </w:r>
      <w:r w:rsidR="00F35BD0" w:rsidRPr="00765C97">
        <w:rPr>
          <w:rFonts w:ascii="Arial" w:hAnsi="Arial"/>
          <w:sz w:val="20"/>
          <w:lang w:val="pl-PL"/>
        </w:rPr>
        <w:t>a</w:t>
      </w:r>
      <w:r w:rsidRPr="00765C97">
        <w:rPr>
          <w:rFonts w:ascii="Arial" w:hAnsi="Arial"/>
          <w:sz w:val="20"/>
          <w:lang w:val="pl-PL"/>
        </w:rPr>
        <w:t xml:space="preserve"> Comarch S.A. posiada przyznane następujące limity kredytowe w rachunku bieżącym:</w:t>
      </w:r>
    </w:p>
    <w:p w:rsidR="001B2BB6" w:rsidRPr="00765C97" w:rsidRDefault="001B2BB6" w:rsidP="001B2BB6">
      <w:pPr>
        <w:tabs>
          <w:tab w:val="left" w:pos="1134"/>
        </w:tabs>
        <w:ind w:left="142"/>
        <w:rPr>
          <w:rFonts w:ascii="Arial" w:hAnsi="Arial"/>
          <w:sz w:val="20"/>
          <w:lang w:val="pl-PL"/>
        </w:rPr>
      </w:pPr>
    </w:p>
    <w:p w:rsidR="001B2BB6" w:rsidRPr="00765C97" w:rsidRDefault="001B2BB6" w:rsidP="00135A9A">
      <w:pPr>
        <w:pStyle w:val="Tekstpodstawowywcity2"/>
        <w:numPr>
          <w:ilvl w:val="0"/>
          <w:numId w:val="27"/>
        </w:numPr>
        <w:spacing w:after="0" w:line="240" w:lineRule="auto"/>
        <w:ind w:left="142" w:firstLine="0"/>
        <w:jc w:val="both"/>
        <w:rPr>
          <w:rFonts w:ascii="Arial" w:hAnsi="Arial"/>
          <w:sz w:val="20"/>
          <w:lang w:val="pl-PL"/>
        </w:rPr>
      </w:pPr>
      <w:r w:rsidRPr="00765C97">
        <w:rPr>
          <w:rFonts w:ascii="Arial" w:hAnsi="Arial"/>
          <w:sz w:val="20"/>
          <w:lang w:val="pl-PL"/>
        </w:rPr>
        <w:t>limit kredytowy w rachunku bieżącym w Banku Pekao S.A. z siedzibą w Warszawie w wysokości 35 000 tys. zł, którego okres udostępnienia upływa w dniu 31 maja 2013 roku. Zabezpieczeniem kredytu są pełnomocnictwo do rachunków Comarch S.A. w Banku Pekao S</w:t>
      </w:r>
      <w:r w:rsidR="00C73F2A" w:rsidRPr="00765C97">
        <w:rPr>
          <w:rFonts w:ascii="Arial" w:hAnsi="Arial"/>
          <w:sz w:val="20"/>
          <w:lang w:val="pl-PL"/>
        </w:rPr>
        <w:t>.</w:t>
      </w:r>
      <w:r w:rsidRPr="00765C97">
        <w:rPr>
          <w:rFonts w:ascii="Arial" w:hAnsi="Arial"/>
          <w:sz w:val="20"/>
          <w:lang w:val="pl-PL"/>
        </w:rPr>
        <w:t>A</w:t>
      </w:r>
      <w:r w:rsidR="00C73F2A" w:rsidRPr="00765C97">
        <w:rPr>
          <w:rFonts w:ascii="Arial" w:hAnsi="Arial"/>
          <w:sz w:val="20"/>
          <w:lang w:val="pl-PL"/>
        </w:rPr>
        <w:t>.</w:t>
      </w:r>
      <w:r w:rsidRPr="00765C97">
        <w:rPr>
          <w:rFonts w:ascii="Arial" w:hAnsi="Arial"/>
          <w:sz w:val="20"/>
          <w:lang w:val="pl-PL"/>
        </w:rPr>
        <w:t xml:space="preserve"> oraz oświadczenie o poddaniu się egzekucji. </w:t>
      </w:r>
      <w:r w:rsidRPr="00765C97">
        <w:rPr>
          <w:rFonts w:ascii="Arial" w:hAnsi="Arial" w:cs="Arial"/>
          <w:sz w:val="20"/>
          <w:szCs w:val="20"/>
          <w:lang w:val="pl-PL"/>
        </w:rPr>
        <w:t>Na dzień 31 grudnia 2012 r. wykorzystanie kredytu wynosiło 2 451 tys. zł.</w:t>
      </w:r>
    </w:p>
    <w:p w:rsidR="001B2BB6" w:rsidRPr="00765C97" w:rsidRDefault="001B2BB6" w:rsidP="001B2BB6">
      <w:pPr>
        <w:pStyle w:val="Tekstpodstawowywcity2"/>
        <w:spacing w:after="0" w:line="240" w:lineRule="auto"/>
        <w:ind w:left="142"/>
        <w:jc w:val="both"/>
        <w:rPr>
          <w:rFonts w:ascii="Arial" w:hAnsi="Arial"/>
          <w:sz w:val="20"/>
          <w:lang w:val="pl-PL"/>
        </w:rPr>
      </w:pPr>
    </w:p>
    <w:p w:rsidR="001B2BB6" w:rsidRPr="00765C97" w:rsidRDefault="001B2BB6" w:rsidP="00135A9A">
      <w:pPr>
        <w:pStyle w:val="Tekstpodstawowywcity2"/>
        <w:numPr>
          <w:ilvl w:val="0"/>
          <w:numId w:val="27"/>
        </w:numPr>
        <w:spacing w:after="0" w:line="240" w:lineRule="auto"/>
        <w:ind w:left="142" w:firstLine="0"/>
        <w:jc w:val="both"/>
        <w:rPr>
          <w:rFonts w:ascii="Arial" w:hAnsi="Arial"/>
          <w:sz w:val="20"/>
          <w:lang w:val="pl-PL"/>
        </w:rPr>
      </w:pPr>
      <w:r w:rsidRPr="00765C97">
        <w:rPr>
          <w:rFonts w:ascii="Arial" w:hAnsi="Arial"/>
          <w:sz w:val="20"/>
          <w:lang w:val="pl-PL"/>
        </w:rPr>
        <w:t>limit kredytowy w rachunku bieżącym w banku Powszechna Kasa Oszczędności Bank Polski S.A. (PKO BP S.A.) z siedzibą w Warszawie w wysokości 10 000 tys. zł, którego okres udostępnienia upływa w dniu 13 grudnia 2013 roku. Zabezpieczeniem kredytu są pełnomocnictwo do rachunków Comarch S.A. w banku PKO BP S</w:t>
      </w:r>
      <w:r w:rsidR="00C73F2A" w:rsidRPr="00765C97">
        <w:rPr>
          <w:rFonts w:ascii="Arial" w:hAnsi="Arial"/>
          <w:sz w:val="20"/>
          <w:lang w:val="pl-PL"/>
        </w:rPr>
        <w:t>.</w:t>
      </w:r>
      <w:r w:rsidRPr="00765C97">
        <w:rPr>
          <w:rFonts w:ascii="Arial" w:hAnsi="Arial"/>
          <w:sz w:val="20"/>
          <w:lang w:val="pl-PL"/>
        </w:rPr>
        <w:t>A</w:t>
      </w:r>
      <w:r w:rsidR="00C73F2A" w:rsidRPr="00765C97">
        <w:rPr>
          <w:rFonts w:ascii="Arial" w:hAnsi="Arial"/>
          <w:sz w:val="20"/>
          <w:lang w:val="pl-PL"/>
        </w:rPr>
        <w:t>.</w:t>
      </w:r>
      <w:r w:rsidRPr="00765C97">
        <w:rPr>
          <w:rFonts w:ascii="Arial" w:hAnsi="Arial"/>
          <w:sz w:val="20"/>
          <w:lang w:val="pl-PL"/>
        </w:rPr>
        <w:t xml:space="preserve"> oraz weksel in blanco. Na dzień 31 grudnia 2012 roku kredyt nie był wykorzystany.</w:t>
      </w:r>
    </w:p>
    <w:p w:rsidR="001B2BB6" w:rsidRPr="00765C97" w:rsidRDefault="001B2BB6" w:rsidP="001B2BB6">
      <w:pPr>
        <w:pStyle w:val="Tekstpodstawowywcity2"/>
        <w:spacing w:after="0" w:line="240" w:lineRule="auto"/>
        <w:ind w:left="142"/>
        <w:jc w:val="both"/>
        <w:rPr>
          <w:rFonts w:ascii="Arial" w:hAnsi="Arial"/>
          <w:sz w:val="20"/>
          <w:lang w:val="pl-PL"/>
        </w:rPr>
      </w:pPr>
    </w:p>
    <w:p w:rsidR="001B2BB6" w:rsidRPr="00765C97" w:rsidRDefault="001B2BB6" w:rsidP="00135A9A">
      <w:pPr>
        <w:pStyle w:val="Tekstpodstawowywcity2"/>
        <w:numPr>
          <w:ilvl w:val="0"/>
          <w:numId w:val="27"/>
        </w:numPr>
        <w:spacing w:after="0" w:line="240" w:lineRule="auto"/>
        <w:ind w:left="142" w:firstLine="0"/>
        <w:jc w:val="both"/>
        <w:rPr>
          <w:rFonts w:ascii="Arial" w:hAnsi="Arial"/>
          <w:sz w:val="20"/>
          <w:lang w:val="pl-PL"/>
        </w:rPr>
      </w:pPr>
      <w:r w:rsidRPr="00765C97">
        <w:rPr>
          <w:rFonts w:ascii="Arial" w:hAnsi="Arial"/>
          <w:sz w:val="20"/>
          <w:lang w:val="pl-PL"/>
        </w:rPr>
        <w:t>limit kredytowy w rachunku bieżącym w banku BPH S.A z siedzibą w Krakowie w wysokości 10 000 tys. zł, którego okres udostępnienia upływa w dniu 30 września 2013 roku. Zabezpieczeniem kredytu są weksel in blanco oraz oświadczenie o poddaniu się egzekucji. Na dzień 31 grudnia 2012 roku kredyt nie był wykorzystany.</w:t>
      </w:r>
    </w:p>
    <w:p w:rsidR="001B2BB6" w:rsidRPr="00765C97" w:rsidRDefault="001B2BB6" w:rsidP="001B2BB6">
      <w:pPr>
        <w:pStyle w:val="Tekstpodstawowywcity2"/>
        <w:spacing w:after="0" w:line="240" w:lineRule="auto"/>
        <w:ind w:left="142"/>
        <w:jc w:val="both"/>
        <w:rPr>
          <w:rFonts w:ascii="Arial" w:hAnsi="Arial"/>
          <w:sz w:val="20"/>
          <w:lang w:val="pl-PL"/>
        </w:rPr>
      </w:pPr>
    </w:p>
    <w:p w:rsidR="006E2C3F" w:rsidRPr="00765C97" w:rsidRDefault="001B2BB6" w:rsidP="00833CBA">
      <w:pPr>
        <w:tabs>
          <w:tab w:val="left" w:pos="1134"/>
        </w:tabs>
        <w:jc w:val="both"/>
        <w:rPr>
          <w:rFonts w:ascii="Arial" w:hAnsi="Arial"/>
          <w:b/>
          <w:sz w:val="20"/>
          <w:lang w:val="pl-PL"/>
        </w:rPr>
      </w:pPr>
      <w:r w:rsidRPr="00765C97">
        <w:rPr>
          <w:rFonts w:ascii="Arial" w:hAnsi="Arial"/>
          <w:sz w:val="20"/>
          <w:lang w:val="pl-PL"/>
        </w:rPr>
        <w:t xml:space="preserve">Spółka </w:t>
      </w:r>
      <w:r w:rsidR="0031442C" w:rsidRPr="00765C97">
        <w:rPr>
          <w:rFonts w:ascii="Arial" w:hAnsi="Arial"/>
          <w:color w:val="000000"/>
          <w:spacing w:val="-1"/>
          <w:sz w:val="20"/>
          <w:lang w:val="pl-PL"/>
        </w:rPr>
        <w:t>ESAProjekt Sp. z o.o., jednostka</w:t>
      </w:r>
      <w:r w:rsidRPr="00765C97">
        <w:rPr>
          <w:rFonts w:ascii="Arial" w:hAnsi="Arial"/>
          <w:color w:val="000000"/>
          <w:spacing w:val="-1"/>
          <w:sz w:val="20"/>
          <w:lang w:val="pl-PL"/>
        </w:rPr>
        <w:t xml:space="preserve"> zależna Comarch S</w:t>
      </w:r>
      <w:r w:rsidR="00C73F2A" w:rsidRPr="00765C97">
        <w:rPr>
          <w:rFonts w:ascii="Arial" w:hAnsi="Arial"/>
          <w:color w:val="000000"/>
          <w:spacing w:val="-1"/>
          <w:sz w:val="20"/>
          <w:lang w:val="pl-PL"/>
        </w:rPr>
        <w:t>.</w:t>
      </w:r>
      <w:r w:rsidRPr="00765C97">
        <w:rPr>
          <w:rFonts w:ascii="Arial" w:hAnsi="Arial"/>
          <w:color w:val="000000"/>
          <w:spacing w:val="-1"/>
          <w:sz w:val="20"/>
          <w:lang w:val="pl-PL"/>
        </w:rPr>
        <w:t>A</w:t>
      </w:r>
      <w:r w:rsidR="00C73F2A" w:rsidRPr="00765C97">
        <w:rPr>
          <w:rFonts w:ascii="Arial" w:hAnsi="Arial"/>
          <w:color w:val="000000"/>
          <w:spacing w:val="-1"/>
          <w:sz w:val="20"/>
          <w:lang w:val="pl-PL"/>
        </w:rPr>
        <w:t>.</w:t>
      </w:r>
      <w:r w:rsidRPr="00765C97">
        <w:rPr>
          <w:rFonts w:ascii="Arial" w:hAnsi="Arial"/>
          <w:color w:val="000000"/>
          <w:spacing w:val="-1"/>
          <w:sz w:val="20"/>
          <w:lang w:val="pl-PL"/>
        </w:rPr>
        <w:t xml:space="preserve"> posiada przyznany limit kredytowy w rachunku bieżącym w banku Alior Bank S.A. z siedzibą w Warszawie w wysokości 350 tys. zł. Okres udostępnienia kredytu upływa w dniu 27 stycznia 2013 roku, jego z</w:t>
      </w:r>
      <w:r w:rsidRPr="00765C97">
        <w:rPr>
          <w:rFonts w:ascii="Arial" w:hAnsi="Arial"/>
          <w:sz w:val="20"/>
          <w:lang w:val="pl-PL"/>
        </w:rPr>
        <w:t xml:space="preserve">abezpieczeniem są weksel in blanco oraz pełnomocnictwo do rachunków </w:t>
      </w:r>
      <w:r w:rsidRPr="00765C97">
        <w:rPr>
          <w:rFonts w:ascii="Arial" w:hAnsi="Arial"/>
          <w:color w:val="000000"/>
          <w:spacing w:val="-1"/>
          <w:sz w:val="20"/>
          <w:lang w:val="pl-PL"/>
        </w:rPr>
        <w:t>ESAProjekt Sp. z o.o. w Alior Bank S.A</w:t>
      </w:r>
      <w:r w:rsidRPr="00765C97">
        <w:rPr>
          <w:rFonts w:ascii="Arial" w:hAnsi="Arial"/>
          <w:sz w:val="20"/>
          <w:lang w:val="pl-PL"/>
        </w:rPr>
        <w:t>. Na dzień 31 grudnia 2012 roku wykorzystanie kredytu wynosiło 350 tys. zł. Po dacie bilansu limit kredytowy w rachunku bieżącym został zwiększony do kwoty 500 tys. zł, z okresem udostępnienia do 27 stycznia 2014 roku.</w:t>
      </w:r>
    </w:p>
    <w:p w:rsidR="001B2BB6" w:rsidRPr="00765C97" w:rsidRDefault="001B2BB6" w:rsidP="00833CBA">
      <w:pPr>
        <w:tabs>
          <w:tab w:val="left" w:pos="1134"/>
        </w:tabs>
        <w:rPr>
          <w:rFonts w:ascii="Arial" w:hAnsi="Arial"/>
          <w:b/>
          <w:sz w:val="20"/>
          <w:lang w:val="pl-PL"/>
        </w:rPr>
      </w:pPr>
    </w:p>
    <w:p w:rsidR="00156FAC" w:rsidRPr="00765C97" w:rsidRDefault="00156FAC" w:rsidP="00135A9A">
      <w:pPr>
        <w:pStyle w:val="Nagwek4"/>
        <w:numPr>
          <w:ilvl w:val="2"/>
          <w:numId w:val="17"/>
        </w:numPr>
        <w:spacing w:before="240" w:after="120" w:line="240" w:lineRule="auto"/>
        <w:ind w:left="1276" w:hanging="851"/>
        <w:rPr>
          <w:rFonts w:ascii="Arial" w:hAnsi="Arial"/>
          <w:sz w:val="20"/>
          <w:lang w:val="pl-PL"/>
        </w:rPr>
      </w:pPr>
      <w:r w:rsidRPr="00765C97">
        <w:rPr>
          <w:rFonts w:ascii="Arial" w:hAnsi="Arial" w:cs="Arial"/>
          <w:bCs w:val="0"/>
          <w:sz w:val="20"/>
          <w:lang w:val="pl-PL"/>
        </w:rPr>
        <w:t>Linie kredytowe w rachunku bieżącym</w:t>
      </w:r>
      <w:r w:rsidRPr="00765C97">
        <w:rPr>
          <w:rFonts w:ascii="Arial" w:hAnsi="Arial" w:cs="Arial"/>
          <w:b w:val="0"/>
          <w:bCs w:val="0"/>
          <w:sz w:val="20"/>
          <w:lang w:val="pl-PL"/>
        </w:rPr>
        <w:t xml:space="preserve"> (o zmiennym oprocentowaniu)</w:t>
      </w:r>
    </w:p>
    <w:p w:rsidR="00156FAC" w:rsidRPr="00765C97" w:rsidRDefault="00156FAC" w:rsidP="00156FAC">
      <w:pPr>
        <w:tabs>
          <w:tab w:val="left" w:pos="1134"/>
        </w:tabs>
        <w:ind w:left="180"/>
        <w:rPr>
          <w:rFonts w:ascii="Arial" w:hAnsi="Arial"/>
          <w:sz w:val="20"/>
          <w:lang w:val="pl-PL"/>
        </w:rPr>
      </w:pPr>
    </w:p>
    <w:tbl>
      <w:tblPr>
        <w:tblW w:w="0" w:type="auto"/>
        <w:tblInd w:w="180" w:type="dxa"/>
        <w:tblLayout w:type="fixed"/>
        <w:tblCellMar>
          <w:left w:w="0" w:type="dxa"/>
          <w:right w:w="0" w:type="dxa"/>
        </w:tblCellMar>
        <w:tblLook w:val="04A0"/>
      </w:tblPr>
      <w:tblGrid>
        <w:gridCol w:w="4260"/>
        <w:gridCol w:w="2081"/>
        <w:gridCol w:w="1879"/>
      </w:tblGrid>
      <w:tr w:rsidR="00156FAC" w:rsidRPr="00765C97">
        <w:trPr>
          <w:trHeight w:val="255"/>
        </w:trPr>
        <w:tc>
          <w:tcPr>
            <w:tcW w:w="4260" w:type="dxa"/>
            <w:vAlign w:val="center"/>
          </w:tcPr>
          <w:p w:rsidR="00156FAC" w:rsidRPr="00765C97" w:rsidRDefault="00156FAC" w:rsidP="00156FAC">
            <w:pPr>
              <w:spacing w:before="20" w:after="20"/>
              <w:rPr>
                <w:rFonts w:ascii="Arial" w:hAnsi="Arial"/>
                <w:sz w:val="20"/>
                <w:lang w:val="pl-PL"/>
              </w:rPr>
            </w:pPr>
          </w:p>
        </w:tc>
        <w:tc>
          <w:tcPr>
            <w:tcW w:w="2081" w:type="dxa"/>
            <w:vAlign w:val="center"/>
          </w:tcPr>
          <w:p w:rsidR="00156FAC" w:rsidRPr="00765C97" w:rsidRDefault="00156FAC" w:rsidP="008E76A1">
            <w:pPr>
              <w:ind w:right="130"/>
              <w:jc w:val="right"/>
              <w:rPr>
                <w:rFonts w:ascii="Arial" w:hAnsi="Arial"/>
                <w:b/>
                <w:sz w:val="20"/>
                <w:lang w:val="pl-PL"/>
              </w:rPr>
            </w:pPr>
            <w:r w:rsidRPr="00765C97">
              <w:rPr>
                <w:rFonts w:ascii="Arial" w:hAnsi="Arial"/>
                <w:b/>
                <w:sz w:val="20"/>
                <w:lang w:val="pl-PL"/>
              </w:rPr>
              <w:t>31 grudnia 201</w:t>
            </w:r>
            <w:r w:rsidR="00597C55" w:rsidRPr="00765C97">
              <w:rPr>
                <w:rFonts w:ascii="Arial" w:hAnsi="Arial"/>
                <w:b/>
                <w:sz w:val="20"/>
                <w:lang w:val="pl-PL"/>
              </w:rPr>
              <w:t>2</w:t>
            </w:r>
            <w:r w:rsidRPr="00765C97">
              <w:rPr>
                <w:rFonts w:ascii="Arial" w:hAnsi="Arial"/>
                <w:b/>
                <w:sz w:val="20"/>
                <w:lang w:val="pl-PL"/>
              </w:rPr>
              <w:t xml:space="preserve"> r.</w:t>
            </w:r>
          </w:p>
        </w:tc>
        <w:tc>
          <w:tcPr>
            <w:tcW w:w="1879" w:type="dxa"/>
            <w:vAlign w:val="center"/>
          </w:tcPr>
          <w:p w:rsidR="00156FAC" w:rsidRPr="00765C97" w:rsidRDefault="00156FAC" w:rsidP="000A451D">
            <w:pPr>
              <w:ind w:right="130"/>
              <w:jc w:val="right"/>
              <w:rPr>
                <w:rFonts w:ascii="Arial" w:hAnsi="Arial"/>
                <w:b/>
                <w:sz w:val="20"/>
                <w:lang w:val="pl-PL"/>
              </w:rPr>
            </w:pPr>
            <w:r w:rsidRPr="00765C97">
              <w:rPr>
                <w:rFonts w:ascii="Arial" w:hAnsi="Arial"/>
                <w:b/>
                <w:sz w:val="20"/>
                <w:lang w:val="pl-PL"/>
              </w:rPr>
              <w:t>31 grudnia 20</w:t>
            </w:r>
            <w:r w:rsidR="00597C55" w:rsidRPr="00765C97">
              <w:rPr>
                <w:rFonts w:ascii="Arial" w:hAnsi="Arial"/>
                <w:b/>
                <w:sz w:val="20"/>
                <w:lang w:val="pl-PL"/>
              </w:rPr>
              <w:t>11</w:t>
            </w:r>
            <w:r w:rsidRPr="00765C97">
              <w:rPr>
                <w:rFonts w:ascii="Arial" w:hAnsi="Arial"/>
                <w:b/>
                <w:sz w:val="20"/>
                <w:lang w:val="pl-PL"/>
              </w:rPr>
              <w:t xml:space="preserve"> r.</w:t>
            </w:r>
          </w:p>
        </w:tc>
      </w:tr>
      <w:tr w:rsidR="001B2BB6" w:rsidRPr="00765C97" w:rsidTr="000A451D">
        <w:trPr>
          <w:trHeight w:val="255"/>
        </w:trPr>
        <w:tc>
          <w:tcPr>
            <w:tcW w:w="4260" w:type="dxa"/>
            <w:vAlign w:val="center"/>
          </w:tcPr>
          <w:p w:rsidR="001B2BB6" w:rsidRPr="00765C97" w:rsidRDefault="001B2BB6" w:rsidP="00156FAC">
            <w:pPr>
              <w:pStyle w:val="balloontext10"/>
              <w:spacing w:before="20" w:after="20"/>
              <w:rPr>
                <w:rFonts w:ascii="Arial" w:hAnsi="Arial"/>
                <w:sz w:val="20"/>
              </w:rPr>
            </w:pPr>
            <w:r w:rsidRPr="00765C97">
              <w:rPr>
                <w:rFonts w:ascii="Arial" w:hAnsi="Arial"/>
                <w:sz w:val="20"/>
              </w:rPr>
              <w:t>Linie kredytowe w rachunku bieżącym przyznane, wygasające w ciągu jednego roku, w tym:</w:t>
            </w:r>
          </w:p>
        </w:tc>
        <w:tc>
          <w:tcPr>
            <w:tcW w:w="2081" w:type="dxa"/>
            <w:tcBorders>
              <w:bottom w:val="single" w:sz="4" w:space="0" w:color="auto"/>
            </w:tcBorders>
            <w:vAlign w:val="bottom"/>
          </w:tcPr>
          <w:p w:rsidR="001B2BB6" w:rsidRPr="00765C97" w:rsidRDefault="001B2BB6" w:rsidP="005D7C6A">
            <w:pPr>
              <w:jc w:val="right"/>
              <w:rPr>
                <w:rFonts w:ascii="Arial" w:hAnsi="Arial" w:cs="Arial"/>
                <w:b/>
                <w:bCs/>
                <w:color w:val="000000"/>
                <w:sz w:val="20"/>
                <w:szCs w:val="20"/>
              </w:rPr>
            </w:pPr>
            <w:r w:rsidRPr="00765C97">
              <w:rPr>
                <w:rFonts w:ascii="Arial" w:hAnsi="Arial" w:cs="Arial"/>
                <w:b/>
                <w:bCs/>
                <w:color w:val="000000"/>
                <w:sz w:val="20"/>
                <w:szCs w:val="20"/>
              </w:rPr>
              <w:t>55 350</w:t>
            </w:r>
          </w:p>
        </w:tc>
        <w:tc>
          <w:tcPr>
            <w:tcW w:w="1879" w:type="dxa"/>
            <w:tcBorders>
              <w:bottom w:val="single" w:sz="4" w:space="0" w:color="auto"/>
            </w:tcBorders>
            <w:vAlign w:val="bottom"/>
          </w:tcPr>
          <w:p w:rsidR="001B2BB6" w:rsidRPr="00765C97" w:rsidRDefault="001B2BB6" w:rsidP="007A03FC">
            <w:pPr>
              <w:jc w:val="right"/>
              <w:rPr>
                <w:rFonts w:ascii="Arial" w:hAnsi="Arial" w:cs="Arial"/>
                <w:b/>
                <w:bCs/>
                <w:color w:val="000000"/>
                <w:sz w:val="20"/>
                <w:szCs w:val="20"/>
                <w:lang w:val="pl-PL"/>
              </w:rPr>
            </w:pPr>
            <w:r w:rsidRPr="00765C97">
              <w:rPr>
                <w:rFonts w:ascii="Arial" w:hAnsi="Arial" w:cs="Arial"/>
                <w:b/>
                <w:bCs/>
                <w:color w:val="000000"/>
                <w:sz w:val="20"/>
                <w:szCs w:val="20"/>
                <w:lang w:val="pl-PL"/>
              </w:rPr>
              <w:t>16 325</w:t>
            </w:r>
          </w:p>
        </w:tc>
      </w:tr>
      <w:tr w:rsidR="001B2BB6" w:rsidRPr="00765C97" w:rsidTr="000A451D">
        <w:trPr>
          <w:trHeight w:val="255"/>
        </w:trPr>
        <w:tc>
          <w:tcPr>
            <w:tcW w:w="4260" w:type="dxa"/>
            <w:vAlign w:val="center"/>
          </w:tcPr>
          <w:p w:rsidR="001B2BB6" w:rsidRPr="00765C97" w:rsidRDefault="001B2BB6" w:rsidP="00156FAC">
            <w:pPr>
              <w:pStyle w:val="balloontext10"/>
              <w:spacing w:before="20" w:after="20"/>
              <w:rPr>
                <w:rFonts w:ascii="Arial" w:hAnsi="Arial"/>
                <w:sz w:val="20"/>
              </w:rPr>
            </w:pPr>
            <w:r w:rsidRPr="00765C97">
              <w:rPr>
                <w:rFonts w:ascii="Arial" w:hAnsi="Arial"/>
                <w:sz w:val="20"/>
              </w:rPr>
              <w:t>– wykorzystane na dzień bilansowy</w:t>
            </w:r>
          </w:p>
        </w:tc>
        <w:tc>
          <w:tcPr>
            <w:tcW w:w="2081" w:type="dxa"/>
            <w:tcBorders>
              <w:top w:val="single" w:sz="4" w:space="0" w:color="auto"/>
            </w:tcBorders>
            <w:vAlign w:val="bottom"/>
          </w:tcPr>
          <w:p w:rsidR="001B2BB6" w:rsidRPr="00765C97" w:rsidRDefault="001B2BB6" w:rsidP="005D7C6A">
            <w:pPr>
              <w:jc w:val="right"/>
              <w:rPr>
                <w:rFonts w:ascii="Arial" w:hAnsi="Arial" w:cs="Arial"/>
                <w:color w:val="000000"/>
                <w:sz w:val="20"/>
                <w:szCs w:val="20"/>
              </w:rPr>
            </w:pPr>
            <w:r w:rsidRPr="00765C97">
              <w:rPr>
                <w:rFonts w:ascii="Arial" w:hAnsi="Arial" w:cs="Arial"/>
                <w:color w:val="000000"/>
                <w:sz w:val="20"/>
                <w:szCs w:val="20"/>
              </w:rPr>
              <w:t>2 801</w:t>
            </w:r>
          </w:p>
        </w:tc>
        <w:tc>
          <w:tcPr>
            <w:tcW w:w="1879" w:type="dxa"/>
            <w:tcBorders>
              <w:top w:val="single" w:sz="4" w:space="0" w:color="auto"/>
            </w:tcBorders>
            <w:vAlign w:val="bottom"/>
          </w:tcPr>
          <w:p w:rsidR="001B2BB6" w:rsidRPr="00765C97" w:rsidRDefault="001B2BB6" w:rsidP="007A03FC">
            <w:pPr>
              <w:jc w:val="right"/>
              <w:rPr>
                <w:rFonts w:ascii="Arial" w:hAnsi="Arial" w:cs="Arial"/>
                <w:color w:val="000000"/>
                <w:sz w:val="20"/>
                <w:szCs w:val="20"/>
              </w:rPr>
            </w:pPr>
            <w:r w:rsidRPr="00765C97">
              <w:rPr>
                <w:rFonts w:ascii="Arial" w:hAnsi="Arial" w:cs="Arial"/>
                <w:color w:val="000000"/>
                <w:sz w:val="20"/>
                <w:szCs w:val="20"/>
              </w:rPr>
              <w:t>1 054</w:t>
            </w:r>
          </w:p>
        </w:tc>
      </w:tr>
      <w:tr w:rsidR="001B2BB6" w:rsidRPr="00765C97" w:rsidTr="000A451D">
        <w:trPr>
          <w:trHeight w:val="255"/>
        </w:trPr>
        <w:tc>
          <w:tcPr>
            <w:tcW w:w="4260" w:type="dxa"/>
            <w:vAlign w:val="center"/>
          </w:tcPr>
          <w:p w:rsidR="001B2BB6" w:rsidRPr="00765C97" w:rsidRDefault="001B2BB6" w:rsidP="00156FAC">
            <w:pPr>
              <w:pStyle w:val="balloontext10"/>
              <w:spacing w:before="20" w:after="20"/>
              <w:rPr>
                <w:rFonts w:ascii="Arial" w:hAnsi="Arial"/>
                <w:sz w:val="20"/>
              </w:rPr>
            </w:pPr>
            <w:r w:rsidRPr="00765C97">
              <w:rPr>
                <w:rFonts w:ascii="Arial" w:hAnsi="Arial"/>
                <w:sz w:val="20"/>
              </w:rPr>
              <w:t xml:space="preserve">– dostępne na dzień bilansowy </w:t>
            </w:r>
          </w:p>
        </w:tc>
        <w:tc>
          <w:tcPr>
            <w:tcW w:w="2081" w:type="dxa"/>
            <w:vAlign w:val="bottom"/>
          </w:tcPr>
          <w:p w:rsidR="001B2BB6" w:rsidRPr="00765C97" w:rsidRDefault="001B2BB6" w:rsidP="005D7C6A">
            <w:pPr>
              <w:jc w:val="right"/>
              <w:rPr>
                <w:rFonts w:ascii="Arial" w:hAnsi="Arial" w:cs="Arial"/>
                <w:color w:val="000000"/>
                <w:sz w:val="20"/>
                <w:szCs w:val="20"/>
              </w:rPr>
            </w:pPr>
            <w:r w:rsidRPr="00765C97">
              <w:rPr>
                <w:rFonts w:ascii="Arial" w:hAnsi="Arial" w:cs="Arial"/>
                <w:color w:val="000000"/>
                <w:sz w:val="20"/>
                <w:szCs w:val="20"/>
              </w:rPr>
              <w:t>52 549</w:t>
            </w:r>
          </w:p>
        </w:tc>
        <w:tc>
          <w:tcPr>
            <w:tcW w:w="1879" w:type="dxa"/>
            <w:vAlign w:val="bottom"/>
          </w:tcPr>
          <w:p w:rsidR="001B2BB6" w:rsidRPr="00765C97" w:rsidRDefault="001B2BB6" w:rsidP="007A03FC">
            <w:pPr>
              <w:jc w:val="right"/>
              <w:rPr>
                <w:rFonts w:ascii="Arial" w:hAnsi="Arial" w:cs="Arial"/>
                <w:color w:val="000000"/>
                <w:sz w:val="20"/>
                <w:szCs w:val="20"/>
              </w:rPr>
            </w:pPr>
            <w:r w:rsidRPr="00765C97">
              <w:rPr>
                <w:rFonts w:ascii="Arial" w:hAnsi="Arial" w:cs="Arial"/>
                <w:color w:val="000000"/>
                <w:sz w:val="20"/>
                <w:szCs w:val="20"/>
              </w:rPr>
              <w:t>15 271</w:t>
            </w:r>
          </w:p>
        </w:tc>
      </w:tr>
    </w:tbl>
    <w:p w:rsidR="00B24DA9" w:rsidRPr="00765C97" w:rsidRDefault="00B24DA9" w:rsidP="00135A9A">
      <w:pPr>
        <w:pStyle w:val="Nagwek3"/>
        <w:numPr>
          <w:ilvl w:val="1"/>
          <w:numId w:val="22"/>
        </w:numPr>
        <w:spacing w:after="240"/>
        <w:ind w:left="709" w:hanging="567"/>
        <w:rPr>
          <w:sz w:val="20"/>
          <w:lang w:val="pl-PL"/>
        </w:rPr>
      </w:pPr>
      <w:bookmarkStart w:id="73" w:name="_Toc353973230"/>
      <w:r w:rsidRPr="00765C97">
        <w:rPr>
          <w:sz w:val="20"/>
          <w:lang w:val="pl-PL"/>
        </w:rPr>
        <w:t>Zobowiązania warunkowe</w:t>
      </w:r>
      <w:bookmarkEnd w:id="73"/>
    </w:p>
    <w:p w:rsidR="001B2BB6" w:rsidRPr="00765C97" w:rsidRDefault="001B2BB6" w:rsidP="00833CBA">
      <w:pPr>
        <w:adjustRightInd w:val="0"/>
        <w:jc w:val="both"/>
        <w:rPr>
          <w:rFonts w:ascii="Arial" w:hAnsi="Arial"/>
          <w:sz w:val="20"/>
          <w:lang w:val="pl-PL"/>
        </w:rPr>
      </w:pPr>
      <w:r w:rsidRPr="00765C97">
        <w:rPr>
          <w:rFonts w:ascii="Arial" w:hAnsi="Arial"/>
          <w:sz w:val="20"/>
          <w:lang w:val="pl-PL"/>
        </w:rPr>
        <w:t xml:space="preserve">Na dzień 31 grudnia 2012 r. wartość gwarancji i akredytyw wystawionych przez banki na zlecenie Comarch S.A. w związku z realizowanymi umowami oraz uczestnictwem w przetargach wynosiła 67 860 tys. zł, podczas gdy na dzień 31 grudnia 2011 roku ich wartość wynosiła 35 123 tys. zł. </w:t>
      </w:r>
    </w:p>
    <w:p w:rsidR="001B2BB6" w:rsidRPr="00765C97" w:rsidRDefault="001B2BB6" w:rsidP="00833CBA">
      <w:pPr>
        <w:adjustRightInd w:val="0"/>
        <w:jc w:val="both"/>
        <w:rPr>
          <w:rFonts w:ascii="Arial" w:hAnsi="Arial"/>
          <w:sz w:val="20"/>
          <w:szCs w:val="20"/>
          <w:lang w:val="pl-PL"/>
        </w:rPr>
      </w:pPr>
      <w:r w:rsidRPr="00765C97">
        <w:rPr>
          <w:rFonts w:ascii="Arial" w:hAnsi="Arial"/>
          <w:sz w:val="20"/>
          <w:lang w:val="pl-PL"/>
        </w:rPr>
        <w:t xml:space="preserve">Ponadto według stanu na dzień 31 grudnia 2012 r. wartość gwarancji wystawionych przez </w:t>
      </w:r>
      <w:r w:rsidRPr="00765C97">
        <w:rPr>
          <w:rFonts w:ascii="Arial" w:hAnsi="Arial"/>
          <w:sz w:val="20"/>
          <w:szCs w:val="20"/>
          <w:lang w:val="pl-PL"/>
        </w:rPr>
        <w:t>banki na zlecenie CA Consulting S.A. w związku z realizowanymi umowami oraz uczestnictwem w przetargach wynosiła 795 tys. zł, podczas gdy na dzień 31 grudnia 2011 roku ich wartość wynosiła 1 350 tys. zł.</w:t>
      </w:r>
    </w:p>
    <w:p w:rsidR="001B2BB6" w:rsidRPr="00765C97" w:rsidRDefault="001B2BB6" w:rsidP="00833CBA">
      <w:pPr>
        <w:adjustRightInd w:val="0"/>
        <w:jc w:val="both"/>
        <w:rPr>
          <w:rFonts w:ascii="Arial" w:hAnsi="Arial" w:cs="Arial"/>
          <w:sz w:val="20"/>
          <w:szCs w:val="20"/>
          <w:lang w:val="pl-PL"/>
        </w:rPr>
      </w:pPr>
      <w:r w:rsidRPr="00765C97">
        <w:rPr>
          <w:rFonts w:ascii="Arial" w:hAnsi="Arial"/>
          <w:sz w:val="20"/>
          <w:szCs w:val="20"/>
          <w:lang w:val="pl-PL"/>
        </w:rPr>
        <w:t xml:space="preserve">Wg stanu na dzień </w:t>
      </w:r>
      <w:r w:rsidRPr="00765C97">
        <w:rPr>
          <w:rFonts w:ascii="Arial" w:hAnsi="Arial"/>
          <w:sz w:val="20"/>
          <w:lang w:val="pl-PL"/>
        </w:rPr>
        <w:t xml:space="preserve">31 grudnia 2012 r. </w:t>
      </w:r>
      <w:r w:rsidRPr="00765C97">
        <w:rPr>
          <w:rFonts w:ascii="Arial" w:hAnsi="Arial"/>
          <w:sz w:val="20"/>
          <w:szCs w:val="20"/>
          <w:lang w:val="pl-PL"/>
        </w:rPr>
        <w:t>wartość gwarancji wystawionych przez banki na zlecenie Grupy Comarch Software und Beratung wynosiła 252 tys. EURO (tj. 1 032 tys. zł), na dzień 31 grudnia 2011 roku ich wartość wynosiła 306 tys. EURO (tj. 1 353 tys. zł).</w:t>
      </w:r>
    </w:p>
    <w:p w:rsidR="001B2BB6" w:rsidRPr="00765C97" w:rsidRDefault="001B2BB6" w:rsidP="00833CBA">
      <w:pPr>
        <w:adjustRightInd w:val="0"/>
        <w:jc w:val="both"/>
        <w:rPr>
          <w:rFonts w:ascii="Arial" w:hAnsi="Arial"/>
          <w:sz w:val="20"/>
          <w:szCs w:val="20"/>
          <w:lang w:val="pl-PL"/>
        </w:rPr>
      </w:pPr>
    </w:p>
    <w:p w:rsidR="001B2BB6" w:rsidRPr="00765C97" w:rsidRDefault="001B2BB6" w:rsidP="00833CBA">
      <w:pPr>
        <w:adjustRightInd w:val="0"/>
        <w:jc w:val="both"/>
        <w:rPr>
          <w:rFonts w:ascii="Arial" w:hAnsi="Arial" w:cs="Arial"/>
          <w:sz w:val="20"/>
          <w:szCs w:val="20"/>
          <w:lang w:val="pl-PL"/>
        </w:rPr>
      </w:pPr>
      <w:r w:rsidRPr="00765C97">
        <w:rPr>
          <w:rFonts w:ascii="Arial" w:hAnsi="Arial" w:cs="Arial"/>
          <w:sz w:val="20"/>
          <w:szCs w:val="20"/>
          <w:lang w:val="pl-PL"/>
        </w:rPr>
        <w:t>Comarch S.A. udzielił oświadczeń o możliwości udzielenia wsparcia finansowego („</w:t>
      </w:r>
      <w:r w:rsidRPr="00765C97">
        <w:rPr>
          <w:rFonts w:ascii="Arial" w:hAnsi="Arial" w:cs="Arial"/>
          <w:i/>
          <w:sz w:val="20"/>
          <w:szCs w:val="20"/>
          <w:lang w:val="pl-PL"/>
        </w:rPr>
        <w:t>letter of comfort</w:t>
      </w:r>
      <w:r w:rsidR="0031442C" w:rsidRPr="00765C97">
        <w:rPr>
          <w:rFonts w:ascii="Arial" w:hAnsi="Arial" w:cs="Arial"/>
          <w:sz w:val="20"/>
          <w:szCs w:val="20"/>
          <w:lang w:val="pl-PL"/>
        </w:rPr>
        <w:t>”) dla jednostek</w:t>
      </w:r>
      <w:r w:rsidRPr="00765C97">
        <w:rPr>
          <w:rFonts w:ascii="Arial" w:hAnsi="Arial" w:cs="Arial"/>
          <w:sz w:val="20"/>
          <w:szCs w:val="20"/>
          <w:lang w:val="pl-PL"/>
        </w:rPr>
        <w:t xml:space="preserve"> zależnych Comarch Software und Beratung AG (oświadczenie ważne do 31 marca 2013 roku)</w:t>
      </w:r>
      <w:r w:rsidR="003608CA" w:rsidRPr="00765C97">
        <w:rPr>
          <w:rFonts w:ascii="Arial" w:hAnsi="Arial" w:cs="Arial"/>
          <w:sz w:val="20"/>
          <w:szCs w:val="20"/>
          <w:lang w:val="pl-PL"/>
        </w:rPr>
        <w:t>,</w:t>
      </w:r>
      <w:r w:rsidRPr="00765C97">
        <w:rPr>
          <w:rFonts w:ascii="Arial" w:hAnsi="Arial" w:cs="Arial"/>
          <w:sz w:val="20"/>
          <w:szCs w:val="20"/>
          <w:lang w:val="pl-PL"/>
        </w:rPr>
        <w:t xml:space="preserve"> MKS Cracovia SSA (oświadczenie ważne do 30 czerwca 2013 roku)</w:t>
      </w:r>
      <w:r w:rsidR="003608CA" w:rsidRPr="00765C97">
        <w:rPr>
          <w:rFonts w:ascii="Arial" w:hAnsi="Arial" w:cs="Arial"/>
          <w:sz w:val="20"/>
          <w:szCs w:val="20"/>
          <w:lang w:val="pl-PL"/>
        </w:rPr>
        <w:t xml:space="preserve"> oraz iMed24 S.A. (oświadczenie ważne do 30 czerwca 2014 r.).</w:t>
      </w:r>
    </w:p>
    <w:p w:rsidR="001B2BB6" w:rsidRPr="00765C97" w:rsidRDefault="001B2BB6" w:rsidP="00833CBA">
      <w:pPr>
        <w:adjustRightInd w:val="0"/>
        <w:jc w:val="both"/>
        <w:rPr>
          <w:rFonts w:ascii="Arial" w:hAnsi="Arial" w:cs="Arial"/>
          <w:sz w:val="20"/>
          <w:szCs w:val="20"/>
          <w:lang w:val="pl-PL"/>
        </w:rPr>
      </w:pPr>
    </w:p>
    <w:p w:rsidR="001B2BB6" w:rsidRPr="00765C97" w:rsidRDefault="001B2BB6" w:rsidP="00833CBA">
      <w:pPr>
        <w:pStyle w:val="Zwykytekst"/>
        <w:jc w:val="both"/>
        <w:rPr>
          <w:rFonts w:ascii="Arial" w:hAnsi="Arial" w:cs="Arial"/>
        </w:rPr>
      </w:pPr>
      <w:r w:rsidRPr="00765C97">
        <w:rPr>
          <w:rFonts w:ascii="Arial" w:hAnsi="Arial" w:cs="Arial"/>
        </w:rPr>
        <w:t xml:space="preserve">W wyniku zawarcia w dniu 15 grudnia 2011 r. porozumienia w sprawie objęcia akcji nowej emisji oraz realizacji uprawnień z warrantów subskrypcyjnych pomiędzy Comarch S.A. a MKS Cracovia SSA, Comarch S.A. zobowiązuje się do objęcia akcji wyemitowanych w ramach warunkowego podwyższenia kapitału zakładowego MKS Cracovia SSA w zamian za wkład pieniężny, który stanowić będzie wpłata gotówkowa w wysokości 29 999 817 złotych uiszczona zgodnie z następującym harmonogramem: </w:t>
      </w:r>
    </w:p>
    <w:p w:rsidR="001B2BB6" w:rsidRPr="00765C97" w:rsidRDefault="001B2BB6" w:rsidP="00833CBA">
      <w:pPr>
        <w:pStyle w:val="Zwykytekst"/>
        <w:jc w:val="both"/>
        <w:rPr>
          <w:rFonts w:ascii="Arial" w:hAnsi="Arial" w:cs="Arial"/>
        </w:rPr>
      </w:pPr>
      <w:r w:rsidRPr="00765C97">
        <w:rPr>
          <w:rFonts w:ascii="Arial" w:hAnsi="Arial" w:cs="Arial"/>
        </w:rPr>
        <w:t>- kwota 15 912 495 zł tytułem objęcia ww. akcji do dnia 31.03.2012 roku,</w:t>
      </w:r>
    </w:p>
    <w:p w:rsidR="001B2BB6" w:rsidRPr="00765C97" w:rsidRDefault="001B2BB6" w:rsidP="00833CBA">
      <w:pPr>
        <w:pStyle w:val="Zwykytekst"/>
        <w:jc w:val="both"/>
        <w:rPr>
          <w:rFonts w:ascii="Arial" w:hAnsi="Arial" w:cs="Arial"/>
        </w:rPr>
      </w:pPr>
      <w:r w:rsidRPr="00765C97">
        <w:rPr>
          <w:rFonts w:ascii="Arial" w:hAnsi="Arial" w:cs="Arial"/>
        </w:rPr>
        <w:t>- kwota 4 695 774 zł - do dnia 31.03.2013 roku,</w:t>
      </w:r>
    </w:p>
    <w:p w:rsidR="001B2BB6" w:rsidRPr="00765C97" w:rsidRDefault="001B2BB6" w:rsidP="00833CBA">
      <w:pPr>
        <w:pStyle w:val="Zwykytekst"/>
        <w:jc w:val="both"/>
        <w:rPr>
          <w:rFonts w:ascii="Arial" w:hAnsi="Arial" w:cs="Arial"/>
        </w:rPr>
      </w:pPr>
      <w:r w:rsidRPr="00765C97">
        <w:rPr>
          <w:rFonts w:ascii="Arial" w:hAnsi="Arial" w:cs="Arial"/>
        </w:rPr>
        <w:t>- kwota 9 391 548 zł - do dnia 31.12.2013 roku.</w:t>
      </w:r>
    </w:p>
    <w:p w:rsidR="005470F3" w:rsidRPr="00765C97" w:rsidRDefault="005470F3" w:rsidP="00833CBA">
      <w:pPr>
        <w:tabs>
          <w:tab w:val="left" w:pos="1134"/>
        </w:tabs>
        <w:jc w:val="both"/>
        <w:rPr>
          <w:rFonts w:ascii="Arial" w:hAnsi="Arial" w:cs="Arial"/>
          <w:sz w:val="20"/>
          <w:szCs w:val="20"/>
          <w:lang w:val="pl-PL"/>
        </w:rPr>
      </w:pPr>
    </w:p>
    <w:p w:rsidR="00D03F63" w:rsidRPr="00765C97" w:rsidRDefault="001B2BB6" w:rsidP="00833CBA">
      <w:pPr>
        <w:tabs>
          <w:tab w:val="left" w:pos="1134"/>
        </w:tabs>
        <w:jc w:val="both"/>
        <w:rPr>
          <w:rFonts w:ascii="Arial" w:hAnsi="Arial" w:cs="Arial"/>
          <w:lang w:val="pl-PL"/>
        </w:rPr>
      </w:pPr>
      <w:r w:rsidRPr="00765C97">
        <w:rPr>
          <w:rFonts w:ascii="Arial" w:hAnsi="Arial" w:cs="Arial"/>
          <w:sz w:val="20"/>
          <w:szCs w:val="20"/>
          <w:lang w:val="pl-PL"/>
        </w:rPr>
        <w:t xml:space="preserve">W związku z realizacją warunków przewidzianych porozumieniem, w dniu 24 lutego 2012 r. została podpisana umowa objęcia akcji serii E w kapitale zakładowym spółki MKS Cracovia SSA, w zamian za wkład pieniężny w kwocie 15 912 495 zł a w dniu 20 lutego 2013 r. została podpisana umowa objęcia akcji serii F w kapitale zakładowym spółki MKS Cracovia SSA, w zamian za wkład pieniężny w kwocie </w:t>
      </w:r>
      <w:r w:rsidRPr="00765C97">
        <w:rPr>
          <w:rFonts w:ascii="Arial" w:hAnsi="Arial"/>
          <w:sz w:val="20"/>
          <w:lang w:val="pl-PL"/>
        </w:rPr>
        <w:t xml:space="preserve">4 695 774 </w:t>
      </w:r>
      <w:r w:rsidRPr="00765C97">
        <w:rPr>
          <w:rFonts w:ascii="Arial" w:hAnsi="Arial" w:cs="Arial"/>
          <w:sz w:val="20"/>
          <w:szCs w:val="20"/>
          <w:lang w:val="pl-PL"/>
        </w:rPr>
        <w:t>zł.</w:t>
      </w:r>
    </w:p>
    <w:p w:rsidR="00AB12D0" w:rsidRPr="00765C97" w:rsidRDefault="00AB12D0" w:rsidP="00833CBA">
      <w:pPr>
        <w:tabs>
          <w:tab w:val="left" w:pos="1134"/>
        </w:tabs>
        <w:jc w:val="both"/>
        <w:rPr>
          <w:rFonts w:ascii="Arial" w:hAnsi="Arial"/>
          <w:b/>
          <w:sz w:val="20"/>
          <w:lang w:val="pl-PL"/>
        </w:rPr>
      </w:pPr>
    </w:p>
    <w:p w:rsidR="005470F3" w:rsidRPr="00765C97" w:rsidRDefault="005470F3" w:rsidP="00833CBA">
      <w:pPr>
        <w:tabs>
          <w:tab w:val="left" w:pos="1134"/>
        </w:tabs>
        <w:jc w:val="both"/>
        <w:rPr>
          <w:rFonts w:ascii="Arial" w:hAnsi="Arial"/>
          <w:b/>
          <w:sz w:val="20"/>
          <w:lang w:val="pl-PL"/>
        </w:rPr>
      </w:pPr>
    </w:p>
    <w:p w:rsidR="005470F3" w:rsidRPr="00765C97" w:rsidRDefault="005470F3" w:rsidP="00833CBA">
      <w:pPr>
        <w:tabs>
          <w:tab w:val="left" w:pos="1134"/>
        </w:tabs>
        <w:jc w:val="both"/>
        <w:rPr>
          <w:rFonts w:ascii="Arial" w:hAnsi="Arial"/>
          <w:b/>
          <w:sz w:val="20"/>
          <w:lang w:val="pl-PL"/>
        </w:rPr>
      </w:pPr>
    </w:p>
    <w:p w:rsidR="00B24DA9" w:rsidRPr="00765C97" w:rsidRDefault="00B24DA9" w:rsidP="00833CBA">
      <w:pPr>
        <w:tabs>
          <w:tab w:val="left" w:pos="1134"/>
        </w:tabs>
        <w:jc w:val="both"/>
        <w:rPr>
          <w:rFonts w:ascii="Arial" w:hAnsi="Arial"/>
          <w:sz w:val="20"/>
          <w:lang w:val="pl-PL"/>
        </w:rPr>
      </w:pPr>
      <w:r w:rsidRPr="00765C97">
        <w:rPr>
          <w:rFonts w:ascii="Arial" w:hAnsi="Arial"/>
          <w:b/>
          <w:sz w:val="20"/>
          <w:lang w:val="pl-PL"/>
        </w:rPr>
        <w:t xml:space="preserve">Przyznane linie kredytowe na finansowanie działalności bieżącej </w:t>
      </w:r>
      <w:r w:rsidRPr="00765C97">
        <w:rPr>
          <w:rFonts w:ascii="Arial" w:hAnsi="Arial"/>
          <w:sz w:val="20"/>
          <w:lang w:val="pl-PL"/>
        </w:rPr>
        <w:t>(gwarancje, akredytywy)</w:t>
      </w:r>
    </w:p>
    <w:p w:rsidR="00B24DA9" w:rsidRPr="00765C97" w:rsidRDefault="00B24DA9">
      <w:pPr>
        <w:tabs>
          <w:tab w:val="left" w:pos="1134"/>
        </w:tabs>
        <w:ind w:left="180"/>
        <w:rPr>
          <w:rFonts w:ascii="Arial" w:hAnsi="Arial"/>
          <w:sz w:val="20"/>
          <w:lang w:val="pl-PL"/>
        </w:rPr>
      </w:pPr>
    </w:p>
    <w:tbl>
      <w:tblPr>
        <w:tblW w:w="0" w:type="auto"/>
        <w:tblInd w:w="180" w:type="dxa"/>
        <w:tblLayout w:type="fixed"/>
        <w:tblCellMar>
          <w:left w:w="0" w:type="dxa"/>
          <w:right w:w="0" w:type="dxa"/>
        </w:tblCellMar>
        <w:tblLook w:val="0000"/>
      </w:tblPr>
      <w:tblGrid>
        <w:gridCol w:w="4260"/>
        <w:gridCol w:w="2040"/>
        <w:gridCol w:w="1920"/>
      </w:tblGrid>
      <w:tr w:rsidR="004007B2" w:rsidRPr="00765C97" w:rsidTr="004007B2">
        <w:trPr>
          <w:trHeight w:val="255"/>
        </w:trPr>
        <w:tc>
          <w:tcPr>
            <w:tcW w:w="4260" w:type="dxa"/>
            <w:tcBorders>
              <w:left w:val="nil"/>
              <w:bottom w:val="nil"/>
              <w:right w:val="nil"/>
            </w:tcBorders>
            <w:vAlign w:val="center"/>
          </w:tcPr>
          <w:p w:rsidR="004007B2" w:rsidRPr="00765C97" w:rsidRDefault="004007B2">
            <w:pPr>
              <w:spacing w:before="20" w:after="20"/>
              <w:rPr>
                <w:rFonts w:ascii="Arial" w:hAnsi="Arial"/>
                <w:sz w:val="20"/>
                <w:lang w:val="pl-PL"/>
              </w:rPr>
            </w:pPr>
          </w:p>
        </w:tc>
        <w:tc>
          <w:tcPr>
            <w:tcW w:w="2040" w:type="dxa"/>
            <w:tcBorders>
              <w:left w:val="nil"/>
              <w:right w:val="nil"/>
            </w:tcBorders>
            <w:vAlign w:val="center"/>
          </w:tcPr>
          <w:p w:rsidR="004007B2" w:rsidRPr="00765C97" w:rsidRDefault="004007B2" w:rsidP="004007B2">
            <w:pPr>
              <w:spacing w:before="20" w:after="20"/>
              <w:ind w:right="101"/>
              <w:jc w:val="right"/>
              <w:rPr>
                <w:rFonts w:ascii="Arial" w:hAnsi="Arial"/>
                <w:b/>
                <w:sz w:val="20"/>
                <w:lang w:val="pl-PL"/>
              </w:rPr>
            </w:pPr>
            <w:r w:rsidRPr="00765C97">
              <w:rPr>
                <w:rFonts w:ascii="Arial" w:hAnsi="Arial"/>
                <w:b/>
                <w:sz w:val="20"/>
                <w:lang w:val="pl-PL"/>
              </w:rPr>
              <w:t>31 grudni</w:t>
            </w:r>
            <w:r w:rsidR="00597C55" w:rsidRPr="00765C97">
              <w:rPr>
                <w:rFonts w:ascii="Arial" w:hAnsi="Arial"/>
                <w:b/>
                <w:sz w:val="20"/>
                <w:lang w:val="pl-PL"/>
              </w:rPr>
              <w:t>a 2012</w:t>
            </w:r>
            <w:r w:rsidRPr="00765C97">
              <w:rPr>
                <w:rFonts w:ascii="Arial" w:hAnsi="Arial"/>
                <w:b/>
                <w:sz w:val="20"/>
                <w:lang w:val="pl-PL"/>
              </w:rPr>
              <w:t xml:space="preserve"> r.</w:t>
            </w:r>
          </w:p>
        </w:tc>
        <w:tc>
          <w:tcPr>
            <w:tcW w:w="1920" w:type="dxa"/>
            <w:tcBorders>
              <w:left w:val="nil"/>
              <w:right w:val="nil"/>
            </w:tcBorders>
            <w:vAlign w:val="center"/>
          </w:tcPr>
          <w:p w:rsidR="004007B2" w:rsidRPr="00765C97" w:rsidRDefault="00597C55" w:rsidP="004007B2">
            <w:pPr>
              <w:spacing w:before="20" w:after="20"/>
              <w:ind w:right="101"/>
              <w:jc w:val="right"/>
              <w:rPr>
                <w:rFonts w:ascii="Arial" w:hAnsi="Arial"/>
                <w:b/>
                <w:sz w:val="20"/>
                <w:lang w:val="pl-PL"/>
              </w:rPr>
            </w:pPr>
            <w:r w:rsidRPr="00765C97">
              <w:rPr>
                <w:rFonts w:ascii="Arial" w:hAnsi="Arial"/>
                <w:b/>
                <w:sz w:val="20"/>
                <w:lang w:val="pl-PL"/>
              </w:rPr>
              <w:t>31 grudnia 2011</w:t>
            </w:r>
            <w:r w:rsidR="004007B2" w:rsidRPr="00765C97">
              <w:rPr>
                <w:rFonts w:ascii="Arial" w:hAnsi="Arial"/>
                <w:b/>
                <w:sz w:val="20"/>
                <w:lang w:val="pl-PL"/>
              </w:rPr>
              <w:t xml:space="preserve"> r.</w:t>
            </w:r>
          </w:p>
        </w:tc>
      </w:tr>
      <w:tr w:rsidR="001B2BB6" w:rsidRPr="00765C97" w:rsidTr="005D7C6A">
        <w:trPr>
          <w:trHeight w:val="255"/>
        </w:trPr>
        <w:tc>
          <w:tcPr>
            <w:tcW w:w="4260" w:type="dxa"/>
            <w:tcBorders>
              <w:top w:val="nil"/>
              <w:left w:val="nil"/>
              <w:bottom w:val="nil"/>
              <w:right w:val="nil"/>
            </w:tcBorders>
            <w:vAlign w:val="center"/>
          </w:tcPr>
          <w:p w:rsidR="001B2BB6" w:rsidRPr="00765C97" w:rsidRDefault="001B2BB6">
            <w:pPr>
              <w:pStyle w:val="BalloonText1"/>
              <w:spacing w:before="20" w:after="20"/>
              <w:rPr>
                <w:rFonts w:ascii="Arial" w:hAnsi="Arial"/>
                <w:sz w:val="20"/>
                <w:lang w:val="pl-PL"/>
              </w:rPr>
            </w:pPr>
            <w:r w:rsidRPr="00765C97">
              <w:rPr>
                <w:rFonts w:ascii="Arial" w:hAnsi="Arial"/>
                <w:sz w:val="20"/>
                <w:lang w:val="pl-PL"/>
              </w:rPr>
              <w:t>Linie kredytowe*</w:t>
            </w:r>
          </w:p>
        </w:tc>
        <w:tc>
          <w:tcPr>
            <w:tcW w:w="2040" w:type="dxa"/>
            <w:tcBorders>
              <w:top w:val="nil"/>
              <w:left w:val="nil"/>
              <w:bottom w:val="single" w:sz="4" w:space="0" w:color="auto"/>
              <w:right w:val="nil"/>
            </w:tcBorders>
            <w:vAlign w:val="bottom"/>
          </w:tcPr>
          <w:p w:rsidR="001B2BB6" w:rsidRPr="00765C97" w:rsidRDefault="001B2BB6" w:rsidP="005D7C6A">
            <w:pPr>
              <w:jc w:val="right"/>
              <w:rPr>
                <w:rFonts w:ascii="Arial" w:hAnsi="Arial" w:cs="Arial"/>
                <w:color w:val="000000"/>
                <w:sz w:val="20"/>
                <w:szCs w:val="20"/>
              </w:rPr>
            </w:pPr>
            <w:r w:rsidRPr="00765C97">
              <w:rPr>
                <w:rFonts w:ascii="Arial" w:hAnsi="Arial" w:cs="Arial"/>
                <w:color w:val="000000"/>
                <w:sz w:val="20"/>
                <w:szCs w:val="20"/>
              </w:rPr>
              <w:t>165 627</w:t>
            </w:r>
          </w:p>
        </w:tc>
        <w:tc>
          <w:tcPr>
            <w:tcW w:w="1920" w:type="dxa"/>
            <w:tcBorders>
              <w:top w:val="nil"/>
              <w:left w:val="nil"/>
              <w:bottom w:val="single" w:sz="4" w:space="0" w:color="auto"/>
              <w:right w:val="nil"/>
            </w:tcBorders>
            <w:vAlign w:val="center"/>
          </w:tcPr>
          <w:p w:rsidR="001B2BB6" w:rsidRPr="00765C97" w:rsidRDefault="001B2BB6" w:rsidP="007A03FC">
            <w:pPr>
              <w:ind w:right="101"/>
              <w:jc w:val="right"/>
              <w:rPr>
                <w:rFonts w:ascii="Arial" w:hAnsi="Arial" w:cs="Arial"/>
                <w:bCs/>
                <w:color w:val="000000"/>
                <w:sz w:val="20"/>
                <w:szCs w:val="20"/>
                <w:lang w:val="pl-PL"/>
              </w:rPr>
            </w:pPr>
            <w:r w:rsidRPr="00765C97">
              <w:rPr>
                <w:rFonts w:ascii="Arial" w:hAnsi="Arial" w:cs="Arial"/>
                <w:bCs/>
                <w:color w:val="000000"/>
                <w:sz w:val="20"/>
                <w:szCs w:val="20"/>
                <w:lang w:val="pl-PL"/>
              </w:rPr>
              <w:t>88 789</w:t>
            </w:r>
          </w:p>
        </w:tc>
      </w:tr>
      <w:tr w:rsidR="001B2BB6" w:rsidRPr="00765C97" w:rsidTr="005D7C6A">
        <w:trPr>
          <w:trHeight w:val="255"/>
        </w:trPr>
        <w:tc>
          <w:tcPr>
            <w:tcW w:w="4260" w:type="dxa"/>
            <w:tcBorders>
              <w:top w:val="nil"/>
              <w:left w:val="nil"/>
              <w:bottom w:val="nil"/>
              <w:right w:val="nil"/>
            </w:tcBorders>
            <w:vAlign w:val="center"/>
          </w:tcPr>
          <w:p w:rsidR="001B2BB6" w:rsidRPr="00765C97" w:rsidRDefault="001B2BB6">
            <w:pPr>
              <w:pStyle w:val="BalloonText1"/>
              <w:spacing w:before="20" w:after="20"/>
              <w:rPr>
                <w:rFonts w:ascii="Arial" w:hAnsi="Arial"/>
                <w:i/>
                <w:sz w:val="20"/>
                <w:lang w:val="pl-PL"/>
              </w:rPr>
            </w:pPr>
          </w:p>
        </w:tc>
        <w:tc>
          <w:tcPr>
            <w:tcW w:w="2040" w:type="dxa"/>
            <w:tcBorders>
              <w:top w:val="single" w:sz="4" w:space="0" w:color="auto"/>
              <w:left w:val="nil"/>
              <w:right w:val="nil"/>
            </w:tcBorders>
            <w:vAlign w:val="bottom"/>
          </w:tcPr>
          <w:p w:rsidR="001B2BB6" w:rsidRPr="00765C97" w:rsidRDefault="001B2BB6" w:rsidP="005D7C6A">
            <w:pPr>
              <w:jc w:val="right"/>
              <w:rPr>
                <w:rFonts w:ascii="Arial" w:hAnsi="Arial" w:cs="Arial"/>
                <w:b/>
                <w:bCs/>
                <w:color w:val="000000"/>
                <w:sz w:val="20"/>
                <w:szCs w:val="20"/>
              </w:rPr>
            </w:pPr>
            <w:r w:rsidRPr="00765C97">
              <w:rPr>
                <w:rFonts w:ascii="Arial" w:hAnsi="Arial" w:cs="Arial"/>
                <w:b/>
                <w:bCs/>
                <w:color w:val="000000"/>
                <w:sz w:val="20"/>
                <w:szCs w:val="20"/>
              </w:rPr>
              <w:t>165 627</w:t>
            </w:r>
          </w:p>
        </w:tc>
        <w:tc>
          <w:tcPr>
            <w:tcW w:w="1920" w:type="dxa"/>
            <w:tcBorders>
              <w:top w:val="single" w:sz="4" w:space="0" w:color="auto"/>
              <w:left w:val="nil"/>
              <w:right w:val="nil"/>
            </w:tcBorders>
            <w:vAlign w:val="center"/>
          </w:tcPr>
          <w:p w:rsidR="001B2BB6" w:rsidRPr="00765C97" w:rsidRDefault="001B2BB6" w:rsidP="007A03FC">
            <w:pPr>
              <w:ind w:right="101"/>
              <w:jc w:val="right"/>
              <w:rPr>
                <w:rFonts w:ascii="Arial" w:hAnsi="Arial" w:cs="Arial"/>
                <w:b/>
                <w:bCs/>
                <w:color w:val="000000"/>
                <w:sz w:val="20"/>
                <w:szCs w:val="20"/>
                <w:lang w:val="pl-PL"/>
              </w:rPr>
            </w:pPr>
            <w:r w:rsidRPr="00765C97">
              <w:rPr>
                <w:rFonts w:ascii="Arial" w:hAnsi="Arial" w:cs="Arial"/>
                <w:b/>
                <w:bCs/>
                <w:color w:val="000000"/>
                <w:sz w:val="20"/>
                <w:szCs w:val="20"/>
                <w:lang w:val="pl-PL"/>
              </w:rPr>
              <w:t>88 789</w:t>
            </w:r>
          </w:p>
        </w:tc>
      </w:tr>
    </w:tbl>
    <w:p w:rsidR="00B24DA9" w:rsidRPr="00765C97" w:rsidRDefault="00B24DA9">
      <w:pPr>
        <w:tabs>
          <w:tab w:val="left" w:pos="1134"/>
        </w:tabs>
        <w:ind w:left="180"/>
        <w:rPr>
          <w:rFonts w:ascii="Arial" w:hAnsi="Arial"/>
          <w:sz w:val="20"/>
          <w:lang w:val="pl-PL"/>
        </w:rPr>
      </w:pPr>
    </w:p>
    <w:p w:rsidR="00B24DA9" w:rsidRPr="00765C97" w:rsidRDefault="00B24DA9">
      <w:pPr>
        <w:adjustRightInd w:val="0"/>
        <w:ind w:left="180"/>
        <w:jc w:val="both"/>
        <w:rPr>
          <w:rFonts w:ascii="Arial" w:hAnsi="Arial"/>
          <w:i/>
          <w:color w:val="FF0000"/>
          <w:sz w:val="16"/>
          <w:szCs w:val="16"/>
          <w:lang w:val="pl-PL"/>
        </w:rPr>
      </w:pPr>
      <w:r w:rsidRPr="00765C97">
        <w:rPr>
          <w:rFonts w:ascii="Arial" w:hAnsi="Arial"/>
          <w:i/>
          <w:sz w:val="16"/>
          <w:szCs w:val="16"/>
          <w:lang w:val="pl-PL"/>
        </w:rPr>
        <w:t xml:space="preserve">(*) zawierają linie kredytowe w rachunku bieżącym opisane w pkt </w:t>
      </w:r>
      <w:r w:rsidR="004007B2" w:rsidRPr="00765C97">
        <w:rPr>
          <w:rFonts w:ascii="Arial" w:hAnsi="Arial"/>
          <w:i/>
          <w:sz w:val="16"/>
          <w:szCs w:val="16"/>
          <w:lang w:val="pl-PL"/>
        </w:rPr>
        <w:t>3.18</w:t>
      </w:r>
      <w:r w:rsidRPr="00765C97">
        <w:rPr>
          <w:rFonts w:ascii="Arial" w:hAnsi="Arial"/>
          <w:i/>
          <w:sz w:val="16"/>
          <w:szCs w:val="16"/>
          <w:lang w:val="pl-PL"/>
        </w:rPr>
        <w:t>.</w:t>
      </w:r>
    </w:p>
    <w:p w:rsidR="00B24DA9" w:rsidRPr="00765C97" w:rsidRDefault="00B24DA9">
      <w:pPr>
        <w:adjustRightInd w:val="0"/>
        <w:ind w:left="180"/>
        <w:jc w:val="both"/>
        <w:rPr>
          <w:rFonts w:ascii="Arial" w:hAnsi="Arial"/>
          <w:sz w:val="20"/>
          <w:lang w:val="pl-PL"/>
        </w:rPr>
      </w:pPr>
    </w:p>
    <w:p w:rsidR="000972FB" w:rsidRPr="00765C97" w:rsidRDefault="000972FB" w:rsidP="00833CBA">
      <w:pPr>
        <w:adjustRightInd w:val="0"/>
        <w:jc w:val="both"/>
        <w:rPr>
          <w:rFonts w:ascii="Arial" w:hAnsi="Arial" w:cs="Arial"/>
          <w:sz w:val="20"/>
          <w:szCs w:val="20"/>
          <w:lang w:val="pl-PL"/>
        </w:rPr>
      </w:pPr>
      <w:r w:rsidRPr="00765C97">
        <w:rPr>
          <w:rFonts w:ascii="Arial" w:hAnsi="Arial" w:cs="Arial"/>
          <w:sz w:val="20"/>
          <w:szCs w:val="20"/>
          <w:lang w:val="pl-PL"/>
        </w:rPr>
        <w:t xml:space="preserve">Grupa Comarch jest stroną pozywaną w postępowaniach sądowych, w których potencjalna, łączna kwota roszczenia stron trzecich wynosi </w:t>
      </w:r>
      <w:r w:rsidR="00634B37" w:rsidRPr="00765C97">
        <w:rPr>
          <w:rFonts w:ascii="Arial" w:hAnsi="Arial" w:cs="Arial"/>
          <w:sz w:val="20"/>
          <w:szCs w:val="20"/>
          <w:lang w:val="pl-PL"/>
        </w:rPr>
        <w:t>4 621</w:t>
      </w:r>
      <w:r w:rsidRPr="00765C97">
        <w:rPr>
          <w:rFonts w:ascii="Arial" w:hAnsi="Arial" w:cs="Arial"/>
          <w:sz w:val="20"/>
          <w:szCs w:val="20"/>
          <w:lang w:val="pl-PL"/>
        </w:rPr>
        <w:t xml:space="preserve"> tys. zł, z czego część jest objęta rezerwami ujętymi w bilansie na 31 grudnia 2012 r. (</w:t>
      </w:r>
      <w:r w:rsidRPr="00765C97">
        <w:rPr>
          <w:rFonts w:ascii="Arial" w:hAnsi="Arial" w:cs="Arial"/>
          <w:bCs/>
          <w:sz w:val="20"/>
          <w:szCs w:val="20"/>
          <w:lang w:val="pl-PL"/>
        </w:rPr>
        <w:t>493</w:t>
      </w:r>
      <w:r w:rsidRPr="00765C97">
        <w:rPr>
          <w:rFonts w:ascii="Arial" w:hAnsi="Arial" w:cs="Arial"/>
          <w:sz w:val="20"/>
          <w:szCs w:val="20"/>
          <w:lang w:val="pl-PL"/>
        </w:rPr>
        <w:t xml:space="preserve"> tys. zł), w tym kwota utworzonych w roku 2012 rezerw na roszczenia objęte postępowaniami sądowymi wynosi 423 tys. zł. Według Zarządów spółek Grupy Comarch, w oparciu o opinie radców prawnych, nie istnieją okoliczności wskazujące na konieczność utworzenia rezerw na pozostałe roszczenia objęte aktualnie postępowaniami sądowymi.</w:t>
      </w:r>
    </w:p>
    <w:p w:rsidR="000972FB" w:rsidRPr="00765C97" w:rsidRDefault="000972FB" w:rsidP="00833CBA">
      <w:pPr>
        <w:adjustRightInd w:val="0"/>
        <w:jc w:val="both"/>
        <w:rPr>
          <w:rFonts w:ascii="Arial" w:hAnsi="Arial" w:cs="Arial"/>
          <w:sz w:val="20"/>
          <w:szCs w:val="20"/>
          <w:lang w:val="pl-PL"/>
        </w:rPr>
      </w:pPr>
    </w:p>
    <w:p w:rsidR="000972FB" w:rsidRPr="00765C97" w:rsidRDefault="000972FB" w:rsidP="00833CBA">
      <w:pPr>
        <w:adjustRightInd w:val="0"/>
        <w:jc w:val="both"/>
        <w:rPr>
          <w:rFonts w:ascii="Arial" w:hAnsi="Arial" w:cs="Arial"/>
          <w:sz w:val="20"/>
          <w:szCs w:val="20"/>
          <w:lang w:val="pl-PL" w:eastAsia="pl-PL"/>
        </w:rPr>
      </w:pPr>
      <w:r w:rsidRPr="00765C97">
        <w:rPr>
          <w:rFonts w:ascii="Arial" w:hAnsi="Arial"/>
          <w:sz w:val="20"/>
          <w:lang w:val="pl-PL" w:eastAsia="pl-PL"/>
        </w:rPr>
        <w:t>W związku z prowadzonymi postępowaniami sądowymi w 2012 roku Grupa Comarch utworzyła odpis</w:t>
      </w:r>
      <w:r w:rsidR="00634B37" w:rsidRPr="00765C97">
        <w:rPr>
          <w:rFonts w:ascii="Arial" w:hAnsi="Arial"/>
          <w:sz w:val="20"/>
          <w:lang w:val="pl-PL" w:eastAsia="pl-PL"/>
        </w:rPr>
        <w:t>y</w:t>
      </w:r>
      <w:r w:rsidRPr="00765C97">
        <w:rPr>
          <w:rFonts w:ascii="Arial" w:hAnsi="Arial"/>
          <w:sz w:val="20"/>
          <w:lang w:val="pl-PL" w:eastAsia="pl-PL"/>
        </w:rPr>
        <w:t xml:space="preserve"> aktualizując</w:t>
      </w:r>
      <w:r w:rsidR="00634B37" w:rsidRPr="00765C97">
        <w:rPr>
          <w:rFonts w:ascii="Arial" w:hAnsi="Arial"/>
          <w:sz w:val="20"/>
          <w:lang w:val="pl-PL" w:eastAsia="pl-PL"/>
        </w:rPr>
        <w:t>e</w:t>
      </w:r>
      <w:r w:rsidRPr="00765C97">
        <w:rPr>
          <w:rFonts w:ascii="Arial" w:hAnsi="Arial"/>
          <w:sz w:val="20"/>
          <w:lang w:val="pl-PL" w:eastAsia="pl-PL"/>
        </w:rPr>
        <w:t xml:space="preserve"> wartość należności w wysokości 514 tys. zł.</w:t>
      </w:r>
    </w:p>
    <w:p w:rsidR="000972FB" w:rsidRPr="00765C97" w:rsidRDefault="000972FB" w:rsidP="00833CBA">
      <w:pPr>
        <w:adjustRightInd w:val="0"/>
        <w:jc w:val="both"/>
        <w:rPr>
          <w:rFonts w:ascii="Arial" w:hAnsi="Arial" w:cs="Arial"/>
          <w:sz w:val="20"/>
          <w:szCs w:val="20"/>
          <w:lang w:val="pl-PL"/>
        </w:rPr>
      </w:pPr>
    </w:p>
    <w:p w:rsidR="004007B2" w:rsidRPr="00765C97" w:rsidRDefault="000972FB" w:rsidP="00833CBA">
      <w:pPr>
        <w:adjustRightInd w:val="0"/>
        <w:jc w:val="both"/>
        <w:rPr>
          <w:rFonts w:ascii="Arial" w:hAnsi="Arial" w:cs="Arial"/>
          <w:sz w:val="20"/>
          <w:szCs w:val="20"/>
          <w:lang w:val="pl-PL" w:eastAsia="pl-PL"/>
        </w:rPr>
      </w:pPr>
      <w:r w:rsidRPr="00765C97">
        <w:rPr>
          <w:rFonts w:ascii="Arial" w:hAnsi="Arial" w:cs="Arial"/>
          <w:sz w:val="20"/>
          <w:szCs w:val="20"/>
          <w:lang w:val="pl-PL"/>
        </w:rPr>
        <w:t xml:space="preserve">Grupa Comarch na dzień </w:t>
      </w:r>
      <w:r w:rsidRPr="00765C97">
        <w:rPr>
          <w:rFonts w:ascii="Arial" w:hAnsi="Arial"/>
          <w:sz w:val="20"/>
          <w:lang w:val="pl-PL"/>
        </w:rPr>
        <w:t xml:space="preserve">31 grudnia 2012 </w:t>
      </w:r>
      <w:r w:rsidRPr="00765C97">
        <w:rPr>
          <w:rFonts w:ascii="Arial" w:hAnsi="Arial" w:cs="Arial"/>
          <w:sz w:val="20"/>
          <w:szCs w:val="20"/>
          <w:lang w:val="pl-PL"/>
        </w:rPr>
        <w:t>r. posiadała umowne zobowiązania do opłat z tytułu leasingu operacyjnego środków transportu i sprzętu komputerowego w kwocie</w:t>
      </w:r>
      <w:r w:rsidR="00A13C94" w:rsidRPr="00765C97">
        <w:rPr>
          <w:rFonts w:ascii="Arial" w:hAnsi="Arial" w:cs="Arial"/>
          <w:sz w:val="20"/>
          <w:szCs w:val="20"/>
          <w:lang w:val="pl-PL"/>
        </w:rPr>
        <w:t xml:space="preserve"> </w:t>
      </w:r>
      <w:r w:rsidRPr="00765C97">
        <w:rPr>
          <w:rFonts w:ascii="Arial" w:hAnsi="Arial" w:cs="Arial"/>
          <w:sz w:val="20"/>
          <w:szCs w:val="20"/>
          <w:lang w:val="pl-PL"/>
        </w:rPr>
        <w:t>1 464 tys. zł.</w:t>
      </w:r>
    </w:p>
    <w:p w:rsidR="00C362CD" w:rsidRPr="00765C97" w:rsidRDefault="00B24DA9" w:rsidP="00135A9A">
      <w:pPr>
        <w:pStyle w:val="Nagwek3"/>
        <w:numPr>
          <w:ilvl w:val="1"/>
          <w:numId w:val="22"/>
        </w:numPr>
        <w:spacing w:after="240"/>
        <w:ind w:left="709" w:hanging="567"/>
        <w:rPr>
          <w:sz w:val="20"/>
          <w:lang w:val="pl-PL"/>
        </w:rPr>
      </w:pPr>
      <w:bookmarkStart w:id="74" w:name="_Toc353973231"/>
      <w:r w:rsidRPr="00765C97">
        <w:rPr>
          <w:sz w:val="20"/>
          <w:lang w:val="pl-PL"/>
        </w:rPr>
        <w:t xml:space="preserve">Odroczony </w:t>
      </w:r>
      <w:r w:rsidR="00C362CD" w:rsidRPr="00765C97">
        <w:rPr>
          <w:sz w:val="20"/>
          <w:lang w:val="pl-PL"/>
        </w:rPr>
        <w:t>podatek dochodowy</w:t>
      </w:r>
      <w:bookmarkEnd w:id="74"/>
    </w:p>
    <w:tbl>
      <w:tblPr>
        <w:tblW w:w="8508" w:type="dxa"/>
        <w:tblLayout w:type="fixed"/>
        <w:tblCellMar>
          <w:left w:w="0" w:type="dxa"/>
          <w:right w:w="0" w:type="dxa"/>
        </w:tblCellMar>
        <w:tblLook w:val="0000"/>
      </w:tblPr>
      <w:tblGrid>
        <w:gridCol w:w="6096"/>
        <w:gridCol w:w="1206"/>
        <w:gridCol w:w="1206"/>
      </w:tblGrid>
      <w:tr w:rsidR="00B24DA9" w:rsidRPr="00765C97" w:rsidTr="00DC24A6">
        <w:trPr>
          <w:trHeight w:val="255"/>
        </w:trPr>
        <w:tc>
          <w:tcPr>
            <w:tcW w:w="6096" w:type="dxa"/>
            <w:tcBorders>
              <w:top w:val="nil"/>
              <w:left w:val="nil"/>
              <w:bottom w:val="nil"/>
              <w:right w:val="nil"/>
            </w:tcBorders>
            <w:vAlign w:val="center"/>
          </w:tcPr>
          <w:p w:rsidR="00B24DA9" w:rsidRPr="00765C97" w:rsidRDefault="00B24DA9" w:rsidP="00DC24A6">
            <w:pPr>
              <w:framePr w:hSpace="141" w:wrap="around" w:vAnchor="text" w:hAnchor="text" w:x="38" w:y="1"/>
              <w:rPr>
                <w:rFonts w:ascii="Arial" w:hAnsi="Arial"/>
                <w:color w:val="000000"/>
                <w:sz w:val="20"/>
                <w:lang w:val="pl-PL"/>
              </w:rPr>
            </w:pPr>
          </w:p>
        </w:tc>
        <w:tc>
          <w:tcPr>
            <w:tcW w:w="1206" w:type="dxa"/>
            <w:tcBorders>
              <w:top w:val="nil"/>
              <w:left w:val="nil"/>
              <w:bottom w:val="single" w:sz="4" w:space="0" w:color="auto"/>
              <w:right w:val="nil"/>
            </w:tcBorders>
            <w:vAlign w:val="center"/>
          </w:tcPr>
          <w:p w:rsidR="00B24DA9" w:rsidRPr="00765C97" w:rsidRDefault="00B24DA9" w:rsidP="00DC24A6">
            <w:pPr>
              <w:framePr w:hSpace="141" w:wrap="around" w:vAnchor="text" w:hAnchor="text" w:x="38" w:y="1"/>
              <w:ind w:right="180"/>
              <w:jc w:val="right"/>
              <w:rPr>
                <w:rFonts w:ascii="Arial" w:hAnsi="Arial"/>
                <w:b/>
                <w:color w:val="000000"/>
                <w:sz w:val="20"/>
                <w:lang w:val="pl-PL"/>
              </w:rPr>
            </w:pPr>
            <w:r w:rsidRPr="00765C97">
              <w:rPr>
                <w:rFonts w:ascii="Arial" w:hAnsi="Arial"/>
                <w:b/>
                <w:color w:val="000000"/>
                <w:sz w:val="20"/>
                <w:lang w:val="pl-PL"/>
              </w:rPr>
              <w:t>31 grudnia</w:t>
            </w:r>
          </w:p>
          <w:p w:rsidR="00B24DA9" w:rsidRPr="00765C97" w:rsidRDefault="00B24DA9" w:rsidP="00DC24A6">
            <w:pPr>
              <w:framePr w:hSpace="141" w:wrap="around" w:vAnchor="text" w:hAnchor="text" w:x="38" w:y="1"/>
              <w:ind w:right="180"/>
              <w:jc w:val="right"/>
              <w:rPr>
                <w:rFonts w:ascii="Arial" w:hAnsi="Arial"/>
                <w:b/>
                <w:color w:val="000000"/>
                <w:sz w:val="20"/>
                <w:lang w:val="pl-PL"/>
              </w:rPr>
            </w:pPr>
            <w:r w:rsidRPr="00765C97">
              <w:rPr>
                <w:rFonts w:ascii="Arial" w:hAnsi="Arial"/>
                <w:b/>
                <w:color w:val="000000"/>
                <w:sz w:val="20"/>
                <w:lang w:val="pl-PL"/>
              </w:rPr>
              <w:t>20</w:t>
            </w:r>
            <w:r w:rsidR="00156FAC" w:rsidRPr="00765C97">
              <w:rPr>
                <w:rFonts w:ascii="Arial" w:hAnsi="Arial"/>
                <w:b/>
                <w:color w:val="000000"/>
                <w:sz w:val="20"/>
                <w:lang w:val="pl-PL"/>
              </w:rPr>
              <w:t>1</w:t>
            </w:r>
            <w:r w:rsidR="00597C55" w:rsidRPr="00765C97">
              <w:rPr>
                <w:rFonts w:ascii="Arial" w:hAnsi="Arial"/>
                <w:b/>
                <w:color w:val="000000"/>
                <w:sz w:val="20"/>
                <w:lang w:val="pl-PL"/>
              </w:rPr>
              <w:t>2</w:t>
            </w:r>
            <w:r w:rsidRPr="00765C97">
              <w:rPr>
                <w:rFonts w:ascii="Arial" w:hAnsi="Arial"/>
                <w:b/>
                <w:color w:val="000000"/>
                <w:sz w:val="20"/>
                <w:lang w:val="pl-PL"/>
              </w:rPr>
              <w:t xml:space="preserve"> r.</w:t>
            </w:r>
          </w:p>
        </w:tc>
        <w:tc>
          <w:tcPr>
            <w:tcW w:w="1206" w:type="dxa"/>
            <w:tcBorders>
              <w:top w:val="nil"/>
              <w:left w:val="nil"/>
              <w:bottom w:val="single" w:sz="4" w:space="0" w:color="auto"/>
              <w:right w:val="nil"/>
            </w:tcBorders>
            <w:vAlign w:val="center"/>
          </w:tcPr>
          <w:p w:rsidR="00B24DA9" w:rsidRPr="00765C97" w:rsidRDefault="00B24DA9" w:rsidP="00DC24A6">
            <w:pPr>
              <w:framePr w:hSpace="141" w:wrap="around" w:vAnchor="text" w:hAnchor="text" w:x="38" w:y="1"/>
              <w:ind w:right="180"/>
              <w:jc w:val="right"/>
              <w:rPr>
                <w:rFonts w:ascii="Arial" w:hAnsi="Arial"/>
                <w:b/>
                <w:color w:val="000000"/>
                <w:sz w:val="20"/>
                <w:lang w:val="pl-PL"/>
              </w:rPr>
            </w:pPr>
            <w:r w:rsidRPr="00765C97">
              <w:rPr>
                <w:rFonts w:ascii="Arial" w:hAnsi="Arial"/>
                <w:b/>
                <w:color w:val="000000"/>
                <w:sz w:val="20"/>
                <w:lang w:val="pl-PL"/>
              </w:rPr>
              <w:t>31 grudnia</w:t>
            </w:r>
          </w:p>
          <w:p w:rsidR="00B24DA9" w:rsidRPr="00765C97" w:rsidRDefault="00597C55" w:rsidP="00DC24A6">
            <w:pPr>
              <w:framePr w:hSpace="141" w:wrap="around" w:vAnchor="text" w:hAnchor="text" w:x="38" w:y="1"/>
              <w:ind w:right="180"/>
              <w:jc w:val="right"/>
              <w:rPr>
                <w:rFonts w:ascii="Arial" w:hAnsi="Arial"/>
                <w:b/>
                <w:color w:val="000000"/>
                <w:sz w:val="20"/>
                <w:lang w:val="pl-PL"/>
              </w:rPr>
            </w:pPr>
            <w:r w:rsidRPr="00765C97">
              <w:rPr>
                <w:rFonts w:ascii="Arial" w:hAnsi="Arial"/>
                <w:b/>
                <w:color w:val="000000"/>
                <w:sz w:val="20"/>
                <w:lang w:val="pl-PL"/>
              </w:rPr>
              <w:t>2011</w:t>
            </w:r>
            <w:r w:rsidR="00B24DA9" w:rsidRPr="00765C97">
              <w:rPr>
                <w:rFonts w:ascii="Arial" w:hAnsi="Arial"/>
                <w:b/>
                <w:color w:val="000000"/>
                <w:sz w:val="20"/>
                <w:lang w:val="pl-PL"/>
              </w:rPr>
              <w:t xml:space="preserve"> r.</w:t>
            </w:r>
          </w:p>
        </w:tc>
      </w:tr>
      <w:tr w:rsidR="00597C55" w:rsidRPr="00765C97" w:rsidTr="00DC24A6">
        <w:trPr>
          <w:trHeight w:val="255"/>
        </w:trPr>
        <w:tc>
          <w:tcPr>
            <w:tcW w:w="6096" w:type="dxa"/>
            <w:tcBorders>
              <w:top w:val="nil"/>
              <w:left w:val="nil"/>
              <w:right w:val="nil"/>
            </w:tcBorders>
            <w:vAlign w:val="center"/>
          </w:tcPr>
          <w:p w:rsidR="00597C55" w:rsidRPr="00765C97" w:rsidRDefault="00597C55" w:rsidP="00DC24A6">
            <w:pPr>
              <w:framePr w:hSpace="141" w:wrap="around" w:vAnchor="text" w:hAnchor="text" w:x="38" w:y="1"/>
              <w:ind w:left="142" w:hanging="142"/>
              <w:rPr>
                <w:rFonts w:ascii="Arial" w:hAnsi="Arial"/>
                <w:b/>
                <w:color w:val="000000"/>
                <w:sz w:val="20"/>
                <w:lang w:val="pl-PL"/>
              </w:rPr>
            </w:pPr>
            <w:r w:rsidRPr="00765C97">
              <w:rPr>
                <w:rFonts w:ascii="Arial" w:hAnsi="Arial"/>
                <w:b/>
                <w:color w:val="000000"/>
                <w:sz w:val="20"/>
                <w:lang w:val="pl-PL"/>
              </w:rPr>
              <w:t>Aktywa z tytułu odroczonego podatku dochodowego</w:t>
            </w:r>
          </w:p>
          <w:p w:rsidR="00597C55" w:rsidRPr="00765C97" w:rsidRDefault="00597C55" w:rsidP="00DC24A6">
            <w:pPr>
              <w:framePr w:hSpace="141" w:wrap="around" w:vAnchor="text" w:hAnchor="text" w:x="38" w:y="1"/>
              <w:ind w:left="142" w:hanging="142"/>
              <w:rPr>
                <w:rFonts w:ascii="Arial" w:hAnsi="Arial"/>
                <w:b/>
                <w:color w:val="000000"/>
                <w:spacing w:val="-2"/>
                <w:sz w:val="20"/>
                <w:lang w:val="pl-PL"/>
              </w:rPr>
            </w:pPr>
            <w:r w:rsidRPr="00765C97">
              <w:rPr>
                <w:rFonts w:ascii="Arial" w:hAnsi="Arial"/>
                <w:b/>
                <w:color w:val="000000"/>
                <w:sz w:val="20"/>
                <w:lang w:val="pl-PL"/>
              </w:rPr>
              <w:t>Stan na początek okresu:</w:t>
            </w:r>
          </w:p>
        </w:tc>
        <w:tc>
          <w:tcPr>
            <w:tcW w:w="1206" w:type="dxa"/>
            <w:tcBorders>
              <w:top w:val="single" w:sz="4" w:space="0" w:color="auto"/>
              <w:left w:val="nil"/>
              <w:bottom w:val="single" w:sz="4" w:space="0" w:color="auto"/>
              <w:right w:val="nil"/>
            </w:tcBorders>
            <w:vAlign w:val="center"/>
          </w:tcPr>
          <w:p w:rsidR="00597C55" w:rsidRPr="00765C97" w:rsidRDefault="00377625" w:rsidP="00DC24A6">
            <w:pPr>
              <w:framePr w:hSpace="141" w:wrap="around" w:vAnchor="text" w:hAnchor="text" w:x="38" w:y="1"/>
              <w:ind w:right="180"/>
              <w:jc w:val="right"/>
              <w:rPr>
                <w:rFonts w:ascii="Arial" w:hAnsi="Arial"/>
                <w:b/>
                <w:color w:val="000000"/>
                <w:sz w:val="20"/>
                <w:lang w:val="pl-PL"/>
              </w:rPr>
            </w:pPr>
            <w:r w:rsidRPr="00765C97">
              <w:rPr>
                <w:rFonts w:ascii="Arial" w:hAnsi="Arial"/>
                <w:b/>
                <w:color w:val="000000"/>
                <w:sz w:val="20"/>
                <w:lang w:val="pl-PL"/>
              </w:rPr>
              <w:t>27 775</w:t>
            </w:r>
          </w:p>
        </w:tc>
        <w:tc>
          <w:tcPr>
            <w:tcW w:w="1206" w:type="dxa"/>
            <w:tcBorders>
              <w:top w:val="single" w:sz="4" w:space="0" w:color="auto"/>
              <w:left w:val="nil"/>
              <w:bottom w:val="single" w:sz="4" w:space="0" w:color="auto"/>
              <w:right w:val="nil"/>
            </w:tcBorders>
            <w:vAlign w:val="center"/>
          </w:tcPr>
          <w:p w:rsidR="00597C55" w:rsidRPr="00765C97" w:rsidRDefault="00597C55" w:rsidP="00DC24A6">
            <w:pPr>
              <w:framePr w:hSpace="141" w:wrap="around" w:vAnchor="text" w:hAnchor="text" w:x="38" w:y="1"/>
              <w:ind w:right="180"/>
              <w:jc w:val="right"/>
              <w:rPr>
                <w:rFonts w:ascii="Arial" w:hAnsi="Arial"/>
                <w:b/>
                <w:color w:val="000000"/>
                <w:sz w:val="20"/>
                <w:lang w:val="pl-PL"/>
              </w:rPr>
            </w:pPr>
            <w:r w:rsidRPr="00765C97">
              <w:rPr>
                <w:rFonts w:ascii="Arial" w:hAnsi="Arial"/>
                <w:b/>
                <w:color w:val="000000"/>
                <w:sz w:val="20"/>
                <w:lang w:val="pl-PL"/>
              </w:rPr>
              <w:t>23 725</w:t>
            </w:r>
          </w:p>
        </w:tc>
      </w:tr>
      <w:tr w:rsidR="00597C55" w:rsidRPr="00765C97" w:rsidTr="00DC24A6">
        <w:trPr>
          <w:trHeight w:val="255"/>
        </w:trPr>
        <w:tc>
          <w:tcPr>
            <w:tcW w:w="6096" w:type="dxa"/>
            <w:tcBorders>
              <w:top w:val="nil"/>
              <w:left w:val="nil"/>
              <w:right w:val="nil"/>
            </w:tcBorders>
            <w:vAlign w:val="center"/>
          </w:tcPr>
          <w:p w:rsidR="00597C55" w:rsidRPr="00765C97" w:rsidRDefault="00597C55" w:rsidP="00DC24A6">
            <w:pPr>
              <w:framePr w:hSpace="141" w:wrap="around" w:vAnchor="text" w:hAnchor="text" w:x="38" w:y="1"/>
              <w:ind w:left="142" w:hanging="142"/>
              <w:rPr>
                <w:rFonts w:ascii="Arial" w:hAnsi="Arial"/>
                <w:i/>
                <w:color w:val="000000"/>
                <w:spacing w:val="-2"/>
                <w:sz w:val="18"/>
                <w:szCs w:val="18"/>
                <w:lang w:val="pl-PL"/>
              </w:rPr>
            </w:pPr>
            <w:r w:rsidRPr="00765C97">
              <w:rPr>
                <w:rFonts w:ascii="Arial" w:hAnsi="Arial"/>
                <w:i/>
                <w:color w:val="000000"/>
                <w:spacing w:val="-2"/>
                <w:sz w:val="18"/>
                <w:szCs w:val="18"/>
                <w:lang w:val="pl-PL"/>
              </w:rPr>
              <w:t>- odniesione na wynik finansowy</w:t>
            </w:r>
          </w:p>
        </w:tc>
        <w:tc>
          <w:tcPr>
            <w:tcW w:w="1206" w:type="dxa"/>
            <w:tcBorders>
              <w:top w:val="single" w:sz="4" w:space="0" w:color="auto"/>
              <w:left w:val="nil"/>
              <w:right w:val="nil"/>
            </w:tcBorders>
            <w:vAlign w:val="center"/>
          </w:tcPr>
          <w:p w:rsidR="00597C55" w:rsidRPr="00765C97" w:rsidRDefault="00377625" w:rsidP="00DC24A6">
            <w:pPr>
              <w:framePr w:hSpace="141" w:wrap="around" w:vAnchor="text" w:hAnchor="text" w:x="38" w:y="1"/>
              <w:ind w:right="180"/>
              <w:jc w:val="right"/>
              <w:rPr>
                <w:rFonts w:ascii="Arial" w:hAnsi="Arial"/>
                <w:i/>
                <w:color w:val="000000"/>
                <w:spacing w:val="-4"/>
                <w:sz w:val="18"/>
                <w:szCs w:val="18"/>
                <w:lang w:val="pl-PL"/>
              </w:rPr>
            </w:pPr>
            <w:r w:rsidRPr="00765C97">
              <w:rPr>
                <w:rFonts w:ascii="Arial" w:hAnsi="Arial"/>
                <w:i/>
                <w:color w:val="000000"/>
                <w:spacing w:val="-4"/>
                <w:sz w:val="18"/>
                <w:szCs w:val="18"/>
                <w:lang w:val="pl-PL"/>
              </w:rPr>
              <w:t>27 775</w:t>
            </w:r>
          </w:p>
        </w:tc>
        <w:tc>
          <w:tcPr>
            <w:tcW w:w="1206" w:type="dxa"/>
            <w:tcBorders>
              <w:top w:val="single" w:sz="4" w:space="0" w:color="auto"/>
              <w:left w:val="nil"/>
              <w:right w:val="nil"/>
            </w:tcBorders>
            <w:vAlign w:val="center"/>
          </w:tcPr>
          <w:p w:rsidR="00597C55" w:rsidRPr="00765C97" w:rsidRDefault="00597C55" w:rsidP="00DC24A6">
            <w:pPr>
              <w:framePr w:hSpace="141" w:wrap="around" w:vAnchor="text" w:hAnchor="text" w:x="38" w:y="1"/>
              <w:ind w:right="180"/>
              <w:jc w:val="right"/>
              <w:rPr>
                <w:rFonts w:ascii="Arial" w:hAnsi="Arial"/>
                <w:i/>
                <w:color w:val="000000"/>
                <w:spacing w:val="-4"/>
                <w:sz w:val="18"/>
                <w:szCs w:val="18"/>
                <w:lang w:val="pl-PL"/>
              </w:rPr>
            </w:pPr>
            <w:r w:rsidRPr="00765C97">
              <w:rPr>
                <w:rFonts w:ascii="Arial" w:hAnsi="Arial"/>
                <w:i/>
                <w:color w:val="000000"/>
                <w:spacing w:val="-4"/>
                <w:sz w:val="18"/>
                <w:szCs w:val="18"/>
                <w:lang w:val="pl-PL"/>
              </w:rPr>
              <w:t>23 725</w:t>
            </w:r>
          </w:p>
        </w:tc>
      </w:tr>
      <w:tr w:rsidR="00597C55" w:rsidRPr="00F346A4" w:rsidTr="00DC24A6">
        <w:trPr>
          <w:trHeight w:val="255"/>
        </w:trPr>
        <w:tc>
          <w:tcPr>
            <w:tcW w:w="6096" w:type="dxa"/>
            <w:tcBorders>
              <w:top w:val="nil"/>
              <w:left w:val="nil"/>
              <w:right w:val="nil"/>
            </w:tcBorders>
            <w:vAlign w:val="center"/>
          </w:tcPr>
          <w:p w:rsidR="00597C55" w:rsidRPr="00765C97" w:rsidRDefault="00597C55" w:rsidP="00DC24A6">
            <w:pPr>
              <w:framePr w:hSpace="141" w:wrap="around" w:vAnchor="text" w:hAnchor="text" w:x="38" w:y="1"/>
              <w:ind w:left="142" w:hanging="142"/>
              <w:rPr>
                <w:rFonts w:ascii="Arial" w:hAnsi="Arial"/>
                <w:b/>
                <w:color w:val="000000"/>
                <w:spacing w:val="-2"/>
                <w:sz w:val="20"/>
                <w:lang w:val="pl-PL"/>
              </w:rPr>
            </w:pPr>
          </w:p>
          <w:p w:rsidR="00597C55" w:rsidRPr="00765C97" w:rsidRDefault="00597C55" w:rsidP="00DC24A6">
            <w:pPr>
              <w:framePr w:hSpace="141" w:wrap="around" w:vAnchor="text" w:hAnchor="text" w:x="38" w:y="1"/>
              <w:rPr>
                <w:rFonts w:ascii="Arial" w:hAnsi="Arial"/>
                <w:b/>
                <w:color w:val="000000"/>
                <w:spacing w:val="-2"/>
                <w:sz w:val="20"/>
                <w:lang w:val="pl-PL"/>
              </w:rPr>
            </w:pPr>
            <w:r w:rsidRPr="00765C97">
              <w:rPr>
                <w:rFonts w:ascii="Arial" w:hAnsi="Arial"/>
                <w:b/>
                <w:color w:val="000000"/>
                <w:spacing w:val="-2"/>
                <w:sz w:val="20"/>
                <w:lang w:val="pl-PL"/>
              </w:rPr>
              <w:t>Zmiany aktywa z tytułu podatku odroczonego odniesione na wynik finansowy</w:t>
            </w:r>
          </w:p>
        </w:tc>
        <w:tc>
          <w:tcPr>
            <w:tcW w:w="1206" w:type="dxa"/>
            <w:tcBorders>
              <w:left w:val="nil"/>
              <w:right w:val="nil"/>
            </w:tcBorders>
            <w:vAlign w:val="center"/>
          </w:tcPr>
          <w:p w:rsidR="00597C55" w:rsidRPr="00765C97" w:rsidRDefault="00597C55" w:rsidP="00DC24A6">
            <w:pPr>
              <w:framePr w:hSpace="141" w:wrap="around" w:vAnchor="text" w:hAnchor="text" w:x="38" w:y="1"/>
              <w:ind w:right="180"/>
              <w:jc w:val="right"/>
              <w:rPr>
                <w:rFonts w:ascii="Arial" w:hAnsi="Arial"/>
                <w:color w:val="000000"/>
                <w:spacing w:val="-4"/>
                <w:sz w:val="20"/>
                <w:lang w:val="pl-PL"/>
              </w:rPr>
            </w:pPr>
          </w:p>
        </w:tc>
        <w:tc>
          <w:tcPr>
            <w:tcW w:w="1206" w:type="dxa"/>
            <w:tcBorders>
              <w:left w:val="nil"/>
              <w:right w:val="nil"/>
            </w:tcBorders>
            <w:vAlign w:val="center"/>
          </w:tcPr>
          <w:p w:rsidR="00597C55" w:rsidRPr="00765C97" w:rsidRDefault="00597C55" w:rsidP="00DC24A6">
            <w:pPr>
              <w:framePr w:hSpace="141" w:wrap="around" w:vAnchor="text" w:hAnchor="text" w:x="38" w:y="1"/>
              <w:ind w:right="180"/>
              <w:jc w:val="right"/>
              <w:rPr>
                <w:rFonts w:ascii="Arial" w:hAnsi="Arial"/>
                <w:color w:val="000000"/>
                <w:spacing w:val="-4"/>
                <w:sz w:val="20"/>
                <w:lang w:val="pl-PL"/>
              </w:rPr>
            </w:pPr>
          </w:p>
        </w:tc>
      </w:tr>
      <w:tr w:rsidR="00593A17" w:rsidRPr="00765C97" w:rsidTr="00DC24A6">
        <w:trPr>
          <w:trHeight w:val="255"/>
        </w:trPr>
        <w:tc>
          <w:tcPr>
            <w:tcW w:w="6096" w:type="dxa"/>
            <w:tcBorders>
              <w:top w:val="nil"/>
              <w:left w:val="nil"/>
              <w:right w:val="nil"/>
            </w:tcBorders>
            <w:vAlign w:val="center"/>
          </w:tcPr>
          <w:p w:rsidR="00593A17" w:rsidRPr="00765C97" w:rsidRDefault="00593A17" w:rsidP="00593A17">
            <w:pPr>
              <w:framePr w:hSpace="141" w:wrap="around" w:vAnchor="text" w:hAnchor="text" w:x="38" w:y="1"/>
              <w:ind w:left="142" w:hanging="142"/>
              <w:rPr>
                <w:rFonts w:ascii="Arial" w:hAnsi="Arial"/>
                <w:color w:val="000000"/>
                <w:spacing w:val="-2"/>
                <w:sz w:val="20"/>
                <w:lang w:val="pl-PL"/>
              </w:rPr>
            </w:pPr>
            <w:r w:rsidRPr="00765C97">
              <w:rPr>
                <w:rFonts w:ascii="Arial" w:hAnsi="Arial"/>
                <w:color w:val="000000"/>
                <w:spacing w:val="-2"/>
                <w:sz w:val="20"/>
                <w:lang w:val="pl-PL"/>
              </w:rPr>
              <w:t>- utworzenie aktywa w związku ze stratą podatkową w Comarch SuB</w:t>
            </w:r>
          </w:p>
        </w:tc>
        <w:tc>
          <w:tcPr>
            <w:tcW w:w="1206" w:type="dxa"/>
            <w:tcBorders>
              <w:left w:val="nil"/>
              <w:right w:val="nil"/>
            </w:tcBorders>
            <w:vAlign w:val="center"/>
          </w:tcPr>
          <w:p w:rsidR="00593A17" w:rsidRPr="00765C97" w:rsidRDefault="00593A17" w:rsidP="00593A17">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w:t>
            </w:r>
          </w:p>
        </w:tc>
        <w:tc>
          <w:tcPr>
            <w:tcW w:w="1206" w:type="dxa"/>
            <w:tcBorders>
              <w:left w:val="nil"/>
              <w:right w:val="nil"/>
            </w:tcBorders>
            <w:vAlign w:val="center"/>
          </w:tcPr>
          <w:p w:rsidR="00593A17" w:rsidRPr="00765C97" w:rsidRDefault="00593A17" w:rsidP="00593A17">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1 693</w:t>
            </w:r>
          </w:p>
        </w:tc>
      </w:tr>
      <w:tr w:rsidR="00D106A3" w:rsidRPr="00765C97" w:rsidTr="00DC24A6">
        <w:trPr>
          <w:trHeight w:val="255"/>
        </w:trPr>
        <w:tc>
          <w:tcPr>
            <w:tcW w:w="6096" w:type="dxa"/>
            <w:tcBorders>
              <w:top w:val="nil"/>
              <w:left w:val="nil"/>
              <w:right w:val="nil"/>
            </w:tcBorders>
            <w:vAlign w:val="center"/>
          </w:tcPr>
          <w:p w:rsidR="00D106A3" w:rsidRPr="00765C97" w:rsidRDefault="00D106A3" w:rsidP="00D106A3">
            <w:pPr>
              <w:framePr w:hSpace="141" w:wrap="around" w:vAnchor="text" w:hAnchor="text" w:x="38" w:y="1"/>
              <w:ind w:left="142" w:hanging="142"/>
              <w:rPr>
                <w:rFonts w:ascii="Arial" w:hAnsi="Arial"/>
                <w:color w:val="000000"/>
                <w:spacing w:val="-2"/>
                <w:sz w:val="20"/>
                <w:lang w:val="pl-PL"/>
              </w:rPr>
            </w:pPr>
            <w:r w:rsidRPr="00765C97">
              <w:rPr>
                <w:rFonts w:ascii="Arial" w:hAnsi="Arial"/>
                <w:color w:val="000000"/>
                <w:spacing w:val="-2"/>
                <w:sz w:val="20"/>
                <w:lang w:val="pl-PL"/>
              </w:rPr>
              <w:t>- rozwiązanie aktywa w związku ze stratą podatkową w Comarch SuB</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(818)</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(929)</w:t>
            </w:r>
          </w:p>
        </w:tc>
      </w:tr>
      <w:tr w:rsidR="00D106A3" w:rsidRPr="00765C97" w:rsidTr="00DC24A6">
        <w:trPr>
          <w:trHeight w:val="255"/>
        </w:trPr>
        <w:tc>
          <w:tcPr>
            <w:tcW w:w="6096" w:type="dxa"/>
            <w:tcBorders>
              <w:top w:val="nil"/>
              <w:left w:val="nil"/>
              <w:right w:val="nil"/>
            </w:tcBorders>
            <w:vAlign w:val="center"/>
          </w:tcPr>
          <w:p w:rsidR="00D106A3" w:rsidRPr="00765C97" w:rsidRDefault="00D106A3" w:rsidP="00D106A3">
            <w:pPr>
              <w:framePr w:hSpace="141" w:wrap="around" w:vAnchor="text" w:hAnchor="text" w:x="38" w:y="1"/>
              <w:ind w:left="142" w:hanging="142"/>
              <w:rPr>
                <w:rFonts w:ascii="Arial" w:hAnsi="Arial"/>
                <w:color w:val="000000"/>
                <w:spacing w:val="-2"/>
                <w:sz w:val="20"/>
                <w:lang w:val="pl-PL"/>
              </w:rPr>
            </w:pPr>
            <w:r w:rsidRPr="00765C97">
              <w:rPr>
                <w:rFonts w:ascii="Arial" w:hAnsi="Arial"/>
                <w:color w:val="000000"/>
                <w:spacing w:val="-2"/>
                <w:sz w:val="20"/>
                <w:lang w:val="pl-PL"/>
              </w:rPr>
              <w:t xml:space="preserve">- utworzenie aktywa </w:t>
            </w:r>
            <w:r w:rsidRPr="00765C97">
              <w:rPr>
                <w:rFonts w:ascii="Arial" w:hAnsi="Arial"/>
                <w:color w:val="000000"/>
                <w:sz w:val="20"/>
                <w:lang w:val="pl-PL"/>
              </w:rPr>
              <w:t xml:space="preserve"> na możliwą do rozliczenia stratę podatkową  spółki Comarch AG</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2 355</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w:t>
            </w:r>
          </w:p>
        </w:tc>
      </w:tr>
      <w:tr w:rsidR="00D106A3" w:rsidRPr="00765C97" w:rsidTr="00DC24A6">
        <w:trPr>
          <w:trHeight w:val="255"/>
        </w:trPr>
        <w:tc>
          <w:tcPr>
            <w:tcW w:w="6096" w:type="dxa"/>
            <w:tcBorders>
              <w:top w:val="nil"/>
              <w:left w:val="nil"/>
              <w:right w:val="nil"/>
            </w:tcBorders>
            <w:vAlign w:val="center"/>
          </w:tcPr>
          <w:p w:rsidR="00D106A3" w:rsidRPr="00765C97" w:rsidRDefault="00D106A3" w:rsidP="00D106A3">
            <w:pPr>
              <w:framePr w:hSpace="141" w:wrap="around" w:vAnchor="text" w:hAnchor="text" w:x="38" w:y="1"/>
              <w:ind w:left="142" w:hanging="142"/>
              <w:rPr>
                <w:rFonts w:ascii="Arial" w:hAnsi="Arial"/>
                <w:color w:val="000000"/>
                <w:spacing w:val="-2"/>
                <w:sz w:val="20"/>
                <w:lang w:val="pl-PL"/>
              </w:rPr>
            </w:pPr>
            <w:r w:rsidRPr="00765C97">
              <w:rPr>
                <w:rFonts w:ascii="Arial" w:hAnsi="Arial"/>
                <w:color w:val="000000"/>
                <w:spacing w:val="-2"/>
                <w:sz w:val="20"/>
                <w:lang w:val="pl-PL"/>
              </w:rPr>
              <w:t>- rozwiązanie aktywa w związku ze stratą podatkową z lat ubiegłych w Comarch AG</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(5 287)</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(87)</w:t>
            </w:r>
          </w:p>
        </w:tc>
      </w:tr>
      <w:tr w:rsidR="00D106A3" w:rsidRPr="00765C97" w:rsidTr="00DC24A6">
        <w:trPr>
          <w:trHeight w:val="255"/>
        </w:trPr>
        <w:tc>
          <w:tcPr>
            <w:tcW w:w="6096" w:type="dxa"/>
            <w:tcBorders>
              <w:top w:val="nil"/>
              <w:left w:val="nil"/>
              <w:right w:val="nil"/>
            </w:tcBorders>
            <w:vAlign w:val="center"/>
          </w:tcPr>
          <w:p w:rsidR="00D106A3" w:rsidRPr="00765C97" w:rsidRDefault="00D106A3" w:rsidP="00D106A3">
            <w:pPr>
              <w:framePr w:hSpace="141" w:wrap="around" w:vAnchor="text" w:hAnchor="text" w:x="38" w:y="1"/>
              <w:ind w:left="142" w:hanging="142"/>
              <w:rPr>
                <w:rFonts w:ascii="Arial" w:hAnsi="Arial"/>
                <w:color w:val="000000"/>
                <w:spacing w:val="-2"/>
                <w:sz w:val="20"/>
                <w:lang w:val="pl-PL"/>
              </w:rPr>
            </w:pPr>
            <w:r w:rsidRPr="00765C97">
              <w:rPr>
                <w:rFonts w:ascii="Arial" w:hAnsi="Arial"/>
                <w:color w:val="000000"/>
                <w:spacing w:val="-2"/>
                <w:sz w:val="20"/>
                <w:lang w:val="pl-PL"/>
              </w:rPr>
              <w:t xml:space="preserve">- utworzenie aktywa w związku ze stratą podatkową w Infrastruktura24 S.A. </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89</w:t>
            </w:r>
          </w:p>
        </w:tc>
      </w:tr>
      <w:tr w:rsidR="00D106A3" w:rsidRPr="00765C97" w:rsidTr="00DC24A6">
        <w:trPr>
          <w:trHeight w:val="255"/>
        </w:trPr>
        <w:tc>
          <w:tcPr>
            <w:tcW w:w="6096" w:type="dxa"/>
            <w:tcBorders>
              <w:top w:val="nil"/>
              <w:left w:val="nil"/>
              <w:right w:val="nil"/>
            </w:tcBorders>
            <w:vAlign w:val="center"/>
          </w:tcPr>
          <w:p w:rsidR="00D106A3" w:rsidRPr="00765C97" w:rsidRDefault="00D106A3" w:rsidP="00D106A3">
            <w:pPr>
              <w:framePr w:hSpace="141" w:wrap="around" w:vAnchor="text" w:hAnchor="text" w:x="38" w:y="1"/>
              <w:ind w:left="142" w:hanging="142"/>
              <w:rPr>
                <w:rFonts w:ascii="Arial" w:hAnsi="Arial"/>
                <w:color w:val="000000"/>
                <w:spacing w:val="-2"/>
                <w:sz w:val="20"/>
                <w:lang w:val="pl-PL"/>
              </w:rPr>
            </w:pPr>
            <w:r w:rsidRPr="00765C97">
              <w:rPr>
                <w:rFonts w:ascii="Arial" w:hAnsi="Arial"/>
                <w:color w:val="000000"/>
                <w:spacing w:val="-2"/>
                <w:sz w:val="20"/>
                <w:lang w:val="pl-PL"/>
              </w:rPr>
              <w:t>- rozwiązanie aktywa w związku ze stratą podatkową w  Infrastruktura24 S.A.</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(89)</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w:t>
            </w:r>
          </w:p>
        </w:tc>
      </w:tr>
      <w:tr w:rsidR="00D106A3" w:rsidRPr="00765C97" w:rsidTr="00DC24A6">
        <w:trPr>
          <w:trHeight w:val="255"/>
        </w:trPr>
        <w:tc>
          <w:tcPr>
            <w:tcW w:w="6096" w:type="dxa"/>
            <w:tcBorders>
              <w:top w:val="nil"/>
              <w:left w:val="nil"/>
              <w:right w:val="nil"/>
            </w:tcBorders>
            <w:vAlign w:val="center"/>
          </w:tcPr>
          <w:p w:rsidR="00D106A3" w:rsidRPr="00765C97" w:rsidRDefault="00D106A3" w:rsidP="00D106A3">
            <w:pPr>
              <w:framePr w:hSpace="141" w:wrap="around" w:vAnchor="text" w:hAnchor="text" w:x="38" w:y="1"/>
              <w:ind w:left="142" w:hanging="142"/>
              <w:rPr>
                <w:rFonts w:ascii="Arial" w:hAnsi="Arial"/>
                <w:color w:val="000000"/>
                <w:spacing w:val="-2"/>
                <w:sz w:val="20"/>
                <w:lang w:val="pl-PL"/>
              </w:rPr>
            </w:pPr>
            <w:r w:rsidRPr="00765C97">
              <w:rPr>
                <w:rFonts w:ascii="Arial" w:hAnsi="Arial"/>
                <w:color w:val="000000"/>
                <w:spacing w:val="-2"/>
                <w:sz w:val="20"/>
                <w:lang w:val="pl-PL"/>
              </w:rPr>
              <w:t>- utworzenie aktywa w związku ze stratą podatkową w Comarch Polska S.A.</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557</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w:t>
            </w:r>
          </w:p>
        </w:tc>
      </w:tr>
      <w:tr w:rsidR="00D106A3" w:rsidRPr="00765C97" w:rsidTr="00DC24A6">
        <w:trPr>
          <w:trHeight w:val="255"/>
        </w:trPr>
        <w:tc>
          <w:tcPr>
            <w:tcW w:w="6096" w:type="dxa"/>
            <w:tcBorders>
              <w:top w:val="nil"/>
              <w:left w:val="nil"/>
              <w:right w:val="nil"/>
            </w:tcBorders>
            <w:vAlign w:val="center"/>
          </w:tcPr>
          <w:p w:rsidR="00D106A3" w:rsidRPr="00765C97" w:rsidRDefault="00D106A3" w:rsidP="00D106A3">
            <w:pPr>
              <w:framePr w:hSpace="141" w:wrap="around" w:vAnchor="text" w:hAnchor="text" w:x="38" w:y="1"/>
              <w:ind w:left="142" w:hanging="142"/>
              <w:rPr>
                <w:rFonts w:ascii="Arial" w:hAnsi="Arial"/>
                <w:color w:val="000000"/>
                <w:spacing w:val="-2"/>
                <w:sz w:val="20"/>
                <w:lang w:val="pl-PL"/>
              </w:rPr>
            </w:pPr>
            <w:r w:rsidRPr="00765C97">
              <w:rPr>
                <w:rFonts w:ascii="Arial" w:hAnsi="Arial"/>
                <w:color w:val="000000"/>
                <w:spacing w:val="-2"/>
                <w:sz w:val="20"/>
                <w:lang w:val="pl-PL"/>
              </w:rPr>
              <w:t>- utworzenie aktywa w związku ze stratą podatkową w iReward24 S.A.</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280</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w:t>
            </w:r>
          </w:p>
        </w:tc>
      </w:tr>
      <w:tr w:rsidR="00D106A3" w:rsidRPr="00765C97" w:rsidTr="00DC24A6">
        <w:trPr>
          <w:trHeight w:val="255"/>
        </w:trPr>
        <w:tc>
          <w:tcPr>
            <w:tcW w:w="6096" w:type="dxa"/>
            <w:tcBorders>
              <w:top w:val="nil"/>
              <w:left w:val="nil"/>
              <w:right w:val="nil"/>
            </w:tcBorders>
            <w:vAlign w:val="center"/>
          </w:tcPr>
          <w:p w:rsidR="00D106A3" w:rsidRPr="00765C97" w:rsidRDefault="00D106A3" w:rsidP="00D106A3">
            <w:pPr>
              <w:framePr w:hSpace="141" w:wrap="around" w:vAnchor="text" w:hAnchor="text" w:x="38" w:y="1"/>
              <w:ind w:left="142" w:hanging="142"/>
              <w:rPr>
                <w:rFonts w:ascii="Arial" w:hAnsi="Arial"/>
                <w:color w:val="000000"/>
                <w:spacing w:val="-2"/>
                <w:sz w:val="20"/>
                <w:lang w:val="pl-PL"/>
              </w:rPr>
            </w:pPr>
            <w:r w:rsidRPr="00765C97">
              <w:rPr>
                <w:rFonts w:ascii="Arial" w:hAnsi="Arial"/>
                <w:color w:val="000000"/>
                <w:spacing w:val="-2"/>
                <w:sz w:val="20"/>
                <w:lang w:val="pl-PL"/>
              </w:rPr>
              <w:t>- utworzenie aktywa w związku z ulgą podatkową jednostki dominującej z tytułu działalności w SSE</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10 055</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pacing w:val="-4"/>
                <w:sz w:val="20"/>
                <w:lang w:val="pl-PL"/>
              </w:rPr>
            </w:pPr>
            <w:r w:rsidRPr="00765C97">
              <w:rPr>
                <w:rFonts w:ascii="Arial" w:hAnsi="Arial"/>
                <w:color w:val="000000"/>
                <w:spacing w:val="-4"/>
                <w:sz w:val="20"/>
                <w:lang w:val="pl-PL"/>
              </w:rPr>
              <w:t>9 904</w:t>
            </w:r>
          </w:p>
        </w:tc>
      </w:tr>
      <w:tr w:rsidR="00D106A3" w:rsidRPr="00765C97" w:rsidTr="00DC24A6">
        <w:trPr>
          <w:trHeight w:val="255"/>
        </w:trPr>
        <w:tc>
          <w:tcPr>
            <w:tcW w:w="6096" w:type="dxa"/>
            <w:tcBorders>
              <w:left w:val="nil"/>
              <w:right w:val="nil"/>
            </w:tcBorders>
            <w:vAlign w:val="center"/>
          </w:tcPr>
          <w:p w:rsidR="00D106A3" w:rsidRPr="00765C97" w:rsidRDefault="00D106A3" w:rsidP="00D106A3">
            <w:pPr>
              <w:framePr w:hSpace="141" w:wrap="around" w:vAnchor="text" w:hAnchor="text" w:x="38" w:y="1"/>
              <w:ind w:left="142" w:hanging="142"/>
              <w:rPr>
                <w:rFonts w:ascii="Arial" w:hAnsi="Arial"/>
                <w:color w:val="000000"/>
                <w:sz w:val="20"/>
                <w:lang w:val="pl-PL"/>
              </w:rPr>
            </w:pPr>
            <w:r w:rsidRPr="00765C97">
              <w:rPr>
                <w:rFonts w:ascii="Arial" w:hAnsi="Arial"/>
                <w:color w:val="000000"/>
                <w:spacing w:val="-2"/>
                <w:sz w:val="20"/>
                <w:lang w:val="pl-PL"/>
              </w:rPr>
              <w:t>- rozwiązanie aktywa w związku z ulgą podatkową jednostki dominującej z tytułu działalności w SSE</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z w:val="20"/>
                <w:lang w:val="pl-PL"/>
              </w:rPr>
            </w:pPr>
            <w:r w:rsidRPr="00765C97">
              <w:rPr>
                <w:rFonts w:ascii="Arial" w:hAnsi="Arial"/>
                <w:color w:val="000000"/>
                <w:sz w:val="20"/>
                <w:lang w:val="pl-PL"/>
              </w:rPr>
              <w:t>(9 904)</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z w:val="20"/>
                <w:lang w:val="pl-PL"/>
              </w:rPr>
            </w:pPr>
            <w:r w:rsidRPr="00765C97">
              <w:rPr>
                <w:rFonts w:ascii="Arial" w:hAnsi="Arial"/>
                <w:color w:val="000000"/>
                <w:sz w:val="20"/>
                <w:lang w:val="pl-PL"/>
              </w:rPr>
              <w:t xml:space="preserve">  (9 635)</w:t>
            </w:r>
          </w:p>
        </w:tc>
      </w:tr>
      <w:tr w:rsidR="00D106A3" w:rsidRPr="00765C97" w:rsidTr="00DC24A6">
        <w:trPr>
          <w:trHeight w:val="255"/>
        </w:trPr>
        <w:tc>
          <w:tcPr>
            <w:tcW w:w="6096" w:type="dxa"/>
            <w:tcBorders>
              <w:left w:val="nil"/>
              <w:right w:val="nil"/>
            </w:tcBorders>
            <w:vAlign w:val="center"/>
          </w:tcPr>
          <w:p w:rsidR="00D106A3" w:rsidRPr="00765C97" w:rsidRDefault="00D106A3" w:rsidP="00D106A3">
            <w:pPr>
              <w:framePr w:hSpace="141" w:wrap="around" w:vAnchor="text" w:hAnchor="text" w:x="38" w:y="1"/>
              <w:ind w:left="142" w:hanging="142"/>
              <w:rPr>
                <w:rFonts w:ascii="Arial" w:hAnsi="Arial"/>
                <w:color w:val="000000"/>
                <w:sz w:val="20"/>
                <w:lang w:val="pl-PL"/>
              </w:rPr>
            </w:pPr>
            <w:r w:rsidRPr="00765C97">
              <w:rPr>
                <w:rFonts w:ascii="Arial" w:hAnsi="Arial"/>
                <w:color w:val="000000"/>
                <w:sz w:val="20"/>
                <w:lang w:val="pl-PL"/>
              </w:rPr>
              <w:t>- utworzenie aktywa z tytułu różnic przejściowych dotyczących kosztów (amortyzacja, koszty prac badawczych)</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z w:val="20"/>
                <w:lang w:val="pl-PL"/>
              </w:rPr>
            </w:pPr>
            <w:r w:rsidRPr="00765C97">
              <w:rPr>
                <w:rFonts w:ascii="Arial" w:hAnsi="Arial"/>
                <w:color w:val="000000"/>
                <w:sz w:val="20"/>
                <w:lang w:val="pl-PL"/>
              </w:rPr>
              <w:t>5 971</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z w:val="20"/>
                <w:lang w:val="pl-PL"/>
              </w:rPr>
            </w:pPr>
            <w:r w:rsidRPr="00765C97">
              <w:rPr>
                <w:rFonts w:ascii="Arial" w:hAnsi="Arial"/>
                <w:color w:val="000000"/>
                <w:sz w:val="20"/>
                <w:lang w:val="pl-PL"/>
              </w:rPr>
              <w:t>6 703</w:t>
            </w:r>
          </w:p>
        </w:tc>
      </w:tr>
      <w:tr w:rsidR="00D106A3" w:rsidRPr="00765C97" w:rsidTr="00DC24A6">
        <w:trPr>
          <w:trHeight w:val="255"/>
        </w:trPr>
        <w:tc>
          <w:tcPr>
            <w:tcW w:w="6096" w:type="dxa"/>
            <w:tcBorders>
              <w:left w:val="nil"/>
              <w:right w:val="nil"/>
            </w:tcBorders>
            <w:vAlign w:val="center"/>
          </w:tcPr>
          <w:p w:rsidR="00D106A3" w:rsidRPr="00765C97" w:rsidRDefault="00D106A3" w:rsidP="00D106A3">
            <w:pPr>
              <w:framePr w:hSpace="141" w:wrap="around" w:vAnchor="text" w:hAnchor="text" w:x="38" w:y="1"/>
              <w:ind w:left="142" w:hanging="142"/>
              <w:rPr>
                <w:rFonts w:ascii="Arial" w:hAnsi="Arial"/>
                <w:color w:val="000000"/>
                <w:sz w:val="20"/>
                <w:lang w:val="pl-PL"/>
              </w:rPr>
            </w:pPr>
            <w:r w:rsidRPr="00765C97">
              <w:rPr>
                <w:rFonts w:ascii="Arial" w:hAnsi="Arial"/>
                <w:color w:val="000000"/>
                <w:sz w:val="20"/>
                <w:lang w:val="pl-PL"/>
              </w:rPr>
              <w:t>- rozwiązanie aktywa z tytułu różnic przejściowych dotyczących kosztów (amortyzacja, koszty prac badawczych)</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z w:val="20"/>
                <w:lang w:val="pl-PL"/>
              </w:rPr>
            </w:pPr>
            <w:r w:rsidRPr="00765C97">
              <w:rPr>
                <w:rFonts w:ascii="Arial" w:hAnsi="Arial"/>
                <w:color w:val="000000"/>
                <w:sz w:val="20"/>
                <w:lang w:val="pl-PL"/>
              </w:rPr>
              <w:t>(3 104)</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color w:val="000000"/>
                <w:sz w:val="20"/>
                <w:lang w:val="pl-PL"/>
              </w:rPr>
            </w:pPr>
            <w:r w:rsidRPr="00765C97">
              <w:rPr>
                <w:rFonts w:ascii="Arial" w:hAnsi="Arial"/>
                <w:color w:val="000000"/>
                <w:sz w:val="20"/>
                <w:lang w:val="pl-PL"/>
              </w:rPr>
              <w:t>(3 688)</w:t>
            </w:r>
          </w:p>
        </w:tc>
      </w:tr>
      <w:tr w:rsidR="00D106A3" w:rsidRPr="00765C97" w:rsidTr="00DC24A6">
        <w:trPr>
          <w:trHeight w:val="255"/>
        </w:trPr>
        <w:tc>
          <w:tcPr>
            <w:tcW w:w="6096" w:type="dxa"/>
            <w:tcBorders>
              <w:left w:val="nil"/>
              <w:right w:val="nil"/>
            </w:tcBorders>
            <w:vAlign w:val="center"/>
          </w:tcPr>
          <w:p w:rsidR="00D106A3" w:rsidRPr="00765C97" w:rsidRDefault="00D106A3" w:rsidP="00D106A3">
            <w:pPr>
              <w:framePr w:hSpace="141" w:wrap="around" w:vAnchor="text" w:hAnchor="text" w:x="38" w:y="1"/>
              <w:ind w:left="142" w:hanging="142"/>
              <w:rPr>
                <w:rFonts w:ascii="Arial" w:hAnsi="Arial"/>
                <w:b/>
                <w:color w:val="000000"/>
                <w:sz w:val="20"/>
                <w:lang w:val="pl-PL"/>
              </w:rPr>
            </w:pPr>
            <w:r w:rsidRPr="00765C97">
              <w:rPr>
                <w:rFonts w:ascii="Arial" w:hAnsi="Arial"/>
                <w:b/>
                <w:color w:val="000000"/>
                <w:sz w:val="20"/>
                <w:lang w:val="pl-PL"/>
              </w:rPr>
              <w:t>Stan na koniec okresu</w:t>
            </w:r>
          </w:p>
        </w:tc>
        <w:tc>
          <w:tcPr>
            <w:tcW w:w="1206" w:type="dxa"/>
            <w:tcBorders>
              <w:top w:val="single" w:sz="2" w:space="0" w:color="auto"/>
              <w:left w:val="nil"/>
              <w:bottom w:val="single" w:sz="2" w:space="0" w:color="auto"/>
              <w:right w:val="nil"/>
            </w:tcBorders>
            <w:vAlign w:val="center"/>
          </w:tcPr>
          <w:p w:rsidR="00D106A3" w:rsidRPr="00765C97" w:rsidRDefault="00D106A3" w:rsidP="00D106A3">
            <w:pPr>
              <w:framePr w:hSpace="141" w:wrap="around" w:vAnchor="text" w:hAnchor="text" w:x="38" w:y="1"/>
              <w:ind w:right="180"/>
              <w:jc w:val="right"/>
              <w:rPr>
                <w:rFonts w:ascii="Arial" w:hAnsi="Arial"/>
                <w:b/>
                <w:color w:val="000000"/>
                <w:sz w:val="20"/>
                <w:lang w:val="pl-PL"/>
              </w:rPr>
            </w:pPr>
            <w:r w:rsidRPr="00765C97">
              <w:rPr>
                <w:rFonts w:ascii="Arial" w:hAnsi="Arial"/>
                <w:b/>
                <w:color w:val="000000"/>
                <w:sz w:val="20"/>
                <w:lang w:val="pl-PL"/>
              </w:rPr>
              <w:t>27 791</w:t>
            </w:r>
          </w:p>
        </w:tc>
        <w:tc>
          <w:tcPr>
            <w:tcW w:w="1206" w:type="dxa"/>
            <w:tcBorders>
              <w:top w:val="single" w:sz="2" w:space="0" w:color="auto"/>
              <w:left w:val="nil"/>
              <w:bottom w:val="single" w:sz="2" w:space="0" w:color="auto"/>
              <w:right w:val="nil"/>
            </w:tcBorders>
            <w:vAlign w:val="center"/>
          </w:tcPr>
          <w:p w:rsidR="00D106A3" w:rsidRPr="00765C97" w:rsidRDefault="00D106A3" w:rsidP="00D106A3">
            <w:pPr>
              <w:framePr w:hSpace="141" w:wrap="around" w:vAnchor="text" w:hAnchor="text" w:x="38" w:y="1"/>
              <w:ind w:right="180"/>
              <w:jc w:val="right"/>
              <w:rPr>
                <w:rFonts w:ascii="Arial" w:hAnsi="Arial"/>
                <w:b/>
                <w:color w:val="000000"/>
                <w:sz w:val="20"/>
                <w:lang w:val="pl-PL"/>
              </w:rPr>
            </w:pPr>
            <w:r w:rsidRPr="00765C97">
              <w:rPr>
                <w:rFonts w:ascii="Arial" w:hAnsi="Arial"/>
                <w:b/>
                <w:color w:val="000000"/>
                <w:sz w:val="20"/>
                <w:lang w:val="pl-PL"/>
              </w:rPr>
              <w:t>27 775</w:t>
            </w:r>
          </w:p>
        </w:tc>
      </w:tr>
      <w:tr w:rsidR="00D106A3" w:rsidRPr="00765C97" w:rsidTr="00DC24A6">
        <w:trPr>
          <w:trHeight w:val="255"/>
        </w:trPr>
        <w:tc>
          <w:tcPr>
            <w:tcW w:w="6096" w:type="dxa"/>
            <w:tcBorders>
              <w:left w:val="nil"/>
              <w:right w:val="nil"/>
            </w:tcBorders>
            <w:vAlign w:val="center"/>
          </w:tcPr>
          <w:p w:rsidR="00D106A3" w:rsidRPr="00765C97" w:rsidRDefault="00D106A3" w:rsidP="00D106A3">
            <w:pPr>
              <w:framePr w:hSpace="141" w:wrap="around" w:vAnchor="text" w:hAnchor="text" w:x="38" w:y="1"/>
              <w:ind w:left="142" w:hanging="142"/>
              <w:rPr>
                <w:rFonts w:ascii="Arial" w:hAnsi="Arial"/>
                <w:i/>
                <w:color w:val="000000"/>
                <w:sz w:val="18"/>
                <w:szCs w:val="18"/>
                <w:lang w:val="pl-PL"/>
              </w:rPr>
            </w:pPr>
            <w:r w:rsidRPr="00765C97">
              <w:rPr>
                <w:rFonts w:ascii="Arial" w:hAnsi="Arial"/>
                <w:i/>
                <w:color w:val="000000"/>
                <w:spacing w:val="-2"/>
                <w:sz w:val="18"/>
                <w:szCs w:val="18"/>
                <w:lang w:val="pl-PL"/>
              </w:rPr>
              <w:t>- odniesione na wynik finansowy</w:t>
            </w:r>
          </w:p>
        </w:tc>
        <w:tc>
          <w:tcPr>
            <w:tcW w:w="1206" w:type="dxa"/>
            <w:tcBorders>
              <w:top w:val="single" w:sz="2" w:space="0" w:color="auto"/>
              <w:left w:val="nil"/>
              <w:right w:val="nil"/>
            </w:tcBorders>
            <w:vAlign w:val="center"/>
          </w:tcPr>
          <w:p w:rsidR="00D106A3" w:rsidRPr="00765C97" w:rsidRDefault="00D106A3" w:rsidP="00D106A3">
            <w:pPr>
              <w:framePr w:hSpace="141" w:wrap="around" w:vAnchor="text" w:hAnchor="text" w:x="38" w:y="1"/>
              <w:ind w:right="180"/>
              <w:jc w:val="right"/>
              <w:rPr>
                <w:rFonts w:ascii="Arial" w:hAnsi="Arial"/>
                <w:i/>
                <w:color w:val="000000"/>
                <w:sz w:val="18"/>
                <w:szCs w:val="18"/>
                <w:lang w:val="pl-PL"/>
              </w:rPr>
            </w:pPr>
            <w:r w:rsidRPr="00765C97">
              <w:rPr>
                <w:rFonts w:ascii="Arial" w:hAnsi="Arial"/>
                <w:i/>
                <w:color w:val="000000"/>
                <w:sz w:val="18"/>
                <w:szCs w:val="18"/>
                <w:lang w:val="pl-PL"/>
              </w:rPr>
              <w:t>27 791</w:t>
            </w:r>
          </w:p>
        </w:tc>
        <w:tc>
          <w:tcPr>
            <w:tcW w:w="1206" w:type="dxa"/>
            <w:tcBorders>
              <w:top w:val="single" w:sz="2" w:space="0" w:color="auto"/>
              <w:left w:val="nil"/>
              <w:right w:val="nil"/>
            </w:tcBorders>
            <w:vAlign w:val="center"/>
          </w:tcPr>
          <w:p w:rsidR="00D106A3" w:rsidRPr="00765C97" w:rsidRDefault="00D106A3" w:rsidP="00D106A3">
            <w:pPr>
              <w:framePr w:hSpace="141" w:wrap="around" w:vAnchor="text" w:hAnchor="text" w:x="38" w:y="1"/>
              <w:ind w:right="180"/>
              <w:jc w:val="right"/>
              <w:rPr>
                <w:rFonts w:ascii="Arial" w:hAnsi="Arial"/>
                <w:i/>
                <w:color w:val="000000"/>
                <w:sz w:val="18"/>
                <w:szCs w:val="18"/>
                <w:lang w:val="pl-PL"/>
              </w:rPr>
            </w:pPr>
            <w:r w:rsidRPr="00765C97">
              <w:rPr>
                <w:rFonts w:ascii="Arial" w:hAnsi="Arial"/>
                <w:i/>
                <w:color w:val="000000"/>
                <w:sz w:val="18"/>
                <w:szCs w:val="18"/>
                <w:lang w:val="pl-PL"/>
              </w:rPr>
              <w:t>27 775</w:t>
            </w:r>
          </w:p>
        </w:tc>
      </w:tr>
      <w:tr w:rsidR="00D106A3" w:rsidRPr="00765C97" w:rsidTr="00DC24A6">
        <w:trPr>
          <w:trHeight w:val="255"/>
        </w:trPr>
        <w:tc>
          <w:tcPr>
            <w:tcW w:w="6096" w:type="dxa"/>
            <w:tcBorders>
              <w:left w:val="nil"/>
              <w:right w:val="nil"/>
            </w:tcBorders>
            <w:vAlign w:val="center"/>
          </w:tcPr>
          <w:p w:rsidR="00D106A3" w:rsidRPr="00765C97" w:rsidRDefault="00D106A3" w:rsidP="00D106A3">
            <w:pPr>
              <w:framePr w:hSpace="141" w:wrap="around" w:vAnchor="text" w:hAnchor="text" w:x="38" w:y="1"/>
              <w:ind w:left="142" w:hanging="142"/>
              <w:rPr>
                <w:rFonts w:ascii="Arial" w:hAnsi="Arial"/>
                <w:b/>
                <w:color w:val="000000"/>
                <w:sz w:val="20"/>
                <w:lang w:val="pl-PL"/>
              </w:rPr>
            </w:pPr>
          </w:p>
        </w:tc>
        <w:tc>
          <w:tcPr>
            <w:tcW w:w="1206" w:type="dxa"/>
            <w:tcBorders>
              <w:left w:val="nil"/>
              <w:bottom w:val="single" w:sz="4" w:space="0" w:color="auto"/>
              <w:right w:val="nil"/>
            </w:tcBorders>
            <w:vAlign w:val="center"/>
          </w:tcPr>
          <w:p w:rsidR="00D106A3" w:rsidRPr="00765C97" w:rsidRDefault="00D106A3" w:rsidP="00D106A3">
            <w:pPr>
              <w:framePr w:hSpace="141" w:wrap="around" w:vAnchor="text" w:hAnchor="text" w:x="38" w:y="1"/>
              <w:ind w:right="180"/>
              <w:jc w:val="right"/>
              <w:rPr>
                <w:rFonts w:ascii="Arial" w:hAnsi="Arial"/>
                <w:b/>
                <w:color w:val="000000"/>
                <w:sz w:val="20"/>
                <w:lang w:val="pl-PL"/>
              </w:rPr>
            </w:pPr>
          </w:p>
        </w:tc>
        <w:tc>
          <w:tcPr>
            <w:tcW w:w="1206" w:type="dxa"/>
            <w:tcBorders>
              <w:left w:val="nil"/>
              <w:bottom w:val="single" w:sz="4" w:space="0" w:color="auto"/>
              <w:right w:val="nil"/>
            </w:tcBorders>
            <w:vAlign w:val="center"/>
          </w:tcPr>
          <w:p w:rsidR="00D106A3" w:rsidRPr="00765C97" w:rsidRDefault="00D106A3" w:rsidP="00D106A3">
            <w:pPr>
              <w:framePr w:hSpace="141" w:wrap="around" w:vAnchor="text" w:hAnchor="text" w:x="38" w:y="1"/>
              <w:ind w:right="180"/>
              <w:jc w:val="right"/>
              <w:rPr>
                <w:rFonts w:ascii="Arial" w:hAnsi="Arial"/>
                <w:b/>
                <w:color w:val="000000"/>
                <w:sz w:val="20"/>
                <w:lang w:val="pl-PL"/>
              </w:rPr>
            </w:pPr>
          </w:p>
        </w:tc>
      </w:tr>
      <w:tr w:rsidR="00D106A3" w:rsidRPr="00765C97" w:rsidTr="00DC24A6">
        <w:trPr>
          <w:trHeight w:val="255"/>
        </w:trPr>
        <w:tc>
          <w:tcPr>
            <w:tcW w:w="6096" w:type="dxa"/>
            <w:tcBorders>
              <w:left w:val="nil"/>
              <w:right w:val="nil"/>
            </w:tcBorders>
            <w:vAlign w:val="center"/>
          </w:tcPr>
          <w:p w:rsidR="00D106A3" w:rsidRPr="00765C97" w:rsidRDefault="00D106A3" w:rsidP="00D106A3">
            <w:pPr>
              <w:framePr w:hSpace="141" w:wrap="around" w:vAnchor="text" w:hAnchor="text" w:x="38" w:y="1"/>
              <w:ind w:left="142" w:hanging="142"/>
              <w:rPr>
                <w:rFonts w:ascii="Arial" w:hAnsi="Arial"/>
                <w:b/>
                <w:color w:val="000000"/>
                <w:sz w:val="20"/>
                <w:lang w:val="pl-PL"/>
              </w:rPr>
            </w:pPr>
            <w:r w:rsidRPr="00765C97">
              <w:rPr>
                <w:rFonts w:ascii="Arial" w:hAnsi="Arial"/>
                <w:b/>
                <w:color w:val="000000"/>
                <w:sz w:val="20"/>
                <w:lang w:val="pl-PL"/>
              </w:rPr>
              <w:t>Rezerwa z tytułu odroczonego podatku dochodowego</w:t>
            </w:r>
          </w:p>
          <w:p w:rsidR="00D106A3" w:rsidRPr="00765C97" w:rsidRDefault="00D106A3" w:rsidP="00D106A3">
            <w:pPr>
              <w:framePr w:hSpace="141" w:wrap="around" w:vAnchor="text" w:hAnchor="text" w:x="38" w:y="1"/>
              <w:ind w:left="142" w:hanging="142"/>
              <w:rPr>
                <w:rFonts w:ascii="Arial" w:hAnsi="Arial"/>
                <w:b/>
                <w:color w:val="000000"/>
                <w:spacing w:val="-1"/>
                <w:sz w:val="20"/>
                <w:lang w:val="pl-PL"/>
              </w:rPr>
            </w:pPr>
            <w:r w:rsidRPr="00765C97">
              <w:rPr>
                <w:rFonts w:ascii="Arial" w:hAnsi="Arial"/>
                <w:b/>
                <w:color w:val="000000"/>
                <w:sz w:val="20"/>
                <w:lang w:val="pl-PL"/>
              </w:rPr>
              <w:t>Stan na początek okresu:</w:t>
            </w:r>
          </w:p>
        </w:tc>
        <w:tc>
          <w:tcPr>
            <w:tcW w:w="1206" w:type="dxa"/>
            <w:tcBorders>
              <w:top w:val="single" w:sz="4" w:space="0" w:color="auto"/>
              <w:left w:val="nil"/>
              <w:bottom w:val="single" w:sz="4" w:space="0" w:color="auto"/>
              <w:right w:val="nil"/>
            </w:tcBorders>
            <w:vAlign w:val="center"/>
          </w:tcPr>
          <w:p w:rsidR="00D106A3" w:rsidRPr="00765C97" w:rsidRDefault="00D106A3" w:rsidP="00D106A3">
            <w:pPr>
              <w:framePr w:hSpace="141" w:wrap="around" w:vAnchor="text" w:hAnchor="text" w:x="38" w:y="1"/>
              <w:ind w:right="180"/>
              <w:jc w:val="right"/>
              <w:rPr>
                <w:rFonts w:ascii="Arial" w:hAnsi="Arial"/>
                <w:b/>
                <w:color w:val="000000"/>
                <w:sz w:val="20"/>
                <w:lang w:val="pl-PL"/>
              </w:rPr>
            </w:pPr>
            <w:r w:rsidRPr="00765C97">
              <w:rPr>
                <w:rFonts w:ascii="Arial" w:hAnsi="Arial"/>
                <w:b/>
                <w:color w:val="000000"/>
                <w:sz w:val="20"/>
                <w:lang w:val="pl-PL"/>
              </w:rPr>
              <w:t>48 172</w:t>
            </w:r>
          </w:p>
        </w:tc>
        <w:tc>
          <w:tcPr>
            <w:tcW w:w="1206" w:type="dxa"/>
            <w:tcBorders>
              <w:top w:val="single" w:sz="4" w:space="0" w:color="auto"/>
              <w:left w:val="nil"/>
              <w:bottom w:val="single" w:sz="4" w:space="0" w:color="auto"/>
              <w:right w:val="nil"/>
            </w:tcBorders>
            <w:vAlign w:val="center"/>
          </w:tcPr>
          <w:p w:rsidR="00D106A3" w:rsidRPr="00765C97" w:rsidRDefault="00D106A3" w:rsidP="00D106A3">
            <w:pPr>
              <w:framePr w:hSpace="141" w:wrap="around" w:vAnchor="text" w:hAnchor="text" w:x="38" w:y="1"/>
              <w:ind w:right="180"/>
              <w:jc w:val="right"/>
              <w:rPr>
                <w:rFonts w:ascii="Arial" w:hAnsi="Arial"/>
                <w:b/>
                <w:color w:val="000000"/>
                <w:sz w:val="20"/>
                <w:lang w:val="pl-PL"/>
              </w:rPr>
            </w:pPr>
            <w:r w:rsidRPr="00765C97">
              <w:rPr>
                <w:rFonts w:ascii="Arial" w:hAnsi="Arial"/>
                <w:b/>
                <w:color w:val="000000"/>
                <w:sz w:val="20"/>
                <w:lang w:val="pl-PL"/>
              </w:rPr>
              <w:t>50 276</w:t>
            </w:r>
          </w:p>
        </w:tc>
      </w:tr>
      <w:tr w:rsidR="00D106A3" w:rsidRPr="00765C97" w:rsidTr="00DC24A6">
        <w:trPr>
          <w:trHeight w:val="255"/>
        </w:trPr>
        <w:tc>
          <w:tcPr>
            <w:tcW w:w="6096" w:type="dxa"/>
            <w:tcBorders>
              <w:top w:val="nil"/>
              <w:left w:val="nil"/>
              <w:right w:val="nil"/>
            </w:tcBorders>
            <w:vAlign w:val="center"/>
          </w:tcPr>
          <w:p w:rsidR="00D106A3" w:rsidRPr="00765C97" w:rsidRDefault="00D106A3" w:rsidP="00D106A3">
            <w:pPr>
              <w:framePr w:hSpace="141" w:wrap="around" w:vAnchor="text" w:hAnchor="text" w:x="38" w:y="1"/>
              <w:ind w:left="142" w:hanging="142"/>
              <w:rPr>
                <w:rFonts w:ascii="Arial" w:hAnsi="Arial"/>
                <w:i/>
                <w:color w:val="000000"/>
                <w:spacing w:val="-1"/>
                <w:sz w:val="18"/>
                <w:szCs w:val="18"/>
                <w:lang w:val="pl-PL"/>
              </w:rPr>
            </w:pPr>
            <w:r w:rsidRPr="00765C97">
              <w:rPr>
                <w:rFonts w:ascii="Arial" w:hAnsi="Arial"/>
                <w:i/>
                <w:color w:val="000000"/>
                <w:spacing w:val="-1"/>
                <w:sz w:val="18"/>
                <w:szCs w:val="18"/>
                <w:lang w:val="pl-PL"/>
              </w:rPr>
              <w:t xml:space="preserve"> - odniesione na kapitał</w:t>
            </w:r>
          </w:p>
        </w:tc>
        <w:tc>
          <w:tcPr>
            <w:tcW w:w="1206" w:type="dxa"/>
            <w:tcBorders>
              <w:top w:val="single" w:sz="4" w:space="0" w:color="auto"/>
              <w:left w:val="nil"/>
              <w:right w:val="nil"/>
            </w:tcBorders>
            <w:vAlign w:val="center"/>
          </w:tcPr>
          <w:p w:rsidR="00D106A3" w:rsidRPr="00765C97" w:rsidRDefault="00D106A3" w:rsidP="00D106A3">
            <w:pPr>
              <w:framePr w:hSpace="141" w:wrap="around" w:vAnchor="text" w:hAnchor="text" w:x="38" w:y="1"/>
              <w:ind w:right="180"/>
              <w:jc w:val="right"/>
              <w:rPr>
                <w:rFonts w:ascii="Arial" w:hAnsi="Arial"/>
                <w:i/>
                <w:color w:val="000000"/>
                <w:sz w:val="18"/>
                <w:szCs w:val="18"/>
                <w:lang w:val="pl-PL"/>
              </w:rPr>
            </w:pPr>
            <w:r w:rsidRPr="00765C97">
              <w:rPr>
                <w:rFonts w:ascii="Arial" w:hAnsi="Arial"/>
                <w:i/>
                <w:color w:val="000000"/>
                <w:sz w:val="18"/>
                <w:szCs w:val="18"/>
                <w:lang w:val="pl-PL"/>
              </w:rPr>
              <w:t>5 430</w:t>
            </w:r>
          </w:p>
        </w:tc>
        <w:tc>
          <w:tcPr>
            <w:tcW w:w="1206" w:type="dxa"/>
            <w:tcBorders>
              <w:top w:val="single" w:sz="4" w:space="0" w:color="auto"/>
              <w:left w:val="nil"/>
              <w:right w:val="nil"/>
            </w:tcBorders>
            <w:vAlign w:val="center"/>
          </w:tcPr>
          <w:p w:rsidR="00D106A3" w:rsidRPr="00765C97" w:rsidRDefault="00D106A3" w:rsidP="00D106A3">
            <w:pPr>
              <w:framePr w:hSpace="141" w:wrap="around" w:vAnchor="text" w:hAnchor="text" w:x="38" w:y="1"/>
              <w:ind w:right="180"/>
              <w:jc w:val="right"/>
              <w:rPr>
                <w:rFonts w:ascii="Arial" w:hAnsi="Arial"/>
                <w:i/>
                <w:color w:val="000000"/>
                <w:sz w:val="18"/>
                <w:szCs w:val="18"/>
                <w:lang w:val="pl-PL"/>
              </w:rPr>
            </w:pPr>
            <w:r w:rsidRPr="00765C97">
              <w:rPr>
                <w:rFonts w:ascii="Arial" w:hAnsi="Arial"/>
                <w:i/>
                <w:color w:val="000000"/>
                <w:sz w:val="18"/>
                <w:szCs w:val="18"/>
                <w:lang w:val="pl-PL"/>
              </w:rPr>
              <w:t>5 430</w:t>
            </w:r>
          </w:p>
        </w:tc>
      </w:tr>
      <w:tr w:rsidR="00D106A3" w:rsidRPr="00765C97" w:rsidTr="00DC24A6">
        <w:trPr>
          <w:trHeight w:val="255"/>
        </w:trPr>
        <w:tc>
          <w:tcPr>
            <w:tcW w:w="6096" w:type="dxa"/>
            <w:tcBorders>
              <w:top w:val="nil"/>
              <w:left w:val="nil"/>
              <w:right w:val="nil"/>
            </w:tcBorders>
            <w:vAlign w:val="center"/>
          </w:tcPr>
          <w:p w:rsidR="00D106A3" w:rsidRPr="00765C97" w:rsidRDefault="00D106A3" w:rsidP="00D106A3">
            <w:pPr>
              <w:framePr w:hSpace="141" w:wrap="around" w:vAnchor="text" w:hAnchor="text" w:x="38" w:y="1"/>
              <w:ind w:left="142" w:hanging="142"/>
              <w:rPr>
                <w:rFonts w:ascii="Arial" w:hAnsi="Arial"/>
                <w:i/>
                <w:color w:val="000000"/>
                <w:spacing w:val="-1"/>
                <w:sz w:val="18"/>
                <w:szCs w:val="18"/>
                <w:lang w:val="pl-PL"/>
              </w:rPr>
            </w:pPr>
            <w:r w:rsidRPr="00765C97">
              <w:rPr>
                <w:rFonts w:ascii="Arial" w:hAnsi="Arial"/>
                <w:i/>
                <w:color w:val="000000"/>
                <w:spacing w:val="-1"/>
                <w:sz w:val="18"/>
                <w:szCs w:val="18"/>
                <w:lang w:val="pl-PL"/>
              </w:rPr>
              <w:t xml:space="preserve"> - odniesione na wynik finansowy</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i/>
                <w:color w:val="000000"/>
                <w:sz w:val="18"/>
                <w:szCs w:val="18"/>
                <w:lang w:val="pl-PL"/>
              </w:rPr>
            </w:pPr>
            <w:r w:rsidRPr="00765C97">
              <w:rPr>
                <w:rFonts w:ascii="Arial" w:hAnsi="Arial"/>
                <w:i/>
                <w:color w:val="000000"/>
                <w:sz w:val="18"/>
                <w:szCs w:val="18"/>
                <w:lang w:val="pl-PL"/>
              </w:rPr>
              <w:t>34 759</w:t>
            </w:r>
          </w:p>
        </w:tc>
        <w:tc>
          <w:tcPr>
            <w:tcW w:w="1206" w:type="dxa"/>
            <w:tcBorders>
              <w:left w:val="nil"/>
              <w:right w:val="nil"/>
            </w:tcBorders>
            <w:vAlign w:val="center"/>
          </w:tcPr>
          <w:p w:rsidR="00D106A3" w:rsidRPr="00765C97" w:rsidRDefault="00D106A3" w:rsidP="00D106A3">
            <w:pPr>
              <w:framePr w:hSpace="141" w:wrap="around" w:vAnchor="text" w:hAnchor="text" w:x="38" w:y="1"/>
              <w:ind w:right="180"/>
              <w:jc w:val="right"/>
              <w:rPr>
                <w:rFonts w:ascii="Arial" w:hAnsi="Arial"/>
                <w:i/>
                <w:color w:val="000000"/>
                <w:sz w:val="18"/>
                <w:szCs w:val="18"/>
                <w:lang w:val="pl-PL"/>
              </w:rPr>
            </w:pPr>
            <w:r w:rsidRPr="00765C97">
              <w:rPr>
                <w:rFonts w:ascii="Arial" w:hAnsi="Arial"/>
                <w:i/>
                <w:color w:val="000000"/>
                <w:sz w:val="18"/>
                <w:szCs w:val="18"/>
                <w:lang w:val="pl-PL"/>
              </w:rPr>
              <w:t>34 019</w:t>
            </w:r>
          </w:p>
        </w:tc>
      </w:tr>
      <w:tr w:rsidR="00D106A3" w:rsidRPr="00765C97" w:rsidTr="00DC24A6">
        <w:trPr>
          <w:trHeight w:val="255"/>
        </w:trPr>
        <w:tc>
          <w:tcPr>
            <w:tcW w:w="6096" w:type="dxa"/>
            <w:tcBorders>
              <w:top w:val="nil"/>
              <w:left w:val="nil"/>
              <w:right w:val="nil"/>
            </w:tcBorders>
            <w:vAlign w:val="center"/>
          </w:tcPr>
          <w:p w:rsidR="00D106A3" w:rsidRPr="00765C97" w:rsidRDefault="00D106A3" w:rsidP="00D106A3">
            <w:pPr>
              <w:framePr w:hSpace="141" w:wrap="around" w:vAnchor="text" w:hAnchor="text" w:x="38" w:y="1"/>
              <w:ind w:left="142" w:hanging="142"/>
              <w:rPr>
                <w:rFonts w:ascii="Arial" w:hAnsi="Arial"/>
                <w:i/>
                <w:color w:val="000000"/>
                <w:spacing w:val="-1"/>
                <w:sz w:val="18"/>
                <w:szCs w:val="18"/>
                <w:lang w:val="pl-PL"/>
              </w:rPr>
            </w:pPr>
            <w:r w:rsidRPr="00765C97">
              <w:rPr>
                <w:rFonts w:ascii="Arial" w:hAnsi="Arial"/>
                <w:i/>
                <w:color w:val="000000"/>
                <w:spacing w:val="-1"/>
                <w:sz w:val="18"/>
                <w:szCs w:val="18"/>
                <w:lang w:val="pl-PL"/>
              </w:rPr>
              <w:t xml:space="preserve"> - rezerwa z tytułu nabycia Comarch SuB</w:t>
            </w:r>
          </w:p>
        </w:tc>
        <w:tc>
          <w:tcPr>
            <w:tcW w:w="1206" w:type="dxa"/>
            <w:tcBorders>
              <w:left w:val="nil"/>
              <w:right w:val="nil"/>
            </w:tcBorders>
            <w:vAlign w:val="center"/>
          </w:tcPr>
          <w:p w:rsidR="00D106A3" w:rsidRPr="00765C97" w:rsidRDefault="00D106A3" w:rsidP="00D106A3">
            <w:pPr>
              <w:framePr w:hSpace="141" w:wrap="around" w:vAnchor="text" w:hAnchor="text" w:x="38" w:y="1"/>
              <w:tabs>
                <w:tab w:val="left" w:pos="1040"/>
              </w:tabs>
              <w:ind w:right="180"/>
              <w:jc w:val="right"/>
              <w:rPr>
                <w:rFonts w:ascii="Arial" w:hAnsi="Arial"/>
                <w:i/>
                <w:color w:val="000000"/>
                <w:sz w:val="18"/>
                <w:szCs w:val="18"/>
                <w:lang w:val="pl-PL"/>
              </w:rPr>
            </w:pPr>
            <w:r w:rsidRPr="00765C97">
              <w:rPr>
                <w:rFonts w:ascii="Arial" w:hAnsi="Arial"/>
                <w:i/>
                <w:color w:val="000000"/>
                <w:sz w:val="18"/>
                <w:szCs w:val="18"/>
                <w:lang w:val="pl-PL"/>
              </w:rPr>
              <w:t>7 983</w:t>
            </w:r>
          </w:p>
        </w:tc>
        <w:tc>
          <w:tcPr>
            <w:tcW w:w="1206" w:type="dxa"/>
            <w:tcBorders>
              <w:left w:val="nil"/>
              <w:right w:val="nil"/>
            </w:tcBorders>
            <w:vAlign w:val="center"/>
          </w:tcPr>
          <w:p w:rsidR="00D106A3" w:rsidRPr="00765C97" w:rsidRDefault="00D106A3" w:rsidP="00D106A3">
            <w:pPr>
              <w:framePr w:hSpace="141" w:wrap="around" w:vAnchor="text" w:hAnchor="text" w:x="38" w:y="1"/>
              <w:tabs>
                <w:tab w:val="left" w:pos="1040"/>
              </w:tabs>
              <w:ind w:right="180"/>
              <w:jc w:val="right"/>
              <w:rPr>
                <w:rFonts w:ascii="Arial" w:hAnsi="Arial"/>
                <w:i/>
                <w:color w:val="000000"/>
                <w:sz w:val="18"/>
                <w:szCs w:val="18"/>
                <w:lang w:val="pl-PL"/>
              </w:rPr>
            </w:pPr>
            <w:r w:rsidRPr="00765C97">
              <w:rPr>
                <w:rFonts w:ascii="Arial" w:hAnsi="Arial"/>
                <w:i/>
                <w:color w:val="000000"/>
                <w:sz w:val="18"/>
                <w:szCs w:val="18"/>
                <w:lang w:val="pl-PL"/>
              </w:rPr>
              <w:t>10 827</w:t>
            </w:r>
          </w:p>
        </w:tc>
      </w:tr>
      <w:tr w:rsidR="00D106A3" w:rsidRPr="00F346A4" w:rsidTr="00DC24A6">
        <w:trPr>
          <w:trHeight w:val="255"/>
        </w:trPr>
        <w:tc>
          <w:tcPr>
            <w:tcW w:w="6096" w:type="dxa"/>
            <w:tcBorders>
              <w:top w:val="nil"/>
              <w:left w:val="nil"/>
              <w:right w:val="nil"/>
            </w:tcBorders>
            <w:vAlign w:val="center"/>
          </w:tcPr>
          <w:p w:rsidR="00D106A3" w:rsidRPr="00765C97" w:rsidRDefault="00D106A3" w:rsidP="00D106A3">
            <w:pPr>
              <w:framePr w:hSpace="141" w:wrap="around" w:vAnchor="text" w:hAnchor="text" w:x="38" w:y="1"/>
              <w:ind w:left="142" w:hanging="142"/>
              <w:rPr>
                <w:rFonts w:ascii="Arial" w:hAnsi="Arial"/>
                <w:b/>
                <w:color w:val="000000"/>
                <w:spacing w:val="-1"/>
                <w:sz w:val="20"/>
                <w:lang w:val="pl-PL"/>
              </w:rPr>
            </w:pPr>
          </w:p>
          <w:p w:rsidR="00D106A3" w:rsidRPr="00765C97" w:rsidRDefault="00D106A3" w:rsidP="00D106A3">
            <w:pPr>
              <w:framePr w:hSpace="141" w:wrap="around" w:vAnchor="text" w:hAnchor="text" w:x="38" w:y="1"/>
              <w:ind w:left="142" w:hanging="142"/>
              <w:rPr>
                <w:rFonts w:ascii="Arial" w:hAnsi="Arial"/>
                <w:b/>
                <w:color w:val="000000"/>
                <w:spacing w:val="-1"/>
                <w:sz w:val="20"/>
                <w:lang w:val="pl-PL"/>
              </w:rPr>
            </w:pPr>
            <w:r w:rsidRPr="00765C97">
              <w:rPr>
                <w:rFonts w:ascii="Arial" w:hAnsi="Arial"/>
                <w:b/>
                <w:color w:val="000000"/>
                <w:spacing w:val="-1"/>
                <w:sz w:val="20"/>
                <w:lang w:val="pl-PL"/>
              </w:rPr>
              <w:t>Zmiany rezerw z tytułu podatku odroczonego odniesione na wynik finansowy</w:t>
            </w:r>
          </w:p>
        </w:tc>
        <w:tc>
          <w:tcPr>
            <w:tcW w:w="1206" w:type="dxa"/>
            <w:tcBorders>
              <w:left w:val="nil"/>
              <w:right w:val="nil"/>
            </w:tcBorders>
            <w:vAlign w:val="center"/>
          </w:tcPr>
          <w:p w:rsidR="00D106A3" w:rsidRPr="00765C97" w:rsidRDefault="00D106A3" w:rsidP="00D106A3">
            <w:pPr>
              <w:framePr w:hSpace="141" w:wrap="around" w:vAnchor="text" w:hAnchor="text" w:x="38" w:y="1"/>
              <w:tabs>
                <w:tab w:val="left" w:pos="1040"/>
              </w:tabs>
              <w:ind w:right="180"/>
              <w:jc w:val="right"/>
              <w:rPr>
                <w:rFonts w:ascii="Arial" w:hAnsi="Arial"/>
                <w:color w:val="000000"/>
                <w:sz w:val="20"/>
                <w:lang w:val="pl-PL"/>
              </w:rPr>
            </w:pPr>
          </w:p>
        </w:tc>
        <w:tc>
          <w:tcPr>
            <w:tcW w:w="1206" w:type="dxa"/>
            <w:tcBorders>
              <w:left w:val="nil"/>
              <w:right w:val="nil"/>
            </w:tcBorders>
            <w:vAlign w:val="center"/>
          </w:tcPr>
          <w:p w:rsidR="00D106A3" w:rsidRPr="00765C97" w:rsidRDefault="00D106A3" w:rsidP="00D106A3">
            <w:pPr>
              <w:framePr w:hSpace="141" w:wrap="around" w:vAnchor="text" w:hAnchor="text" w:x="38" w:y="1"/>
              <w:tabs>
                <w:tab w:val="left" w:pos="1040"/>
              </w:tabs>
              <w:ind w:right="180"/>
              <w:jc w:val="right"/>
              <w:rPr>
                <w:rFonts w:ascii="Arial" w:hAnsi="Arial"/>
                <w:color w:val="000000"/>
                <w:sz w:val="20"/>
                <w:lang w:val="pl-PL"/>
              </w:rPr>
            </w:pPr>
          </w:p>
        </w:tc>
      </w:tr>
      <w:tr w:rsidR="00756E00" w:rsidRPr="00765C97" w:rsidTr="00DC24A6">
        <w:trPr>
          <w:trHeight w:val="255"/>
        </w:trPr>
        <w:tc>
          <w:tcPr>
            <w:tcW w:w="6096" w:type="dxa"/>
            <w:tcBorders>
              <w:top w:val="nil"/>
              <w:left w:val="nil"/>
              <w:right w:val="nil"/>
            </w:tcBorders>
            <w:vAlign w:val="center"/>
          </w:tcPr>
          <w:p w:rsidR="00756E00" w:rsidRPr="00765C97" w:rsidRDefault="00756E00" w:rsidP="00756E00">
            <w:pPr>
              <w:framePr w:hSpace="141" w:wrap="around" w:vAnchor="text" w:hAnchor="text" w:x="38" w:y="1"/>
              <w:ind w:left="142" w:hanging="142"/>
              <w:rPr>
                <w:rFonts w:ascii="Arial" w:hAnsi="Arial"/>
                <w:color w:val="000000"/>
                <w:sz w:val="20"/>
                <w:lang w:val="pl-PL"/>
              </w:rPr>
            </w:pPr>
            <w:r w:rsidRPr="00765C97">
              <w:rPr>
                <w:rFonts w:ascii="Arial" w:hAnsi="Arial"/>
                <w:color w:val="000000"/>
                <w:sz w:val="20"/>
                <w:lang w:val="pl-PL"/>
              </w:rPr>
              <w:t>-utworzenie  rezerwy z tytułu amortyzacji od wyceny wartości godziwej Comarch SuB</w:t>
            </w:r>
          </w:p>
        </w:tc>
        <w:tc>
          <w:tcPr>
            <w:tcW w:w="1206" w:type="dxa"/>
            <w:tcBorders>
              <w:left w:val="nil"/>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color w:val="000000"/>
                <w:sz w:val="20"/>
                <w:lang w:val="pl-PL"/>
              </w:rPr>
            </w:pPr>
            <w:r w:rsidRPr="00765C97">
              <w:rPr>
                <w:rFonts w:ascii="Arial" w:hAnsi="Arial"/>
                <w:color w:val="000000"/>
                <w:sz w:val="20"/>
                <w:lang w:val="pl-PL"/>
              </w:rPr>
              <w:t>-</w:t>
            </w:r>
          </w:p>
        </w:tc>
        <w:tc>
          <w:tcPr>
            <w:tcW w:w="1206" w:type="dxa"/>
            <w:tcBorders>
              <w:left w:val="nil"/>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color w:val="000000"/>
                <w:sz w:val="20"/>
                <w:lang w:val="pl-PL"/>
              </w:rPr>
            </w:pPr>
            <w:r w:rsidRPr="00765C97">
              <w:rPr>
                <w:rFonts w:ascii="Arial" w:hAnsi="Arial"/>
                <w:color w:val="000000"/>
                <w:sz w:val="20"/>
                <w:lang w:val="pl-PL"/>
              </w:rPr>
              <w:t>958</w:t>
            </w:r>
          </w:p>
        </w:tc>
      </w:tr>
      <w:tr w:rsidR="00756E00" w:rsidRPr="00765C97" w:rsidTr="00DC24A6">
        <w:trPr>
          <w:trHeight w:val="255"/>
        </w:trPr>
        <w:tc>
          <w:tcPr>
            <w:tcW w:w="6096" w:type="dxa"/>
            <w:tcBorders>
              <w:top w:val="nil"/>
              <w:left w:val="nil"/>
              <w:right w:val="nil"/>
            </w:tcBorders>
            <w:vAlign w:val="center"/>
          </w:tcPr>
          <w:p w:rsidR="00756E00" w:rsidRPr="00765C97" w:rsidRDefault="00756E00" w:rsidP="00756E00">
            <w:pPr>
              <w:framePr w:hSpace="141" w:wrap="around" w:vAnchor="text" w:hAnchor="text" w:x="38" w:y="1"/>
              <w:ind w:left="142" w:hanging="142"/>
              <w:rPr>
                <w:rFonts w:ascii="Arial" w:hAnsi="Arial"/>
                <w:color w:val="000000"/>
                <w:sz w:val="20"/>
                <w:lang w:val="pl-PL"/>
              </w:rPr>
            </w:pPr>
            <w:r w:rsidRPr="00765C97">
              <w:rPr>
                <w:rFonts w:ascii="Arial" w:hAnsi="Arial"/>
                <w:color w:val="000000"/>
                <w:sz w:val="20"/>
                <w:lang w:val="pl-PL"/>
              </w:rPr>
              <w:t>- rozwiązanie rezerwy z tytułu amortyzacji od wyceny wartości godziwej Comarch SuB</w:t>
            </w:r>
          </w:p>
        </w:tc>
        <w:tc>
          <w:tcPr>
            <w:tcW w:w="1206" w:type="dxa"/>
            <w:tcBorders>
              <w:left w:val="nil"/>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color w:val="000000"/>
                <w:sz w:val="20"/>
                <w:lang w:val="pl-PL"/>
              </w:rPr>
            </w:pPr>
            <w:r w:rsidRPr="00765C97">
              <w:rPr>
                <w:rFonts w:ascii="Arial" w:hAnsi="Arial"/>
                <w:color w:val="000000"/>
                <w:sz w:val="20"/>
                <w:lang w:val="pl-PL"/>
              </w:rPr>
              <w:t>(5 286)</w:t>
            </w:r>
          </w:p>
        </w:tc>
        <w:tc>
          <w:tcPr>
            <w:tcW w:w="1206" w:type="dxa"/>
            <w:tcBorders>
              <w:left w:val="nil"/>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color w:val="000000"/>
                <w:sz w:val="20"/>
                <w:lang w:val="pl-PL"/>
              </w:rPr>
            </w:pPr>
            <w:r w:rsidRPr="00765C97">
              <w:rPr>
                <w:rFonts w:ascii="Arial" w:hAnsi="Arial"/>
                <w:color w:val="000000"/>
                <w:sz w:val="20"/>
                <w:lang w:val="pl-PL"/>
              </w:rPr>
              <w:t>(3 802)</w:t>
            </w:r>
          </w:p>
        </w:tc>
      </w:tr>
      <w:tr w:rsidR="00756E00" w:rsidRPr="00765C97" w:rsidTr="00DC24A6">
        <w:trPr>
          <w:trHeight w:val="255"/>
        </w:trPr>
        <w:tc>
          <w:tcPr>
            <w:tcW w:w="6096" w:type="dxa"/>
            <w:tcBorders>
              <w:top w:val="nil"/>
              <w:left w:val="nil"/>
              <w:right w:val="nil"/>
            </w:tcBorders>
            <w:vAlign w:val="center"/>
          </w:tcPr>
          <w:p w:rsidR="00756E00" w:rsidRPr="00765C97" w:rsidRDefault="00756E00" w:rsidP="00756E00">
            <w:pPr>
              <w:framePr w:hSpace="141" w:wrap="around" w:vAnchor="text" w:hAnchor="text" w:x="38" w:y="1"/>
              <w:ind w:left="142" w:hanging="142"/>
              <w:rPr>
                <w:rFonts w:ascii="Arial" w:hAnsi="Arial"/>
                <w:color w:val="000000"/>
                <w:sz w:val="20"/>
                <w:lang w:val="pl-PL"/>
              </w:rPr>
            </w:pPr>
            <w:r w:rsidRPr="00765C97">
              <w:rPr>
                <w:rFonts w:ascii="Arial" w:hAnsi="Arial"/>
                <w:color w:val="000000"/>
                <w:spacing w:val="-1"/>
                <w:sz w:val="20"/>
                <w:lang w:val="pl-PL"/>
              </w:rPr>
              <w:t xml:space="preserve">- rozwiązanie rezerwy z tytułu wyceny składników lokat CCF FIZ </w:t>
            </w:r>
          </w:p>
        </w:tc>
        <w:tc>
          <w:tcPr>
            <w:tcW w:w="1206" w:type="dxa"/>
            <w:tcBorders>
              <w:left w:val="nil"/>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color w:val="000000"/>
                <w:sz w:val="20"/>
                <w:lang w:val="pl-PL"/>
              </w:rPr>
            </w:pPr>
            <w:r w:rsidRPr="00765C97">
              <w:rPr>
                <w:rFonts w:ascii="Arial" w:hAnsi="Arial"/>
                <w:color w:val="000000"/>
                <w:sz w:val="20"/>
                <w:lang w:val="pl-PL"/>
              </w:rPr>
              <w:t>(2 308)</w:t>
            </w:r>
          </w:p>
        </w:tc>
        <w:tc>
          <w:tcPr>
            <w:tcW w:w="1206" w:type="dxa"/>
            <w:tcBorders>
              <w:left w:val="nil"/>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color w:val="000000"/>
                <w:sz w:val="20"/>
                <w:lang w:val="pl-PL"/>
              </w:rPr>
            </w:pPr>
            <w:r w:rsidRPr="00765C97">
              <w:rPr>
                <w:rFonts w:ascii="Arial" w:hAnsi="Arial"/>
                <w:color w:val="000000"/>
                <w:sz w:val="20"/>
                <w:lang w:val="pl-PL"/>
              </w:rPr>
              <w:t>(1 103)</w:t>
            </w:r>
          </w:p>
        </w:tc>
      </w:tr>
      <w:tr w:rsidR="00756E00" w:rsidRPr="00765C97" w:rsidTr="00DC24A6">
        <w:trPr>
          <w:trHeight w:val="255"/>
        </w:trPr>
        <w:tc>
          <w:tcPr>
            <w:tcW w:w="6096" w:type="dxa"/>
            <w:tcBorders>
              <w:top w:val="nil"/>
              <w:left w:val="nil"/>
              <w:right w:val="nil"/>
            </w:tcBorders>
            <w:vAlign w:val="center"/>
          </w:tcPr>
          <w:p w:rsidR="00756E00" w:rsidRPr="00765C97" w:rsidRDefault="00756E00" w:rsidP="00756E00">
            <w:pPr>
              <w:framePr w:hSpace="141" w:wrap="around" w:vAnchor="text" w:hAnchor="text" w:x="38" w:y="1"/>
              <w:ind w:left="142" w:hanging="142"/>
              <w:rPr>
                <w:rFonts w:ascii="Arial" w:hAnsi="Arial"/>
                <w:color w:val="000000"/>
                <w:sz w:val="20"/>
                <w:lang w:val="pl-PL"/>
              </w:rPr>
            </w:pPr>
            <w:r w:rsidRPr="00765C97">
              <w:rPr>
                <w:rFonts w:ascii="Arial" w:hAnsi="Arial"/>
                <w:color w:val="000000"/>
                <w:sz w:val="20"/>
                <w:lang w:val="pl-PL"/>
              </w:rPr>
              <w:t>- utworzenie rezerwy z tytułu wyceny wartości godziwej ESAProjekt Sp. z o.o.</w:t>
            </w:r>
          </w:p>
        </w:tc>
        <w:tc>
          <w:tcPr>
            <w:tcW w:w="1206" w:type="dxa"/>
            <w:tcBorders>
              <w:left w:val="nil"/>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color w:val="000000"/>
                <w:sz w:val="20"/>
                <w:lang w:val="pl-PL"/>
              </w:rPr>
            </w:pPr>
            <w:r w:rsidRPr="00765C97">
              <w:rPr>
                <w:rFonts w:ascii="Arial" w:hAnsi="Arial"/>
                <w:color w:val="000000"/>
                <w:sz w:val="20"/>
                <w:lang w:val="pl-PL"/>
              </w:rPr>
              <w:t>1 744</w:t>
            </w:r>
          </w:p>
        </w:tc>
        <w:tc>
          <w:tcPr>
            <w:tcW w:w="1206" w:type="dxa"/>
            <w:tcBorders>
              <w:left w:val="nil"/>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color w:val="000000"/>
                <w:sz w:val="20"/>
                <w:lang w:val="pl-PL"/>
              </w:rPr>
            </w:pPr>
            <w:r w:rsidRPr="00765C97">
              <w:rPr>
                <w:rFonts w:ascii="Arial" w:hAnsi="Arial"/>
                <w:color w:val="000000"/>
                <w:sz w:val="20"/>
                <w:lang w:val="pl-PL"/>
              </w:rPr>
              <w:t>-</w:t>
            </w:r>
          </w:p>
        </w:tc>
      </w:tr>
      <w:tr w:rsidR="00756E00" w:rsidRPr="00765C97" w:rsidTr="00DC24A6">
        <w:trPr>
          <w:trHeight w:val="255"/>
        </w:trPr>
        <w:tc>
          <w:tcPr>
            <w:tcW w:w="6096" w:type="dxa"/>
            <w:tcBorders>
              <w:top w:val="nil"/>
              <w:left w:val="nil"/>
              <w:right w:val="nil"/>
            </w:tcBorders>
            <w:vAlign w:val="center"/>
          </w:tcPr>
          <w:p w:rsidR="00756E00" w:rsidRPr="00765C97" w:rsidRDefault="00756E00" w:rsidP="00756E00">
            <w:pPr>
              <w:framePr w:hSpace="141" w:wrap="around" w:vAnchor="text" w:hAnchor="text" w:x="38" w:y="1"/>
              <w:ind w:left="142" w:hanging="142"/>
              <w:rPr>
                <w:rFonts w:ascii="Arial" w:hAnsi="Arial"/>
                <w:color w:val="000000"/>
                <w:sz w:val="20"/>
                <w:lang w:val="pl-PL"/>
              </w:rPr>
            </w:pPr>
            <w:r w:rsidRPr="00765C97">
              <w:rPr>
                <w:rFonts w:ascii="Arial" w:hAnsi="Arial"/>
                <w:color w:val="000000"/>
                <w:sz w:val="20"/>
                <w:lang w:val="pl-PL"/>
              </w:rPr>
              <w:t>- utworzenie rezerwy z tytułu wyceny wartości godziwej A-MEA Informatik AG</w:t>
            </w:r>
          </w:p>
        </w:tc>
        <w:tc>
          <w:tcPr>
            <w:tcW w:w="1206" w:type="dxa"/>
            <w:tcBorders>
              <w:left w:val="nil"/>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color w:val="000000"/>
                <w:sz w:val="20"/>
                <w:lang w:val="pl-PL"/>
              </w:rPr>
            </w:pPr>
            <w:r w:rsidRPr="00765C97">
              <w:rPr>
                <w:rFonts w:ascii="Arial" w:hAnsi="Arial"/>
                <w:color w:val="000000"/>
                <w:sz w:val="20"/>
                <w:lang w:val="pl-PL"/>
              </w:rPr>
              <w:t>429</w:t>
            </w:r>
          </w:p>
        </w:tc>
        <w:tc>
          <w:tcPr>
            <w:tcW w:w="1206" w:type="dxa"/>
            <w:tcBorders>
              <w:left w:val="nil"/>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color w:val="000000"/>
                <w:sz w:val="20"/>
                <w:lang w:val="pl-PL"/>
              </w:rPr>
            </w:pPr>
            <w:r w:rsidRPr="00765C97">
              <w:rPr>
                <w:rFonts w:ascii="Arial" w:hAnsi="Arial"/>
                <w:color w:val="000000"/>
                <w:sz w:val="20"/>
                <w:lang w:val="pl-PL"/>
              </w:rPr>
              <w:t>-</w:t>
            </w:r>
          </w:p>
        </w:tc>
      </w:tr>
      <w:tr w:rsidR="00756E00" w:rsidRPr="00765C97" w:rsidTr="00DC24A6">
        <w:trPr>
          <w:trHeight w:val="255"/>
        </w:trPr>
        <w:tc>
          <w:tcPr>
            <w:tcW w:w="6096" w:type="dxa"/>
            <w:tcBorders>
              <w:top w:val="nil"/>
              <w:left w:val="nil"/>
              <w:right w:val="nil"/>
            </w:tcBorders>
            <w:vAlign w:val="center"/>
          </w:tcPr>
          <w:p w:rsidR="00756E00" w:rsidRPr="00765C97" w:rsidRDefault="00756E00" w:rsidP="00756E00">
            <w:pPr>
              <w:framePr w:hSpace="141" w:wrap="around" w:vAnchor="text" w:hAnchor="text" w:x="38" w:y="1"/>
              <w:ind w:left="142" w:hanging="142"/>
              <w:rPr>
                <w:rFonts w:ascii="Arial" w:hAnsi="Arial"/>
                <w:color w:val="000000"/>
                <w:sz w:val="20"/>
                <w:lang w:val="pl-PL"/>
              </w:rPr>
            </w:pPr>
            <w:r w:rsidRPr="00765C97">
              <w:rPr>
                <w:rFonts w:ascii="Arial" w:hAnsi="Arial"/>
                <w:color w:val="000000"/>
                <w:sz w:val="20"/>
                <w:lang w:val="pl-PL"/>
              </w:rPr>
              <w:t>- utworzenie rezerwy z tytułu przejściowych różnic dotyczących kosztów amortyzacji, różnic kursowych i odsetek</w:t>
            </w:r>
          </w:p>
        </w:tc>
        <w:tc>
          <w:tcPr>
            <w:tcW w:w="1206" w:type="dxa"/>
            <w:tcBorders>
              <w:left w:val="nil"/>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color w:val="000000"/>
                <w:sz w:val="20"/>
                <w:lang w:val="pl-PL"/>
              </w:rPr>
            </w:pPr>
            <w:r w:rsidRPr="00765C97">
              <w:rPr>
                <w:rFonts w:ascii="Arial" w:hAnsi="Arial"/>
                <w:color w:val="000000"/>
                <w:sz w:val="20"/>
                <w:lang w:val="pl-PL"/>
              </w:rPr>
              <w:t>1 506</w:t>
            </w:r>
          </w:p>
        </w:tc>
        <w:tc>
          <w:tcPr>
            <w:tcW w:w="1206" w:type="dxa"/>
            <w:tcBorders>
              <w:left w:val="nil"/>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color w:val="000000"/>
                <w:sz w:val="20"/>
                <w:lang w:val="pl-PL"/>
              </w:rPr>
            </w:pPr>
            <w:r w:rsidRPr="00765C97">
              <w:rPr>
                <w:rFonts w:ascii="Arial" w:hAnsi="Arial"/>
                <w:color w:val="000000"/>
                <w:sz w:val="20"/>
                <w:lang w:val="pl-PL"/>
              </w:rPr>
              <w:t>3 574</w:t>
            </w:r>
          </w:p>
        </w:tc>
      </w:tr>
      <w:tr w:rsidR="00756E00" w:rsidRPr="00765C97" w:rsidTr="00DC24A6">
        <w:trPr>
          <w:trHeight w:val="255"/>
        </w:trPr>
        <w:tc>
          <w:tcPr>
            <w:tcW w:w="6096" w:type="dxa"/>
            <w:tcBorders>
              <w:top w:val="nil"/>
              <w:left w:val="nil"/>
              <w:right w:val="nil"/>
            </w:tcBorders>
            <w:vAlign w:val="center"/>
          </w:tcPr>
          <w:p w:rsidR="00756E00" w:rsidRPr="00765C97" w:rsidRDefault="00756E00" w:rsidP="00756E00">
            <w:pPr>
              <w:framePr w:hSpace="141" w:wrap="around" w:vAnchor="text" w:hAnchor="text" w:x="38" w:y="1"/>
              <w:ind w:left="142" w:hanging="142"/>
              <w:rPr>
                <w:rFonts w:ascii="Arial" w:hAnsi="Arial"/>
                <w:color w:val="000000"/>
                <w:sz w:val="20"/>
                <w:lang w:val="pl-PL"/>
              </w:rPr>
            </w:pPr>
            <w:r w:rsidRPr="00765C97">
              <w:rPr>
                <w:rFonts w:ascii="Arial" w:hAnsi="Arial"/>
                <w:color w:val="000000"/>
                <w:sz w:val="20"/>
                <w:lang w:val="pl-PL"/>
              </w:rPr>
              <w:t>- rozwiązanie  rezerwy z tytułu przejściowych różnic dotyczących kosztów amortyzacji, różnic kursowych i odsetek</w:t>
            </w:r>
          </w:p>
        </w:tc>
        <w:tc>
          <w:tcPr>
            <w:tcW w:w="1206" w:type="dxa"/>
            <w:tcBorders>
              <w:left w:val="nil"/>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color w:val="000000"/>
                <w:sz w:val="20"/>
                <w:lang w:val="pl-PL"/>
              </w:rPr>
            </w:pPr>
            <w:r w:rsidRPr="00765C97">
              <w:rPr>
                <w:rFonts w:ascii="Arial" w:hAnsi="Arial"/>
                <w:color w:val="000000"/>
                <w:sz w:val="20"/>
                <w:lang w:val="pl-PL"/>
              </w:rPr>
              <w:t>(2 682)</w:t>
            </w:r>
          </w:p>
        </w:tc>
        <w:tc>
          <w:tcPr>
            <w:tcW w:w="1206" w:type="dxa"/>
            <w:tcBorders>
              <w:left w:val="nil"/>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color w:val="000000"/>
                <w:sz w:val="20"/>
                <w:lang w:val="pl-PL"/>
              </w:rPr>
            </w:pPr>
            <w:r w:rsidRPr="00765C97">
              <w:rPr>
                <w:rFonts w:ascii="Arial" w:hAnsi="Arial"/>
                <w:color w:val="000000"/>
                <w:sz w:val="20"/>
                <w:lang w:val="pl-PL"/>
              </w:rPr>
              <w:t>(1 731)</w:t>
            </w:r>
          </w:p>
        </w:tc>
      </w:tr>
      <w:tr w:rsidR="00756E00" w:rsidRPr="00765C97" w:rsidTr="00DC24A6">
        <w:trPr>
          <w:trHeight w:val="255"/>
        </w:trPr>
        <w:tc>
          <w:tcPr>
            <w:tcW w:w="6096" w:type="dxa"/>
            <w:tcBorders>
              <w:left w:val="nil"/>
              <w:right w:val="nil"/>
            </w:tcBorders>
            <w:vAlign w:val="center"/>
          </w:tcPr>
          <w:p w:rsidR="00756E00" w:rsidRPr="00765C97" w:rsidRDefault="00756E00" w:rsidP="00756E00">
            <w:pPr>
              <w:framePr w:hSpace="141" w:wrap="around" w:vAnchor="text" w:hAnchor="text" w:x="38" w:y="1"/>
              <w:ind w:left="142" w:hanging="142"/>
              <w:rPr>
                <w:rFonts w:ascii="Arial" w:hAnsi="Arial"/>
                <w:b/>
                <w:color w:val="000000"/>
                <w:sz w:val="20"/>
                <w:lang w:val="pl-PL"/>
              </w:rPr>
            </w:pPr>
            <w:r w:rsidRPr="00765C97">
              <w:rPr>
                <w:rFonts w:ascii="Arial" w:hAnsi="Arial"/>
                <w:b/>
                <w:color w:val="000000"/>
                <w:sz w:val="20"/>
                <w:lang w:val="pl-PL"/>
              </w:rPr>
              <w:t>Stan na koniec okresu</w:t>
            </w:r>
          </w:p>
        </w:tc>
        <w:tc>
          <w:tcPr>
            <w:tcW w:w="1206" w:type="dxa"/>
            <w:tcBorders>
              <w:top w:val="single" w:sz="4" w:space="0" w:color="auto"/>
              <w:left w:val="nil"/>
              <w:bottom w:val="single" w:sz="4" w:space="0" w:color="auto"/>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b/>
                <w:color w:val="000000"/>
                <w:sz w:val="20"/>
                <w:lang w:val="pl-PL"/>
              </w:rPr>
            </w:pPr>
            <w:r w:rsidRPr="00765C97">
              <w:rPr>
                <w:rFonts w:ascii="Arial" w:hAnsi="Arial"/>
                <w:b/>
                <w:color w:val="000000"/>
                <w:sz w:val="20"/>
                <w:lang w:val="pl-PL"/>
              </w:rPr>
              <w:t>41 575</w:t>
            </w:r>
          </w:p>
        </w:tc>
        <w:tc>
          <w:tcPr>
            <w:tcW w:w="1206" w:type="dxa"/>
            <w:tcBorders>
              <w:top w:val="single" w:sz="4" w:space="0" w:color="auto"/>
              <w:left w:val="nil"/>
              <w:bottom w:val="single" w:sz="4" w:space="0" w:color="auto"/>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b/>
                <w:color w:val="000000"/>
                <w:sz w:val="20"/>
                <w:lang w:val="pl-PL"/>
              </w:rPr>
            </w:pPr>
            <w:r w:rsidRPr="00765C97">
              <w:rPr>
                <w:rFonts w:ascii="Arial" w:hAnsi="Arial"/>
                <w:b/>
                <w:color w:val="000000"/>
                <w:sz w:val="20"/>
                <w:lang w:val="pl-PL"/>
              </w:rPr>
              <w:t>48 172</w:t>
            </w:r>
          </w:p>
        </w:tc>
      </w:tr>
      <w:tr w:rsidR="00756E00" w:rsidRPr="00765C97" w:rsidTr="00DC24A6">
        <w:trPr>
          <w:trHeight w:val="255"/>
        </w:trPr>
        <w:tc>
          <w:tcPr>
            <w:tcW w:w="6096" w:type="dxa"/>
            <w:tcBorders>
              <w:left w:val="nil"/>
              <w:right w:val="nil"/>
            </w:tcBorders>
            <w:vAlign w:val="center"/>
          </w:tcPr>
          <w:p w:rsidR="00756E00" w:rsidRPr="00765C97" w:rsidRDefault="00756E00" w:rsidP="00756E00">
            <w:pPr>
              <w:framePr w:hSpace="141" w:wrap="around" w:vAnchor="text" w:hAnchor="text" w:x="38" w:y="1"/>
              <w:ind w:left="142" w:hanging="142"/>
              <w:rPr>
                <w:rFonts w:ascii="Arial" w:hAnsi="Arial"/>
                <w:i/>
                <w:color w:val="000000"/>
                <w:spacing w:val="-1"/>
                <w:sz w:val="18"/>
                <w:szCs w:val="18"/>
                <w:lang w:val="pl-PL"/>
              </w:rPr>
            </w:pPr>
            <w:r w:rsidRPr="00765C97">
              <w:rPr>
                <w:rFonts w:ascii="Arial" w:hAnsi="Arial"/>
                <w:i/>
                <w:color w:val="000000"/>
                <w:spacing w:val="-1"/>
                <w:sz w:val="18"/>
                <w:szCs w:val="18"/>
                <w:lang w:val="pl-PL"/>
              </w:rPr>
              <w:t xml:space="preserve"> - odniesione na kapitał</w:t>
            </w:r>
          </w:p>
        </w:tc>
        <w:tc>
          <w:tcPr>
            <w:tcW w:w="1206" w:type="dxa"/>
            <w:tcBorders>
              <w:top w:val="single" w:sz="4" w:space="0" w:color="auto"/>
              <w:left w:val="nil"/>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i/>
                <w:color w:val="000000"/>
                <w:sz w:val="18"/>
                <w:szCs w:val="18"/>
                <w:lang w:val="pl-PL"/>
              </w:rPr>
            </w:pPr>
            <w:r w:rsidRPr="00765C97">
              <w:rPr>
                <w:rFonts w:ascii="Arial" w:hAnsi="Arial"/>
                <w:i/>
                <w:color w:val="000000"/>
                <w:sz w:val="18"/>
                <w:szCs w:val="18"/>
                <w:lang w:val="pl-PL"/>
              </w:rPr>
              <w:t>5 430</w:t>
            </w:r>
          </w:p>
        </w:tc>
        <w:tc>
          <w:tcPr>
            <w:tcW w:w="1206" w:type="dxa"/>
            <w:tcBorders>
              <w:top w:val="single" w:sz="4" w:space="0" w:color="auto"/>
              <w:left w:val="nil"/>
              <w:right w:val="nil"/>
            </w:tcBorders>
            <w:vAlign w:val="center"/>
          </w:tcPr>
          <w:p w:rsidR="00756E00" w:rsidRPr="00765C97" w:rsidRDefault="00756E00" w:rsidP="00756E00">
            <w:pPr>
              <w:framePr w:hSpace="141" w:wrap="around" w:vAnchor="text" w:hAnchor="text" w:x="38" w:y="1"/>
              <w:tabs>
                <w:tab w:val="left" w:pos="1040"/>
              </w:tabs>
              <w:ind w:right="180"/>
              <w:jc w:val="right"/>
              <w:rPr>
                <w:rFonts w:ascii="Arial" w:hAnsi="Arial"/>
                <w:i/>
                <w:color w:val="000000"/>
                <w:sz w:val="18"/>
                <w:szCs w:val="18"/>
                <w:lang w:val="pl-PL"/>
              </w:rPr>
            </w:pPr>
            <w:r w:rsidRPr="00765C97">
              <w:rPr>
                <w:rFonts w:ascii="Arial" w:hAnsi="Arial"/>
                <w:i/>
                <w:color w:val="000000"/>
                <w:sz w:val="18"/>
                <w:szCs w:val="18"/>
                <w:lang w:val="pl-PL"/>
              </w:rPr>
              <w:t>5 430</w:t>
            </w:r>
          </w:p>
        </w:tc>
      </w:tr>
      <w:tr w:rsidR="00756E00" w:rsidRPr="00765C97" w:rsidTr="00DC24A6">
        <w:trPr>
          <w:trHeight w:val="255"/>
        </w:trPr>
        <w:tc>
          <w:tcPr>
            <w:tcW w:w="6096" w:type="dxa"/>
            <w:tcBorders>
              <w:left w:val="nil"/>
              <w:right w:val="nil"/>
            </w:tcBorders>
            <w:vAlign w:val="center"/>
          </w:tcPr>
          <w:p w:rsidR="00756E00" w:rsidRPr="00765C97" w:rsidRDefault="00756E00" w:rsidP="00756E00">
            <w:pPr>
              <w:framePr w:hSpace="141" w:wrap="around" w:vAnchor="text" w:hAnchor="text" w:x="38" w:y="1"/>
              <w:ind w:left="142" w:hanging="142"/>
              <w:rPr>
                <w:rFonts w:ascii="Arial" w:hAnsi="Arial"/>
                <w:i/>
                <w:color w:val="000000"/>
                <w:spacing w:val="-1"/>
                <w:sz w:val="18"/>
                <w:szCs w:val="18"/>
                <w:lang w:val="pl-PL"/>
              </w:rPr>
            </w:pPr>
            <w:r w:rsidRPr="00765C97">
              <w:rPr>
                <w:rFonts w:ascii="Arial" w:hAnsi="Arial"/>
                <w:i/>
                <w:color w:val="000000"/>
                <w:spacing w:val="-1"/>
                <w:sz w:val="18"/>
                <w:szCs w:val="18"/>
                <w:lang w:val="pl-PL"/>
              </w:rPr>
              <w:t xml:space="preserve"> - odniesione na wynik finansowy</w:t>
            </w:r>
          </w:p>
        </w:tc>
        <w:tc>
          <w:tcPr>
            <w:tcW w:w="1206" w:type="dxa"/>
            <w:tcBorders>
              <w:left w:val="nil"/>
              <w:right w:val="nil"/>
            </w:tcBorders>
            <w:vAlign w:val="center"/>
          </w:tcPr>
          <w:p w:rsidR="00756E00" w:rsidRPr="00765C97" w:rsidRDefault="00756E00" w:rsidP="00756E00">
            <w:pPr>
              <w:framePr w:hSpace="141" w:wrap="around" w:vAnchor="text" w:hAnchor="text" w:x="38" w:y="1"/>
              <w:ind w:right="180"/>
              <w:jc w:val="right"/>
              <w:rPr>
                <w:rFonts w:ascii="Arial" w:hAnsi="Arial"/>
                <w:i/>
                <w:color w:val="000000"/>
                <w:sz w:val="18"/>
                <w:szCs w:val="18"/>
                <w:lang w:val="pl-PL"/>
              </w:rPr>
            </w:pPr>
            <w:r w:rsidRPr="00765C97">
              <w:rPr>
                <w:rFonts w:ascii="Arial" w:hAnsi="Arial"/>
                <w:i/>
                <w:color w:val="000000"/>
                <w:sz w:val="18"/>
                <w:szCs w:val="18"/>
                <w:lang w:val="pl-PL"/>
              </w:rPr>
              <w:t>31 275</w:t>
            </w:r>
          </w:p>
        </w:tc>
        <w:tc>
          <w:tcPr>
            <w:tcW w:w="1206" w:type="dxa"/>
            <w:tcBorders>
              <w:left w:val="nil"/>
              <w:right w:val="nil"/>
            </w:tcBorders>
            <w:vAlign w:val="center"/>
          </w:tcPr>
          <w:p w:rsidR="00756E00" w:rsidRPr="00765C97" w:rsidRDefault="00756E00" w:rsidP="00756E00">
            <w:pPr>
              <w:framePr w:hSpace="141" w:wrap="around" w:vAnchor="text" w:hAnchor="text" w:x="38" w:y="1"/>
              <w:ind w:right="180"/>
              <w:jc w:val="right"/>
              <w:rPr>
                <w:rFonts w:ascii="Arial" w:hAnsi="Arial"/>
                <w:i/>
                <w:color w:val="000000"/>
                <w:sz w:val="18"/>
                <w:szCs w:val="18"/>
                <w:lang w:val="pl-PL"/>
              </w:rPr>
            </w:pPr>
            <w:r w:rsidRPr="00765C97">
              <w:rPr>
                <w:rFonts w:ascii="Arial" w:hAnsi="Arial"/>
                <w:i/>
                <w:color w:val="000000"/>
                <w:sz w:val="18"/>
                <w:szCs w:val="18"/>
                <w:lang w:val="pl-PL"/>
              </w:rPr>
              <w:t>34 759</w:t>
            </w:r>
          </w:p>
        </w:tc>
      </w:tr>
      <w:tr w:rsidR="00756E00" w:rsidRPr="00765C97" w:rsidTr="00DC24A6">
        <w:trPr>
          <w:trHeight w:val="255"/>
        </w:trPr>
        <w:tc>
          <w:tcPr>
            <w:tcW w:w="6096" w:type="dxa"/>
            <w:tcBorders>
              <w:left w:val="nil"/>
              <w:right w:val="nil"/>
            </w:tcBorders>
            <w:vAlign w:val="center"/>
          </w:tcPr>
          <w:p w:rsidR="00756E00" w:rsidRPr="00765C97" w:rsidRDefault="00756E00" w:rsidP="00756E00">
            <w:pPr>
              <w:framePr w:hSpace="141" w:wrap="around" w:vAnchor="text" w:hAnchor="text" w:x="38" w:y="1"/>
              <w:ind w:left="142" w:hanging="142"/>
              <w:rPr>
                <w:rFonts w:ascii="Arial" w:hAnsi="Arial"/>
                <w:i/>
                <w:color w:val="000000"/>
                <w:spacing w:val="-1"/>
                <w:sz w:val="18"/>
                <w:szCs w:val="18"/>
                <w:lang w:val="pl-PL"/>
              </w:rPr>
            </w:pPr>
            <w:r w:rsidRPr="00765C97">
              <w:rPr>
                <w:rFonts w:ascii="Arial" w:hAnsi="Arial"/>
                <w:i/>
                <w:color w:val="000000"/>
                <w:spacing w:val="-1"/>
                <w:sz w:val="18"/>
                <w:szCs w:val="18"/>
                <w:lang w:val="pl-PL"/>
              </w:rPr>
              <w:t xml:space="preserve"> - rezerwa z tytułu nabycia Comarch SuB </w:t>
            </w:r>
          </w:p>
        </w:tc>
        <w:tc>
          <w:tcPr>
            <w:tcW w:w="1206" w:type="dxa"/>
            <w:tcBorders>
              <w:left w:val="nil"/>
              <w:right w:val="nil"/>
            </w:tcBorders>
            <w:vAlign w:val="center"/>
          </w:tcPr>
          <w:p w:rsidR="00756E00" w:rsidRPr="00765C97" w:rsidRDefault="00756E00" w:rsidP="00756E00">
            <w:pPr>
              <w:framePr w:hSpace="141" w:wrap="around" w:vAnchor="text" w:hAnchor="text" w:x="38" w:y="1"/>
              <w:ind w:right="180"/>
              <w:jc w:val="right"/>
              <w:rPr>
                <w:rFonts w:ascii="Arial" w:hAnsi="Arial"/>
                <w:i/>
                <w:color w:val="000000"/>
                <w:sz w:val="18"/>
                <w:szCs w:val="18"/>
                <w:lang w:val="pl-PL"/>
              </w:rPr>
            </w:pPr>
            <w:r w:rsidRPr="00765C97">
              <w:rPr>
                <w:rFonts w:ascii="Arial" w:hAnsi="Arial"/>
                <w:i/>
                <w:color w:val="000000"/>
                <w:sz w:val="18"/>
                <w:szCs w:val="18"/>
                <w:lang w:val="pl-PL"/>
              </w:rPr>
              <w:t>2 697</w:t>
            </w:r>
          </w:p>
        </w:tc>
        <w:tc>
          <w:tcPr>
            <w:tcW w:w="1206" w:type="dxa"/>
            <w:tcBorders>
              <w:left w:val="nil"/>
              <w:right w:val="nil"/>
            </w:tcBorders>
            <w:vAlign w:val="center"/>
          </w:tcPr>
          <w:p w:rsidR="00756E00" w:rsidRPr="00765C97" w:rsidRDefault="00756E00" w:rsidP="00756E00">
            <w:pPr>
              <w:framePr w:hSpace="141" w:wrap="around" w:vAnchor="text" w:hAnchor="text" w:x="38" w:y="1"/>
              <w:ind w:right="180"/>
              <w:jc w:val="right"/>
              <w:rPr>
                <w:rFonts w:ascii="Arial" w:hAnsi="Arial"/>
                <w:i/>
                <w:color w:val="000000"/>
                <w:sz w:val="18"/>
                <w:szCs w:val="18"/>
                <w:lang w:val="pl-PL"/>
              </w:rPr>
            </w:pPr>
            <w:r w:rsidRPr="00765C97">
              <w:rPr>
                <w:rFonts w:ascii="Arial" w:hAnsi="Arial"/>
                <w:i/>
                <w:color w:val="000000"/>
                <w:sz w:val="18"/>
                <w:szCs w:val="18"/>
                <w:lang w:val="pl-PL"/>
              </w:rPr>
              <w:t>7 983</w:t>
            </w:r>
          </w:p>
        </w:tc>
      </w:tr>
      <w:tr w:rsidR="00756E00" w:rsidRPr="00765C97" w:rsidTr="00DC24A6">
        <w:trPr>
          <w:trHeight w:val="255"/>
        </w:trPr>
        <w:tc>
          <w:tcPr>
            <w:tcW w:w="6096" w:type="dxa"/>
            <w:tcBorders>
              <w:left w:val="nil"/>
              <w:right w:val="nil"/>
            </w:tcBorders>
            <w:vAlign w:val="center"/>
          </w:tcPr>
          <w:p w:rsidR="00756E00" w:rsidRPr="00765C97" w:rsidRDefault="00756E00" w:rsidP="00756E00">
            <w:pPr>
              <w:framePr w:hSpace="141" w:wrap="around" w:vAnchor="text" w:hAnchor="text" w:x="38" w:y="1"/>
              <w:ind w:left="142" w:hanging="142"/>
              <w:rPr>
                <w:rFonts w:ascii="Arial" w:hAnsi="Arial"/>
                <w:i/>
                <w:color w:val="000000"/>
                <w:spacing w:val="-1"/>
                <w:sz w:val="18"/>
                <w:szCs w:val="18"/>
                <w:lang w:val="pl-PL"/>
              </w:rPr>
            </w:pPr>
            <w:r w:rsidRPr="00765C97">
              <w:rPr>
                <w:rFonts w:ascii="Arial" w:hAnsi="Arial"/>
                <w:i/>
                <w:color w:val="000000"/>
                <w:spacing w:val="-1"/>
                <w:sz w:val="18"/>
                <w:szCs w:val="18"/>
                <w:lang w:val="pl-PL"/>
              </w:rPr>
              <w:t xml:space="preserve"> - rezerwa z tytułu nabycia A-MEA Informatik AG i ESAProjekt Sp. z o.o.</w:t>
            </w:r>
          </w:p>
        </w:tc>
        <w:tc>
          <w:tcPr>
            <w:tcW w:w="1206" w:type="dxa"/>
            <w:tcBorders>
              <w:left w:val="nil"/>
              <w:right w:val="nil"/>
            </w:tcBorders>
            <w:vAlign w:val="center"/>
          </w:tcPr>
          <w:p w:rsidR="00756E00" w:rsidRPr="00765C97" w:rsidRDefault="00756E00" w:rsidP="00756E00">
            <w:pPr>
              <w:framePr w:hSpace="141" w:wrap="around" w:vAnchor="text" w:hAnchor="text" w:x="38" w:y="1"/>
              <w:ind w:right="180"/>
              <w:jc w:val="right"/>
              <w:rPr>
                <w:rFonts w:ascii="Arial" w:hAnsi="Arial"/>
                <w:i/>
                <w:color w:val="000000"/>
                <w:sz w:val="18"/>
                <w:szCs w:val="18"/>
                <w:lang w:val="pl-PL"/>
              </w:rPr>
            </w:pPr>
            <w:r w:rsidRPr="00765C97">
              <w:rPr>
                <w:rFonts w:ascii="Arial" w:hAnsi="Arial"/>
                <w:i/>
                <w:color w:val="000000"/>
                <w:sz w:val="18"/>
                <w:szCs w:val="18"/>
                <w:lang w:val="pl-PL"/>
              </w:rPr>
              <w:t>2 173</w:t>
            </w:r>
          </w:p>
        </w:tc>
        <w:tc>
          <w:tcPr>
            <w:tcW w:w="1206" w:type="dxa"/>
            <w:tcBorders>
              <w:left w:val="nil"/>
              <w:right w:val="nil"/>
            </w:tcBorders>
            <w:vAlign w:val="center"/>
          </w:tcPr>
          <w:p w:rsidR="00756E00" w:rsidRPr="00765C97" w:rsidRDefault="00756E00" w:rsidP="00756E00">
            <w:pPr>
              <w:framePr w:hSpace="141" w:wrap="around" w:vAnchor="text" w:hAnchor="text" w:x="38" w:y="1"/>
              <w:ind w:right="180"/>
              <w:jc w:val="right"/>
              <w:rPr>
                <w:rFonts w:ascii="Arial" w:hAnsi="Arial"/>
                <w:i/>
                <w:color w:val="000000"/>
                <w:sz w:val="18"/>
                <w:szCs w:val="18"/>
                <w:lang w:val="pl-PL"/>
              </w:rPr>
            </w:pPr>
            <w:r w:rsidRPr="00765C97">
              <w:rPr>
                <w:rFonts w:ascii="Arial" w:hAnsi="Arial"/>
                <w:i/>
                <w:color w:val="000000"/>
                <w:sz w:val="18"/>
                <w:szCs w:val="18"/>
                <w:lang w:val="pl-PL"/>
              </w:rPr>
              <w:t>-</w:t>
            </w:r>
          </w:p>
        </w:tc>
      </w:tr>
    </w:tbl>
    <w:p w:rsidR="00B24DA9" w:rsidRPr="00765C97" w:rsidRDefault="00B24DA9">
      <w:pPr>
        <w:pStyle w:val="Style1"/>
        <w:adjustRightInd/>
        <w:ind w:left="180"/>
        <w:rPr>
          <w:rFonts w:ascii="Arial" w:hAnsi="Arial"/>
          <w:lang w:val="pl-PL"/>
        </w:rPr>
      </w:pPr>
    </w:p>
    <w:tbl>
      <w:tblPr>
        <w:tblW w:w="0" w:type="auto"/>
        <w:tblLayout w:type="fixed"/>
        <w:tblCellMar>
          <w:left w:w="0" w:type="dxa"/>
          <w:right w:w="0" w:type="dxa"/>
        </w:tblCellMar>
        <w:tblLook w:val="0000"/>
      </w:tblPr>
      <w:tblGrid>
        <w:gridCol w:w="8364"/>
      </w:tblGrid>
      <w:tr w:rsidR="00B24DA9" w:rsidRPr="00F346A4">
        <w:trPr>
          <w:trHeight w:val="345"/>
        </w:trPr>
        <w:tc>
          <w:tcPr>
            <w:tcW w:w="8364" w:type="dxa"/>
            <w:tcBorders>
              <w:left w:val="nil"/>
              <w:right w:val="nil"/>
            </w:tcBorders>
            <w:vAlign w:val="center"/>
          </w:tcPr>
          <w:p w:rsidR="00B24DA9" w:rsidRPr="00765C97" w:rsidRDefault="00B24DA9" w:rsidP="00D24515">
            <w:pPr>
              <w:framePr w:hSpace="141" w:wrap="around" w:vAnchor="text" w:hAnchor="text" w:x="180" w:y="1"/>
              <w:ind w:right="142"/>
              <w:rPr>
                <w:rFonts w:ascii="Arial" w:hAnsi="Arial"/>
                <w:b/>
                <w:sz w:val="20"/>
                <w:lang w:val="pl-PL"/>
              </w:rPr>
            </w:pPr>
            <w:r w:rsidRPr="00765C97">
              <w:rPr>
                <w:rFonts w:ascii="Arial" w:hAnsi="Arial"/>
                <w:b/>
                <w:spacing w:val="10"/>
                <w:sz w:val="20"/>
                <w:lang w:val="pl-PL"/>
              </w:rPr>
              <w:t>Aktyw</w:t>
            </w:r>
            <w:r w:rsidR="00D24515" w:rsidRPr="00765C97">
              <w:rPr>
                <w:rFonts w:ascii="Arial" w:hAnsi="Arial"/>
                <w:b/>
                <w:spacing w:val="10"/>
                <w:sz w:val="20"/>
                <w:lang w:val="pl-PL"/>
              </w:rPr>
              <w:t>a</w:t>
            </w:r>
            <w:r w:rsidRPr="00765C97">
              <w:rPr>
                <w:rFonts w:ascii="Arial" w:hAnsi="Arial"/>
                <w:b/>
                <w:spacing w:val="10"/>
                <w:sz w:val="20"/>
                <w:lang w:val="pl-PL"/>
              </w:rPr>
              <w:t xml:space="preserve"> z tytułu podatku odroczonego</w:t>
            </w:r>
          </w:p>
        </w:tc>
      </w:tr>
    </w:tbl>
    <w:p w:rsidR="00FB0896" w:rsidRPr="00765C97" w:rsidRDefault="00FB0896" w:rsidP="00FB0896">
      <w:pPr>
        <w:rPr>
          <w:vanish/>
          <w:lang w:val="pl-PL"/>
        </w:rPr>
      </w:pPr>
    </w:p>
    <w:tbl>
      <w:tblPr>
        <w:tblW w:w="0" w:type="auto"/>
        <w:tblInd w:w="70" w:type="dxa"/>
        <w:tblLayout w:type="fixed"/>
        <w:tblCellMar>
          <w:left w:w="70" w:type="dxa"/>
          <w:right w:w="70" w:type="dxa"/>
        </w:tblCellMar>
        <w:tblLook w:val="01E0"/>
      </w:tblPr>
      <w:tblGrid>
        <w:gridCol w:w="1843"/>
        <w:gridCol w:w="1134"/>
        <w:gridCol w:w="1275"/>
        <w:gridCol w:w="1418"/>
        <w:gridCol w:w="1843"/>
        <w:gridCol w:w="992"/>
      </w:tblGrid>
      <w:tr w:rsidR="00717C77" w:rsidRPr="00765C97" w:rsidTr="00176428">
        <w:trPr>
          <w:trHeight w:val="255"/>
        </w:trPr>
        <w:tc>
          <w:tcPr>
            <w:tcW w:w="1843" w:type="dxa"/>
          </w:tcPr>
          <w:p w:rsidR="00717C77" w:rsidRPr="00765C97" w:rsidRDefault="00717C77" w:rsidP="00C404B6">
            <w:pPr>
              <w:pStyle w:val="Style1"/>
              <w:adjustRightInd/>
              <w:ind w:right="-108"/>
              <w:rPr>
                <w:rFonts w:ascii="Arial" w:hAnsi="Arial"/>
                <w:b/>
                <w:lang w:val="pl-PL"/>
              </w:rPr>
            </w:pPr>
          </w:p>
        </w:tc>
        <w:tc>
          <w:tcPr>
            <w:tcW w:w="1134" w:type="dxa"/>
            <w:vAlign w:val="center"/>
          </w:tcPr>
          <w:p w:rsidR="00717C77" w:rsidRPr="00765C97" w:rsidRDefault="00717C77" w:rsidP="00C404B6">
            <w:pPr>
              <w:pStyle w:val="Style1"/>
              <w:adjustRightInd/>
              <w:ind w:left="-108"/>
              <w:jc w:val="right"/>
              <w:rPr>
                <w:rFonts w:ascii="Arial" w:hAnsi="Arial"/>
                <w:b/>
                <w:sz w:val="18"/>
                <w:szCs w:val="18"/>
                <w:lang w:val="pl-PL"/>
              </w:rPr>
            </w:pPr>
            <w:r w:rsidRPr="00765C97">
              <w:rPr>
                <w:rFonts w:ascii="Arial" w:hAnsi="Arial"/>
                <w:b/>
                <w:sz w:val="18"/>
                <w:szCs w:val="18"/>
                <w:lang w:val="pl-PL"/>
              </w:rPr>
              <w:t>Aktywo z tytułu straty podatkowej</w:t>
            </w:r>
          </w:p>
        </w:tc>
        <w:tc>
          <w:tcPr>
            <w:tcW w:w="1275" w:type="dxa"/>
            <w:vAlign w:val="center"/>
          </w:tcPr>
          <w:p w:rsidR="00717C77" w:rsidRPr="00765C97" w:rsidRDefault="00717C77" w:rsidP="00C404B6">
            <w:pPr>
              <w:pStyle w:val="Style1"/>
              <w:adjustRightInd/>
              <w:ind w:left="-108"/>
              <w:jc w:val="right"/>
              <w:rPr>
                <w:rFonts w:ascii="Arial" w:hAnsi="Arial"/>
                <w:b/>
                <w:sz w:val="18"/>
                <w:szCs w:val="18"/>
                <w:lang w:val="pl-PL"/>
              </w:rPr>
            </w:pPr>
            <w:r w:rsidRPr="00765C97">
              <w:rPr>
                <w:rFonts w:ascii="Arial" w:hAnsi="Arial"/>
                <w:b/>
                <w:sz w:val="18"/>
                <w:szCs w:val="18"/>
                <w:lang w:val="pl-PL"/>
              </w:rPr>
              <w:t>Amortyzacja</w:t>
            </w:r>
          </w:p>
        </w:tc>
        <w:tc>
          <w:tcPr>
            <w:tcW w:w="1418" w:type="dxa"/>
            <w:vAlign w:val="center"/>
          </w:tcPr>
          <w:p w:rsidR="00717C77" w:rsidRPr="00765C97" w:rsidRDefault="00717C77" w:rsidP="00C404B6">
            <w:pPr>
              <w:pStyle w:val="Style1"/>
              <w:adjustRightInd/>
              <w:ind w:left="-108"/>
              <w:jc w:val="right"/>
              <w:rPr>
                <w:rFonts w:ascii="Arial" w:hAnsi="Arial"/>
                <w:b/>
                <w:sz w:val="18"/>
                <w:szCs w:val="18"/>
                <w:lang w:val="pl-PL"/>
              </w:rPr>
            </w:pPr>
            <w:r w:rsidRPr="00765C97">
              <w:rPr>
                <w:rFonts w:ascii="Arial" w:hAnsi="Arial"/>
                <w:b/>
                <w:sz w:val="18"/>
                <w:szCs w:val="18"/>
                <w:lang w:val="pl-PL"/>
              </w:rPr>
              <w:t>Rezerwy na koszty, odpisy aktualizacyjne</w:t>
            </w:r>
          </w:p>
        </w:tc>
        <w:tc>
          <w:tcPr>
            <w:tcW w:w="1843" w:type="dxa"/>
            <w:vAlign w:val="center"/>
          </w:tcPr>
          <w:p w:rsidR="00717C77" w:rsidRPr="00765C97" w:rsidRDefault="00717C77" w:rsidP="00C404B6">
            <w:pPr>
              <w:pStyle w:val="Style1"/>
              <w:adjustRightInd/>
              <w:ind w:left="-250" w:firstLine="142"/>
              <w:jc w:val="right"/>
              <w:rPr>
                <w:rFonts w:ascii="Arial" w:hAnsi="Arial"/>
                <w:b/>
                <w:sz w:val="18"/>
                <w:szCs w:val="18"/>
                <w:lang w:val="pl-PL"/>
              </w:rPr>
            </w:pPr>
            <w:r w:rsidRPr="00765C97">
              <w:rPr>
                <w:rFonts w:ascii="Arial" w:hAnsi="Arial"/>
                <w:b/>
                <w:sz w:val="18"/>
                <w:szCs w:val="18"/>
                <w:lang w:val="pl-PL"/>
              </w:rPr>
              <w:t xml:space="preserve">Aktywo z tytułu ulgi podatkowej </w:t>
            </w:r>
          </w:p>
          <w:p w:rsidR="00717C77" w:rsidRPr="00765C97" w:rsidRDefault="00717C77" w:rsidP="00C404B6">
            <w:pPr>
              <w:pStyle w:val="Style1"/>
              <w:adjustRightInd/>
              <w:ind w:left="-250" w:firstLine="142"/>
              <w:jc w:val="right"/>
              <w:rPr>
                <w:rFonts w:ascii="Arial" w:hAnsi="Arial"/>
                <w:b/>
                <w:sz w:val="18"/>
                <w:szCs w:val="18"/>
                <w:lang w:val="pl-PL"/>
              </w:rPr>
            </w:pPr>
            <w:r w:rsidRPr="00765C97">
              <w:rPr>
                <w:rFonts w:ascii="Arial" w:hAnsi="Arial"/>
                <w:b/>
                <w:sz w:val="18"/>
                <w:szCs w:val="18"/>
                <w:lang w:val="pl-PL"/>
              </w:rPr>
              <w:t>w podatku dochodowym (SSE)</w:t>
            </w:r>
          </w:p>
        </w:tc>
        <w:tc>
          <w:tcPr>
            <w:tcW w:w="992" w:type="dxa"/>
            <w:vAlign w:val="center"/>
          </w:tcPr>
          <w:p w:rsidR="00717C77" w:rsidRPr="00765C97" w:rsidRDefault="00717C77" w:rsidP="00C404B6">
            <w:pPr>
              <w:pStyle w:val="Style1"/>
              <w:adjustRightInd/>
              <w:ind w:left="-108"/>
              <w:jc w:val="right"/>
              <w:rPr>
                <w:rFonts w:ascii="Arial" w:hAnsi="Arial"/>
                <w:b/>
                <w:sz w:val="18"/>
                <w:szCs w:val="18"/>
                <w:lang w:val="pl-PL"/>
              </w:rPr>
            </w:pPr>
            <w:r w:rsidRPr="00765C97">
              <w:rPr>
                <w:rFonts w:ascii="Arial" w:hAnsi="Arial"/>
                <w:b/>
                <w:sz w:val="18"/>
                <w:szCs w:val="18"/>
                <w:lang w:val="pl-PL"/>
              </w:rPr>
              <w:t>Razem</w:t>
            </w:r>
          </w:p>
        </w:tc>
      </w:tr>
      <w:tr w:rsidR="002F633C" w:rsidRPr="00765C97" w:rsidTr="00176428">
        <w:trPr>
          <w:trHeight w:val="255"/>
        </w:trPr>
        <w:tc>
          <w:tcPr>
            <w:tcW w:w="1843" w:type="dxa"/>
          </w:tcPr>
          <w:p w:rsidR="002F633C" w:rsidRPr="00765C97" w:rsidRDefault="002F633C" w:rsidP="00C404B6">
            <w:pPr>
              <w:pStyle w:val="Style1"/>
              <w:adjustRightInd/>
              <w:ind w:right="-108"/>
              <w:rPr>
                <w:rFonts w:ascii="Arial" w:hAnsi="Arial"/>
                <w:b/>
                <w:sz w:val="18"/>
                <w:szCs w:val="18"/>
                <w:lang w:val="pl-PL"/>
              </w:rPr>
            </w:pPr>
            <w:r w:rsidRPr="00765C97">
              <w:rPr>
                <w:rFonts w:ascii="Arial" w:hAnsi="Arial"/>
                <w:b/>
                <w:sz w:val="18"/>
                <w:szCs w:val="18"/>
                <w:lang w:val="pl-PL"/>
              </w:rPr>
              <w:t xml:space="preserve">Stan na </w:t>
            </w:r>
          </w:p>
          <w:p w:rsidR="002F633C" w:rsidRPr="00765C97" w:rsidRDefault="002F633C" w:rsidP="00C404B6">
            <w:pPr>
              <w:pStyle w:val="Style1"/>
              <w:adjustRightInd/>
              <w:ind w:right="-108"/>
              <w:rPr>
                <w:rFonts w:ascii="Arial" w:hAnsi="Arial"/>
                <w:b/>
                <w:sz w:val="18"/>
                <w:szCs w:val="18"/>
                <w:lang w:val="pl-PL"/>
              </w:rPr>
            </w:pPr>
            <w:r w:rsidRPr="00765C97">
              <w:rPr>
                <w:rFonts w:ascii="Arial" w:hAnsi="Arial"/>
                <w:b/>
                <w:sz w:val="18"/>
                <w:szCs w:val="18"/>
                <w:lang w:val="pl-PL"/>
              </w:rPr>
              <w:t xml:space="preserve">1 stycznia </w:t>
            </w:r>
          </w:p>
          <w:p w:rsidR="002F633C" w:rsidRPr="00765C97" w:rsidRDefault="002F633C" w:rsidP="002F633C">
            <w:pPr>
              <w:pStyle w:val="Style1"/>
              <w:adjustRightInd/>
              <w:ind w:right="-108"/>
              <w:rPr>
                <w:rFonts w:ascii="Arial" w:hAnsi="Arial"/>
                <w:b/>
                <w:sz w:val="18"/>
                <w:szCs w:val="18"/>
                <w:lang w:val="pl-PL"/>
              </w:rPr>
            </w:pPr>
            <w:r w:rsidRPr="00765C97">
              <w:rPr>
                <w:rFonts w:ascii="Arial" w:hAnsi="Arial"/>
                <w:b/>
                <w:sz w:val="18"/>
                <w:szCs w:val="18"/>
                <w:lang w:val="pl-PL"/>
              </w:rPr>
              <w:t>2011 r.</w:t>
            </w:r>
          </w:p>
        </w:tc>
        <w:tc>
          <w:tcPr>
            <w:tcW w:w="1134" w:type="dxa"/>
            <w:vAlign w:val="center"/>
          </w:tcPr>
          <w:p w:rsidR="002F633C" w:rsidRPr="00765C97" w:rsidRDefault="002F633C" w:rsidP="009652C1">
            <w:pPr>
              <w:pStyle w:val="Style1"/>
              <w:adjustRightInd/>
              <w:jc w:val="right"/>
              <w:rPr>
                <w:rFonts w:ascii="Arial" w:hAnsi="Arial"/>
                <w:b/>
                <w:lang w:val="pl-PL"/>
              </w:rPr>
            </w:pPr>
            <w:r w:rsidRPr="00765C97">
              <w:rPr>
                <w:rFonts w:ascii="Arial" w:hAnsi="Arial"/>
                <w:b/>
                <w:lang w:val="pl-PL"/>
              </w:rPr>
              <w:t>11 406</w:t>
            </w:r>
          </w:p>
        </w:tc>
        <w:tc>
          <w:tcPr>
            <w:tcW w:w="1275" w:type="dxa"/>
            <w:vAlign w:val="center"/>
          </w:tcPr>
          <w:p w:rsidR="002F633C" w:rsidRPr="00765C97" w:rsidRDefault="002F633C" w:rsidP="009652C1">
            <w:pPr>
              <w:pStyle w:val="Style1"/>
              <w:adjustRightInd/>
              <w:jc w:val="right"/>
              <w:rPr>
                <w:rFonts w:ascii="Arial" w:hAnsi="Arial"/>
                <w:b/>
                <w:lang w:val="pl-PL"/>
              </w:rPr>
            </w:pPr>
            <w:r w:rsidRPr="00765C97">
              <w:rPr>
                <w:rFonts w:ascii="Arial" w:hAnsi="Arial"/>
                <w:b/>
                <w:lang w:val="pl-PL"/>
              </w:rPr>
              <w:t>-</w:t>
            </w:r>
          </w:p>
        </w:tc>
        <w:tc>
          <w:tcPr>
            <w:tcW w:w="1418" w:type="dxa"/>
            <w:vAlign w:val="center"/>
          </w:tcPr>
          <w:p w:rsidR="002F633C" w:rsidRPr="00765C97" w:rsidRDefault="002F633C" w:rsidP="009652C1">
            <w:pPr>
              <w:pStyle w:val="Style1"/>
              <w:adjustRightInd/>
              <w:jc w:val="right"/>
              <w:rPr>
                <w:rFonts w:ascii="Arial" w:hAnsi="Arial"/>
                <w:b/>
                <w:lang w:val="pl-PL"/>
              </w:rPr>
            </w:pPr>
            <w:r w:rsidRPr="00765C97">
              <w:rPr>
                <w:rFonts w:ascii="Arial" w:hAnsi="Arial"/>
                <w:b/>
                <w:lang w:val="pl-PL"/>
              </w:rPr>
              <w:t>2 684</w:t>
            </w:r>
          </w:p>
        </w:tc>
        <w:tc>
          <w:tcPr>
            <w:tcW w:w="1843" w:type="dxa"/>
            <w:vAlign w:val="center"/>
          </w:tcPr>
          <w:p w:rsidR="002F633C" w:rsidRPr="00765C97" w:rsidRDefault="002F633C" w:rsidP="009652C1">
            <w:pPr>
              <w:pStyle w:val="Style1"/>
              <w:adjustRightInd/>
              <w:jc w:val="right"/>
              <w:rPr>
                <w:rFonts w:ascii="Arial" w:hAnsi="Arial"/>
                <w:b/>
                <w:lang w:val="pl-PL"/>
              </w:rPr>
            </w:pPr>
            <w:r w:rsidRPr="00765C97">
              <w:rPr>
                <w:rFonts w:ascii="Arial" w:hAnsi="Arial"/>
                <w:b/>
                <w:lang w:val="pl-PL"/>
              </w:rPr>
              <w:t>9 635</w:t>
            </w:r>
          </w:p>
        </w:tc>
        <w:tc>
          <w:tcPr>
            <w:tcW w:w="992" w:type="dxa"/>
            <w:vAlign w:val="center"/>
          </w:tcPr>
          <w:p w:rsidR="002F633C" w:rsidRPr="00765C97" w:rsidRDefault="002F633C" w:rsidP="009652C1">
            <w:pPr>
              <w:pStyle w:val="Style1"/>
              <w:adjustRightInd/>
              <w:ind w:left="-108"/>
              <w:jc w:val="right"/>
              <w:rPr>
                <w:rFonts w:ascii="Arial" w:hAnsi="Arial"/>
                <w:b/>
                <w:lang w:val="pl-PL"/>
              </w:rPr>
            </w:pPr>
            <w:r w:rsidRPr="00765C97">
              <w:rPr>
                <w:rFonts w:ascii="Arial" w:hAnsi="Arial"/>
                <w:b/>
                <w:lang w:val="pl-PL"/>
              </w:rPr>
              <w:t>23 725</w:t>
            </w:r>
          </w:p>
        </w:tc>
      </w:tr>
      <w:tr w:rsidR="002F633C" w:rsidRPr="00765C97" w:rsidTr="00176428">
        <w:trPr>
          <w:trHeight w:val="255"/>
        </w:trPr>
        <w:tc>
          <w:tcPr>
            <w:tcW w:w="1843" w:type="dxa"/>
          </w:tcPr>
          <w:p w:rsidR="002F633C" w:rsidRPr="00765C97" w:rsidRDefault="002F633C" w:rsidP="00C404B6">
            <w:pPr>
              <w:pStyle w:val="Style1"/>
              <w:adjustRightInd/>
              <w:ind w:right="-108"/>
              <w:rPr>
                <w:rFonts w:ascii="Arial" w:hAnsi="Arial"/>
                <w:i/>
                <w:sz w:val="16"/>
                <w:szCs w:val="16"/>
                <w:lang w:val="pl-PL"/>
              </w:rPr>
            </w:pPr>
            <w:r w:rsidRPr="00765C97">
              <w:rPr>
                <w:rFonts w:ascii="Arial" w:hAnsi="Arial"/>
                <w:i/>
                <w:sz w:val="16"/>
                <w:szCs w:val="16"/>
                <w:lang w:val="pl-PL"/>
              </w:rPr>
              <w:t>-odniesionych na wynik</w:t>
            </w:r>
          </w:p>
        </w:tc>
        <w:tc>
          <w:tcPr>
            <w:tcW w:w="1134" w:type="dxa"/>
            <w:vAlign w:val="center"/>
          </w:tcPr>
          <w:p w:rsidR="002F633C" w:rsidRPr="00765C97" w:rsidRDefault="00485117" w:rsidP="00613C9A">
            <w:pPr>
              <w:pStyle w:val="Style1"/>
              <w:adjustRightInd/>
              <w:jc w:val="right"/>
              <w:rPr>
                <w:rFonts w:ascii="Arial" w:hAnsi="Arial"/>
                <w:i/>
                <w:sz w:val="16"/>
                <w:szCs w:val="16"/>
                <w:lang w:val="pl-PL"/>
              </w:rPr>
            </w:pPr>
            <w:r w:rsidRPr="00765C97">
              <w:rPr>
                <w:rFonts w:ascii="Arial" w:hAnsi="Arial"/>
                <w:i/>
                <w:sz w:val="16"/>
                <w:szCs w:val="16"/>
                <w:lang w:val="pl-PL"/>
              </w:rPr>
              <w:t>11 406</w:t>
            </w:r>
          </w:p>
        </w:tc>
        <w:tc>
          <w:tcPr>
            <w:tcW w:w="1275" w:type="dxa"/>
            <w:vAlign w:val="center"/>
          </w:tcPr>
          <w:p w:rsidR="002F633C" w:rsidRPr="00765C97" w:rsidRDefault="00485117" w:rsidP="00613C9A">
            <w:pPr>
              <w:pStyle w:val="Style1"/>
              <w:adjustRightInd/>
              <w:jc w:val="right"/>
              <w:rPr>
                <w:rFonts w:ascii="Arial" w:hAnsi="Arial"/>
                <w:i/>
                <w:sz w:val="16"/>
                <w:szCs w:val="16"/>
                <w:lang w:val="pl-PL"/>
              </w:rPr>
            </w:pPr>
            <w:r w:rsidRPr="00765C97">
              <w:rPr>
                <w:rFonts w:ascii="Arial" w:hAnsi="Arial"/>
                <w:i/>
                <w:sz w:val="16"/>
                <w:szCs w:val="16"/>
                <w:lang w:val="pl-PL"/>
              </w:rPr>
              <w:t>-</w:t>
            </w:r>
          </w:p>
        </w:tc>
        <w:tc>
          <w:tcPr>
            <w:tcW w:w="1418" w:type="dxa"/>
            <w:vAlign w:val="center"/>
          </w:tcPr>
          <w:p w:rsidR="002F633C" w:rsidRPr="00765C97" w:rsidRDefault="00485117" w:rsidP="00613C9A">
            <w:pPr>
              <w:pStyle w:val="Style1"/>
              <w:adjustRightInd/>
              <w:jc w:val="right"/>
              <w:rPr>
                <w:rFonts w:ascii="Arial" w:hAnsi="Arial"/>
                <w:i/>
                <w:sz w:val="16"/>
                <w:szCs w:val="16"/>
                <w:lang w:val="pl-PL"/>
              </w:rPr>
            </w:pPr>
            <w:r w:rsidRPr="00765C97">
              <w:rPr>
                <w:rFonts w:ascii="Arial" w:hAnsi="Arial"/>
                <w:i/>
                <w:sz w:val="16"/>
                <w:szCs w:val="16"/>
                <w:lang w:val="pl-PL"/>
              </w:rPr>
              <w:t>2 684</w:t>
            </w:r>
          </w:p>
        </w:tc>
        <w:tc>
          <w:tcPr>
            <w:tcW w:w="1843" w:type="dxa"/>
            <w:vAlign w:val="center"/>
          </w:tcPr>
          <w:p w:rsidR="002F633C" w:rsidRPr="00765C97" w:rsidRDefault="00485117" w:rsidP="00613C9A">
            <w:pPr>
              <w:pStyle w:val="Style1"/>
              <w:adjustRightInd/>
              <w:jc w:val="right"/>
              <w:rPr>
                <w:rFonts w:ascii="Arial" w:hAnsi="Arial"/>
                <w:i/>
                <w:sz w:val="16"/>
                <w:szCs w:val="16"/>
                <w:lang w:val="pl-PL"/>
              </w:rPr>
            </w:pPr>
            <w:r w:rsidRPr="00765C97">
              <w:rPr>
                <w:rFonts w:ascii="Arial" w:hAnsi="Arial"/>
                <w:i/>
                <w:sz w:val="16"/>
                <w:szCs w:val="16"/>
                <w:lang w:val="pl-PL"/>
              </w:rPr>
              <w:t>9 635</w:t>
            </w:r>
          </w:p>
        </w:tc>
        <w:tc>
          <w:tcPr>
            <w:tcW w:w="992" w:type="dxa"/>
            <w:vAlign w:val="center"/>
          </w:tcPr>
          <w:p w:rsidR="002F633C" w:rsidRPr="00765C97" w:rsidRDefault="00485117" w:rsidP="00613C9A">
            <w:pPr>
              <w:pStyle w:val="Style1"/>
              <w:adjustRightInd/>
              <w:ind w:left="-108"/>
              <w:jc w:val="right"/>
              <w:rPr>
                <w:rFonts w:ascii="Arial" w:hAnsi="Arial"/>
                <w:i/>
                <w:sz w:val="16"/>
                <w:szCs w:val="16"/>
                <w:lang w:val="pl-PL"/>
              </w:rPr>
            </w:pPr>
            <w:r w:rsidRPr="00765C97">
              <w:rPr>
                <w:rFonts w:ascii="Arial" w:hAnsi="Arial"/>
                <w:i/>
                <w:sz w:val="16"/>
                <w:szCs w:val="16"/>
                <w:lang w:val="pl-PL"/>
              </w:rPr>
              <w:t>23 725</w:t>
            </w:r>
          </w:p>
        </w:tc>
      </w:tr>
      <w:tr w:rsidR="002F633C" w:rsidRPr="00765C97" w:rsidTr="00176428">
        <w:trPr>
          <w:trHeight w:val="255"/>
        </w:trPr>
        <w:tc>
          <w:tcPr>
            <w:tcW w:w="1843" w:type="dxa"/>
          </w:tcPr>
          <w:p w:rsidR="002F633C" w:rsidRPr="00765C97" w:rsidRDefault="002F633C" w:rsidP="00C404B6">
            <w:pPr>
              <w:pStyle w:val="Style1"/>
              <w:adjustRightInd/>
              <w:ind w:right="-108"/>
              <w:rPr>
                <w:rFonts w:ascii="Arial" w:hAnsi="Arial"/>
                <w:sz w:val="18"/>
                <w:szCs w:val="18"/>
                <w:lang w:val="pl-PL"/>
              </w:rPr>
            </w:pPr>
            <w:r w:rsidRPr="00765C97">
              <w:rPr>
                <w:rFonts w:ascii="Arial" w:hAnsi="Arial"/>
                <w:sz w:val="18"/>
                <w:szCs w:val="18"/>
                <w:lang w:val="pl-PL"/>
              </w:rPr>
              <w:t>(Obciążenie) /</w:t>
            </w:r>
          </w:p>
          <w:p w:rsidR="002F633C" w:rsidRPr="00765C97" w:rsidRDefault="002F633C" w:rsidP="002F633C">
            <w:pPr>
              <w:pStyle w:val="Style1"/>
              <w:adjustRightInd/>
              <w:ind w:right="-108"/>
              <w:rPr>
                <w:rFonts w:ascii="Arial" w:hAnsi="Arial"/>
                <w:sz w:val="18"/>
                <w:szCs w:val="18"/>
                <w:lang w:val="pl-PL"/>
              </w:rPr>
            </w:pPr>
            <w:r w:rsidRPr="00765C97">
              <w:rPr>
                <w:rFonts w:ascii="Arial" w:hAnsi="Arial"/>
                <w:sz w:val="18"/>
                <w:szCs w:val="18"/>
                <w:lang w:val="pl-PL"/>
              </w:rPr>
              <w:t>uznanie wyniku za rok 2011</w:t>
            </w:r>
          </w:p>
        </w:tc>
        <w:tc>
          <w:tcPr>
            <w:tcW w:w="1134" w:type="dxa"/>
            <w:tcBorders>
              <w:bottom w:val="single" w:sz="4" w:space="0" w:color="auto"/>
            </w:tcBorders>
            <w:vAlign w:val="center"/>
          </w:tcPr>
          <w:p w:rsidR="002F633C" w:rsidRPr="00765C97" w:rsidRDefault="002F633C" w:rsidP="009652C1">
            <w:pPr>
              <w:pStyle w:val="Style1"/>
              <w:adjustRightInd/>
              <w:jc w:val="right"/>
              <w:rPr>
                <w:rFonts w:ascii="Arial" w:hAnsi="Arial"/>
                <w:lang w:val="pl-PL"/>
              </w:rPr>
            </w:pPr>
            <w:r w:rsidRPr="00765C97">
              <w:rPr>
                <w:rFonts w:ascii="Arial" w:hAnsi="Arial"/>
                <w:lang w:val="pl-PL"/>
              </w:rPr>
              <w:t>766</w:t>
            </w:r>
          </w:p>
        </w:tc>
        <w:tc>
          <w:tcPr>
            <w:tcW w:w="1275" w:type="dxa"/>
            <w:tcBorders>
              <w:bottom w:val="single" w:sz="6" w:space="0" w:color="auto"/>
            </w:tcBorders>
            <w:vAlign w:val="center"/>
          </w:tcPr>
          <w:p w:rsidR="002F633C" w:rsidRPr="00765C97" w:rsidRDefault="002F633C" w:rsidP="009652C1">
            <w:pPr>
              <w:pStyle w:val="Style1"/>
              <w:adjustRightInd/>
              <w:jc w:val="right"/>
              <w:rPr>
                <w:rFonts w:ascii="Arial" w:hAnsi="Arial"/>
                <w:lang w:val="pl-PL"/>
              </w:rPr>
            </w:pPr>
            <w:r w:rsidRPr="00765C97">
              <w:rPr>
                <w:rFonts w:ascii="Arial" w:hAnsi="Arial"/>
                <w:lang w:val="pl-PL"/>
              </w:rPr>
              <w:t>380</w:t>
            </w:r>
          </w:p>
        </w:tc>
        <w:tc>
          <w:tcPr>
            <w:tcW w:w="1418" w:type="dxa"/>
            <w:tcBorders>
              <w:bottom w:val="single" w:sz="6" w:space="0" w:color="auto"/>
            </w:tcBorders>
            <w:vAlign w:val="center"/>
          </w:tcPr>
          <w:p w:rsidR="002F633C" w:rsidRPr="00765C97" w:rsidRDefault="002F633C" w:rsidP="009652C1">
            <w:pPr>
              <w:pStyle w:val="Style1"/>
              <w:adjustRightInd/>
              <w:jc w:val="right"/>
              <w:rPr>
                <w:rFonts w:ascii="Arial" w:hAnsi="Arial"/>
                <w:lang w:val="pl-PL"/>
              </w:rPr>
            </w:pPr>
            <w:r w:rsidRPr="00765C97">
              <w:rPr>
                <w:rFonts w:ascii="Arial" w:hAnsi="Arial"/>
                <w:lang w:val="pl-PL"/>
              </w:rPr>
              <w:t>2 635</w:t>
            </w:r>
          </w:p>
        </w:tc>
        <w:tc>
          <w:tcPr>
            <w:tcW w:w="1843" w:type="dxa"/>
            <w:tcBorders>
              <w:bottom w:val="single" w:sz="6" w:space="0" w:color="auto"/>
            </w:tcBorders>
            <w:vAlign w:val="center"/>
          </w:tcPr>
          <w:p w:rsidR="002F633C" w:rsidRPr="00765C97" w:rsidRDefault="002F633C" w:rsidP="009652C1">
            <w:pPr>
              <w:pStyle w:val="Style1"/>
              <w:adjustRightInd/>
              <w:jc w:val="right"/>
              <w:rPr>
                <w:rFonts w:ascii="Arial" w:hAnsi="Arial"/>
                <w:lang w:val="pl-PL"/>
              </w:rPr>
            </w:pPr>
            <w:r w:rsidRPr="00765C97">
              <w:rPr>
                <w:rFonts w:ascii="Arial" w:hAnsi="Arial"/>
                <w:lang w:val="pl-PL"/>
              </w:rPr>
              <w:t>269</w:t>
            </w:r>
          </w:p>
        </w:tc>
        <w:tc>
          <w:tcPr>
            <w:tcW w:w="992" w:type="dxa"/>
            <w:tcBorders>
              <w:bottom w:val="single" w:sz="6" w:space="0" w:color="auto"/>
            </w:tcBorders>
            <w:vAlign w:val="center"/>
          </w:tcPr>
          <w:p w:rsidR="002F633C" w:rsidRPr="00765C97" w:rsidRDefault="002F633C" w:rsidP="009652C1">
            <w:pPr>
              <w:pStyle w:val="Style1"/>
              <w:adjustRightInd/>
              <w:jc w:val="right"/>
              <w:rPr>
                <w:rFonts w:ascii="Arial" w:hAnsi="Arial"/>
                <w:lang w:val="pl-PL"/>
              </w:rPr>
            </w:pPr>
            <w:r w:rsidRPr="00765C97">
              <w:rPr>
                <w:rFonts w:ascii="Arial" w:hAnsi="Arial"/>
                <w:lang w:val="pl-PL"/>
              </w:rPr>
              <w:t>4 050</w:t>
            </w:r>
          </w:p>
        </w:tc>
      </w:tr>
      <w:tr w:rsidR="002F633C" w:rsidRPr="00765C97" w:rsidTr="00176428">
        <w:trPr>
          <w:trHeight w:val="255"/>
        </w:trPr>
        <w:tc>
          <w:tcPr>
            <w:tcW w:w="1843" w:type="dxa"/>
          </w:tcPr>
          <w:p w:rsidR="002F633C" w:rsidRPr="00765C97" w:rsidRDefault="002F633C" w:rsidP="00C404B6">
            <w:pPr>
              <w:pStyle w:val="Style1"/>
              <w:adjustRightInd/>
              <w:rPr>
                <w:rFonts w:ascii="Arial" w:hAnsi="Arial"/>
                <w:b/>
                <w:sz w:val="18"/>
                <w:szCs w:val="18"/>
                <w:lang w:val="pl-PL"/>
              </w:rPr>
            </w:pPr>
            <w:r w:rsidRPr="00765C97">
              <w:rPr>
                <w:rFonts w:ascii="Arial" w:hAnsi="Arial"/>
                <w:b/>
                <w:sz w:val="18"/>
                <w:szCs w:val="18"/>
                <w:lang w:val="pl-PL"/>
              </w:rPr>
              <w:t xml:space="preserve">Stan na </w:t>
            </w:r>
          </w:p>
          <w:p w:rsidR="002F633C" w:rsidRPr="00765C97" w:rsidRDefault="002F633C" w:rsidP="00C404B6">
            <w:pPr>
              <w:pStyle w:val="Style1"/>
              <w:adjustRightInd/>
              <w:ind w:right="-108"/>
              <w:rPr>
                <w:rFonts w:ascii="Arial" w:hAnsi="Arial"/>
                <w:b/>
                <w:sz w:val="18"/>
                <w:szCs w:val="18"/>
                <w:lang w:val="pl-PL"/>
              </w:rPr>
            </w:pPr>
            <w:r w:rsidRPr="00765C97">
              <w:rPr>
                <w:rFonts w:ascii="Arial" w:hAnsi="Arial"/>
                <w:b/>
                <w:sz w:val="18"/>
                <w:szCs w:val="18"/>
                <w:lang w:val="pl-PL"/>
              </w:rPr>
              <w:t xml:space="preserve">31 grudnia </w:t>
            </w:r>
          </w:p>
          <w:p w:rsidR="002F633C" w:rsidRPr="00765C97" w:rsidRDefault="002F633C" w:rsidP="002F633C">
            <w:pPr>
              <w:pStyle w:val="Style1"/>
              <w:adjustRightInd/>
              <w:ind w:right="-108"/>
              <w:rPr>
                <w:rFonts w:ascii="Arial" w:hAnsi="Arial"/>
                <w:b/>
                <w:sz w:val="18"/>
                <w:szCs w:val="18"/>
                <w:lang w:val="pl-PL"/>
              </w:rPr>
            </w:pPr>
            <w:r w:rsidRPr="00765C97">
              <w:rPr>
                <w:rFonts w:ascii="Arial" w:hAnsi="Arial"/>
                <w:b/>
                <w:sz w:val="18"/>
                <w:szCs w:val="18"/>
                <w:lang w:val="pl-PL"/>
              </w:rPr>
              <w:t>2011 r.</w:t>
            </w:r>
          </w:p>
        </w:tc>
        <w:tc>
          <w:tcPr>
            <w:tcW w:w="1134" w:type="dxa"/>
            <w:tcBorders>
              <w:top w:val="single" w:sz="4" w:space="0" w:color="auto"/>
              <w:bottom w:val="single" w:sz="4" w:space="0" w:color="auto"/>
            </w:tcBorders>
            <w:vAlign w:val="center"/>
          </w:tcPr>
          <w:p w:rsidR="002F633C" w:rsidRPr="00765C97" w:rsidRDefault="002F633C" w:rsidP="009652C1">
            <w:pPr>
              <w:pStyle w:val="Style1"/>
              <w:adjustRightInd/>
              <w:jc w:val="right"/>
              <w:rPr>
                <w:rFonts w:ascii="Arial" w:hAnsi="Arial"/>
                <w:b/>
                <w:lang w:val="pl-PL"/>
              </w:rPr>
            </w:pPr>
            <w:r w:rsidRPr="00765C97">
              <w:rPr>
                <w:rFonts w:ascii="Arial" w:hAnsi="Arial"/>
                <w:b/>
                <w:lang w:val="pl-PL"/>
              </w:rPr>
              <w:t>12 172</w:t>
            </w:r>
          </w:p>
        </w:tc>
        <w:tc>
          <w:tcPr>
            <w:tcW w:w="1275" w:type="dxa"/>
            <w:tcBorders>
              <w:top w:val="single" w:sz="6" w:space="0" w:color="auto"/>
              <w:bottom w:val="single" w:sz="6" w:space="0" w:color="auto"/>
            </w:tcBorders>
            <w:vAlign w:val="center"/>
          </w:tcPr>
          <w:p w:rsidR="002F633C" w:rsidRPr="00765C97" w:rsidRDefault="002F633C" w:rsidP="009652C1">
            <w:pPr>
              <w:pStyle w:val="Style1"/>
              <w:adjustRightInd/>
              <w:jc w:val="right"/>
              <w:rPr>
                <w:rFonts w:ascii="Arial" w:hAnsi="Arial"/>
                <w:b/>
                <w:lang w:val="pl-PL"/>
              </w:rPr>
            </w:pPr>
            <w:r w:rsidRPr="00765C97">
              <w:rPr>
                <w:rFonts w:ascii="Arial" w:hAnsi="Arial"/>
                <w:b/>
                <w:lang w:val="pl-PL"/>
              </w:rPr>
              <w:t>380</w:t>
            </w:r>
          </w:p>
        </w:tc>
        <w:tc>
          <w:tcPr>
            <w:tcW w:w="1418" w:type="dxa"/>
            <w:tcBorders>
              <w:top w:val="single" w:sz="6" w:space="0" w:color="auto"/>
              <w:bottom w:val="single" w:sz="6" w:space="0" w:color="auto"/>
            </w:tcBorders>
            <w:vAlign w:val="center"/>
          </w:tcPr>
          <w:p w:rsidR="002F633C" w:rsidRPr="00765C97" w:rsidRDefault="002F633C" w:rsidP="009652C1">
            <w:pPr>
              <w:pStyle w:val="Style1"/>
              <w:adjustRightInd/>
              <w:jc w:val="right"/>
              <w:rPr>
                <w:rFonts w:ascii="Arial" w:hAnsi="Arial"/>
                <w:b/>
                <w:lang w:val="pl-PL"/>
              </w:rPr>
            </w:pPr>
            <w:r w:rsidRPr="00765C97">
              <w:rPr>
                <w:rFonts w:ascii="Arial" w:hAnsi="Arial"/>
                <w:b/>
                <w:lang w:val="pl-PL"/>
              </w:rPr>
              <w:t>5 319</w:t>
            </w:r>
          </w:p>
        </w:tc>
        <w:tc>
          <w:tcPr>
            <w:tcW w:w="1843" w:type="dxa"/>
            <w:tcBorders>
              <w:top w:val="single" w:sz="6" w:space="0" w:color="auto"/>
              <w:bottom w:val="single" w:sz="6" w:space="0" w:color="auto"/>
            </w:tcBorders>
            <w:vAlign w:val="center"/>
          </w:tcPr>
          <w:p w:rsidR="002F633C" w:rsidRPr="00765C97" w:rsidRDefault="002F633C" w:rsidP="009652C1">
            <w:pPr>
              <w:pStyle w:val="Style1"/>
              <w:adjustRightInd/>
              <w:jc w:val="right"/>
              <w:rPr>
                <w:rFonts w:ascii="Arial" w:hAnsi="Arial"/>
                <w:b/>
                <w:lang w:val="pl-PL"/>
              </w:rPr>
            </w:pPr>
            <w:r w:rsidRPr="00765C97">
              <w:rPr>
                <w:rFonts w:ascii="Arial" w:hAnsi="Arial"/>
                <w:b/>
                <w:lang w:val="pl-PL"/>
              </w:rPr>
              <w:t>9 904</w:t>
            </w:r>
          </w:p>
        </w:tc>
        <w:tc>
          <w:tcPr>
            <w:tcW w:w="992" w:type="dxa"/>
            <w:tcBorders>
              <w:top w:val="single" w:sz="6" w:space="0" w:color="auto"/>
              <w:bottom w:val="single" w:sz="6" w:space="0" w:color="auto"/>
            </w:tcBorders>
            <w:vAlign w:val="center"/>
          </w:tcPr>
          <w:p w:rsidR="002F633C" w:rsidRPr="00765C97" w:rsidRDefault="002F633C" w:rsidP="009652C1">
            <w:pPr>
              <w:pStyle w:val="Style1"/>
              <w:adjustRightInd/>
              <w:ind w:left="-108"/>
              <w:jc w:val="right"/>
              <w:rPr>
                <w:rFonts w:ascii="Arial" w:hAnsi="Arial"/>
                <w:b/>
                <w:lang w:val="pl-PL"/>
              </w:rPr>
            </w:pPr>
            <w:r w:rsidRPr="00765C97">
              <w:rPr>
                <w:rFonts w:ascii="Arial" w:hAnsi="Arial"/>
                <w:b/>
                <w:lang w:val="pl-PL"/>
              </w:rPr>
              <w:t>27 775</w:t>
            </w:r>
          </w:p>
        </w:tc>
      </w:tr>
      <w:tr w:rsidR="002F633C" w:rsidRPr="00765C97" w:rsidTr="00176428">
        <w:trPr>
          <w:trHeight w:val="255"/>
        </w:trPr>
        <w:tc>
          <w:tcPr>
            <w:tcW w:w="1843" w:type="dxa"/>
          </w:tcPr>
          <w:p w:rsidR="00C677A6" w:rsidRPr="00765C97" w:rsidRDefault="00C677A6" w:rsidP="00C677A6">
            <w:pPr>
              <w:pStyle w:val="Style1"/>
              <w:adjustRightInd/>
              <w:ind w:right="-108"/>
              <w:rPr>
                <w:rFonts w:ascii="Arial" w:hAnsi="Arial"/>
                <w:sz w:val="18"/>
                <w:szCs w:val="18"/>
                <w:lang w:val="pl-PL"/>
              </w:rPr>
            </w:pPr>
            <w:r w:rsidRPr="00765C97">
              <w:rPr>
                <w:rFonts w:ascii="Arial" w:hAnsi="Arial"/>
                <w:sz w:val="18"/>
                <w:szCs w:val="18"/>
                <w:lang w:val="pl-PL"/>
              </w:rPr>
              <w:t>(Obciążenie) /</w:t>
            </w:r>
          </w:p>
          <w:p w:rsidR="002F633C" w:rsidRPr="00765C97" w:rsidRDefault="00C677A6" w:rsidP="00C677A6">
            <w:pPr>
              <w:pStyle w:val="Style1"/>
              <w:adjustRightInd/>
              <w:ind w:right="-108"/>
              <w:rPr>
                <w:rFonts w:ascii="Arial" w:hAnsi="Arial"/>
                <w:sz w:val="18"/>
                <w:szCs w:val="18"/>
                <w:lang w:val="pl-PL"/>
              </w:rPr>
            </w:pPr>
            <w:r w:rsidRPr="00765C97">
              <w:rPr>
                <w:rFonts w:ascii="Arial" w:hAnsi="Arial"/>
                <w:sz w:val="18"/>
                <w:szCs w:val="18"/>
                <w:lang w:val="pl-PL"/>
              </w:rPr>
              <w:t xml:space="preserve">uznanie wyniku  za </w:t>
            </w:r>
            <w:r w:rsidR="002F633C" w:rsidRPr="00765C97">
              <w:rPr>
                <w:rFonts w:ascii="Arial" w:hAnsi="Arial"/>
                <w:sz w:val="18"/>
                <w:szCs w:val="18"/>
                <w:lang w:val="pl-PL"/>
              </w:rPr>
              <w:t>rok 2012</w:t>
            </w:r>
          </w:p>
        </w:tc>
        <w:tc>
          <w:tcPr>
            <w:tcW w:w="1134" w:type="dxa"/>
            <w:tcBorders>
              <w:bottom w:val="single" w:sz="4" w:space="0" w:color="auto"/>
            </w:tcBorders>
            <w:vAlign w:val="center"/>
          </w:tcPr>
          <w:p w:rsidR="002F633C" w:rsidRPr="00765C97" w:rsidRDefault="00485117" w:rsidP="00485117">
            <w:pPr>
              <w:pStyle w:val="Style1"/>
              <w:adjustRightInd/>
              <w:jc w:val="right"/>
              <w:rPr>
                <w:rFonts w:ascii="Arial" w:hAnsi="Arial"/>
                <w:lang w:val="pl-PL"/>
              </w:rPr>
            </w:pPr>
            <w:r w:rsidRPr="00765C97">
              <w:rPr>
                <w:rFonts w:ascii="Arial" w:hAnsi="Arial"/>
                <w:lang w:val="pl-PL"/>
              </w:rPr>
              <w:t>(3 </w:t>
            </w:r>
            <w:r w:rsidR="00D756D0" w:rsidRPr="00765C97">
              <w:rPr>
                <w:rFonts w:ascii="Arial" w:hAnsi="Arial"/>
                <w:lang w:val="pl-PL"/>
              </w:rPr>
              <w:t>003</w:t>
            </w:r>
            <w:r w:rsidRPr="00765C97">
              <w:rPr>
                <w:rFonts w:ascii="Arial" w:hAnsi="Arial"/>
                <w:lang w:val="pl-PL"/>
              </w:rPr>
              <w:t>)</w:t>
            </w:r>
          </w:p>
        </w:tc>
        <w:tc>
          <w:tcPr>
            <w:tcW w:w="1275" w:type="dxa"/>
            <w:tcBorders>
              <w:bottom w:val="single" w:sz="6" w:space="0" w:color="auto"/>
            </w:tcBorders>
            <w:vAlign w:val="center"/>
          </w:tcPr>
          <w:p w:rsidR="002F633C" w:rsidRPr="00765C97" w:rsidRDefault="00485117" w:rsidP="006A3B70">
            <w:pPr>
              <w:pStyle w:val="Style1"/>
              <w:adjustRightInd/>
              <w:jc w:val="right"/>
              <w:rPr>
                <w:rFonts w:ascii="Arial" w:hAnsi="Arial"/>
                <w:lang w:val="pl-PL"/>
              </w:rPr>
            </w:pPr>
            <w:r w:rsidRPr="00765C97">
              <w:rPr>
                <w:rFonts w:ascii="Arial" w:hAnsi="Arial"/>
                <w:lang w:val="pl-PL"/>
              </w:rPr>
              <w:t>(380)</w:t>
            </w:r>
          </w:p>
        </w:tc>
        <w:tc>
          <w:tcPr>
            <w:tcW w:w="1418" w:type="dxa"/>
            <w:tcBorders>
              <w:bottom w:val="single" w:sz="6" w:space="0" w:color="auto"/>
            </w:tcBorders>
            <w:vAlign w:val="center"/>
          </w:tcPr>
          <w:p w:rsidR="002F633C" w:rsidRPr="00765C97" w:rsidRDefault="00485117" w:rsidP="005B0776">
            <w:pPr>
              <w:pStyle w:val="Style1"/>
              <w:adjustRightInd/>
              <w:jc w:val="right"/>
              <w:rPr>
                <w:rFonts w:ascii="Arial" w:hAnsi="Arial"/>
                <w:lang w:val="pl-PL"/>
              </w:rPr>
            </w:pPr>
            <w:r w:rsidRPr="00765C97">
              <w:rPr>
                <w:rFonts w:ascii="Arial" w:hAnsi="Arial"/>
                <w:lang w:val="pl-PL"/>
              </w:rPr>
              <w:t xml:space="preserve">3 </w:t>
            </w:r>
            <w:r w:rsidR="005B0776" w:rsidRPr="00765C97">
              <w:rPr>
                <w:rFonts w:ascii="Arial" w:hAnsi="Arial"/>
                <w:lang w:val="pl-PL"/>
              </w:rPr>
              <w:t>248</w:t>
            </w:r>
          </w:p>
        </w:tc>
        <w:tc>
          <w:tcPr>
            <w:tcW w:w="1843" w:type="dxa"/>
            <w:tcBorders>
              <w:bottom w:val="single" w:sz="6" w:space="0" w:color="auto"/>
            </w:tcBorders>
            <w:vAlign w:val="center"/>
          </w:tcPr>
          <w:p w:rsidR="002F633C" w:rsidRPr="00765C97" w:rsidRDefault="005B0776" w:rsidP="005B0776">
            <w:pPr>
              <w:pStyle w:val="Style1"/>
              <w:adjustRightInd/>
              <w:jc w:val="right"/>
              <w:rPr>
                <w:rFonts w:ascii="Arial" w:hAnsi="Arial"/>
                <w:lang w:val="pl-PL"/>
              </w:rPr>
            </w:pPr>
            <w:r w:rsidRPr="00765C97">
              <w:rPr>
                <w:rFonts w:ascii="Arial" w:hAnsi="Arial"/>
                <w:lang w:val="pl-PL"/>
              </w:rPr>
              <w:t>151</w:t>
            </w:r>
          </w:p>
        </w:tc>
        <w:tc>
          <w:tcPr>
            <w:tcW w:w="992" w:type="dxa"/>
            <w:tcBorders>
              <w:bottom w:val="single" w:sz="6" w:space="0" w:color="auto"/>
            </w:tcBorders>
            <w:vAlign w:val="center"/>
          </w:tcPr>
          <w:p w:rsidR="002F633C" w:rsidRPr="00765C97" w:rsidRDefault="00485117" w:rsidP="00A652FF">
            <w:pPr>
              <w:pStyle w:val="Style1"/>
              <w:adjustRightInd/>
              <w:jc w:val="right"/>
              <w:rPr>
                <w:rFonts w:ascii="Arial" w:hAnsi="Arial"/>
                <w:lang w:val="pl-PL"/>
              </w:rPr>
            </w:pPr>
            <w:r w:rsidRPr="00765C97">
              <w:rPr>
                <w:rFonts w:ascii="Arial" w:hAnsi="Arial"/>
                <w:lang w:val="pl-PL"/>
              </w:rPr>
              <w:t>1</w:t>
            </w:r>
            <w:r w:rsidR="00A652FF" w:rsidRPr="00765C97">
              <w:rPr>
                <w:rFonts w:ascii="Arial" w:hAnsi="Arial"/>
                <w:lang w:val="pl-PL"/>
              </w:rPr>
              <w:t>6</w:t>
            </w:r>
          </w:p>
        </w:tc>
      </w:tr>
      <w:tr w:rsidR="002F633C" w:rsidRPr="00765C97" w:rsidTr="00176428">
        <w:trPr>
          <w:trHeight w:val="255"/>
        </w:trPr>
        <w:tc>
          <w:tcPr>
            <w:tcW w:w="1843" w:type="dxa"/>
          </w:tcPr>
          <w:p w:rsidR="002F633C" w:rsidRPr="00765C97" w:rsidRDefault="002F633C" w:rsidP="006A3B70">
            <w:pPr>
              <w:pStyle w:val="Style1"/>
              <w:adjustRightInd/>
              <w:rPr>
                <w:rFonts w:ascii="Arial" w:hAnsi="Arial"/>
                <w:b/>
                <w:sz w:val="18"/>
                <w:szCs w:val="18"/>
                <w:lang w:val="pl-PL"/>
              </w:rPr>
            </w:pPr>
            <w:r w:rsidRPr="00765C97">
              <w:rPr>
                <w:rFonts w:ascii="Arial" w:hAnsi="Arial"/>
                <w:b/>
                <w:sz w:val="18"/>
                <w:szCs w:val="18"/>
                <w:lang w:val="pl-PL"/>
              </w:rPr>
              <w:t xml:space="preserve">Stan na </w:t>
            </w:r>
          </w:p>
          <w:p w:rsidR="002F633C" w:rsidRPr="00765C97" w:rsidRDefault="002F633C" w:rsidP="006A3B70">
            <w:pPr>
              <w:pStyle w:val="Style1"/>
              <w:adjustRightInd/>
              <w:ind w:right="-108"/>
              <w:rPr>
                <w:rFonts w:ascii="Arial" w:hAnsi="Arial"/>
                <w:b/>
                <w:sz w:val="18"/>
                <w:szCs w:val="18"/>
                <w:lang w:val="pl-PL"/>
              </w:rPr>
            </w:pPr>
            <w:r w:rsidRPr="00765C97">
              <w:rPr>
                <w:rFonts w:ascii="Arial" w:hAnsi="Arial"/>
                <w:b/>
                <w:sz w:val="18"/>
                <w:szCs w:val="18"/>
                <w:lang w:val="pl-PL"/>
              </w:rPr>
              <w:t xml:space="preserve">31 grudnia </w:t>
            </w:r>
          </w:p>
          <w:p w:rsidR="002F633C" w:rsidRPr="00765C97" w:rsidRDefault="002F633C" w:rsidP="002F633C">
            <w:pPr>
              <w:pStyle w:val="Style1"/>
              <w:adjustRightInd/>
              <w:ind w:right="-108"/>
              <w:rPr>
                <w:rFonts w:ascii="Arial" w:hAnsi="Arial"/>
                <w:b/>
                <w:sz w:val="18"/>
                <w:szCs w:val="18"/>
                <w:lang w:val="pl-PL"/>
              </w:rPr>
            </w:pPr>
            <w:r w:rsidRPr="00765C97">
              <w:rPr>
                <w:rFonts w:ascii="Arial" w:hAnsi="Arial"/>
                <w:b/>
                <w:sz w:val="18"/>
                <w:szCs w:val="18"/>
                <w:lang w:val="pl-PL"/>
              </w:rPr>
              <w:t>2012 r.</w:t>
            </w:r>
          </w:p>
        </w:tc>
        <w:tc>
          <w:tcPr>
            <w:tcW w:w="1134" w:type="dxa"/>
            <w:tcBorders>
              <w:top w:val="single" w:sz="4" w:space="0" w:color="auto"/>
              <w:bottom w:val="single" w:sz="4" w:space="0" w:color="auto"/>
            </w:tcBorders>
            <w:vAlign w:val="center"/>
          </w:tcPr>
          <w:p w:rsidR="002F633C" w:rsidRPr="00765C97" w:rsidRDefault="00485117" w:rsidP="006A3B70">
            <w:pPr>
              <w:pStyle w:val="Style1"/>
              <w:adjustRightInd/>
              <w:jc w:val="right"/>
              <w:rPr>
                <w:rFonts w:ascii="Arial" w:hAnsi="Arial"/>
                <w:b/>
                <w:lang w:val="pl-PL"/>
              </w:rPr>
            </w:pPr>
            <w:r w:rsidRPr="00765C97">
              <w:rPr>
                <w:rFonts w:ascii="Arial" w:hAnsi="Arial"/>
                <w:b/>
                <w:lang w:val="pl-PL"/>
              </w:rPr>
              <w:t>9 169</w:t>
            </w:r>
          </w:p>
        </w:tc>
        <w:tc>
          <w:tcPr>
            <w:tcW w:w="1275" w:type="dxa"/>
            <w:tcBorders>
              <w:top w:val="single" w:sz="6" w:space="0" w:color="auto"/>
              <w:bottom w:val="single" w:sz="6" w:space="0" w:color="auto"/>
            </w:tcBorders>
            <w:vAlign w:val="center"/>
          </w:tcPr>
          <w:p w:rsidR="002F633C" w:rsidRPr="00765C97" w:rsidRDefault="00485117" w:rsidP="006A3B70">
            <w:pPr>
              <w:pStyle w:val="Style1"/>
              <w:adjustRightInd/>
              <w:jc w:val="right"/>
              <w:rPr>
                <w:rFonts w:ascii="Arial" w:hAnsi="Arial"/>
                <w:b/>
                <w:lang w:val="pl-PL"/>
              </w:rPr>
            </w:pPr>
            <w:r w:rsidRPr="00765C97">
              <w:rPr>
                <w:rFonts w:ascii="Arial" w:hAnsi="Arial"/>
                <w:b/>
                <w:lang w:val="pl-PL"/>
              </w:rPr>
              <w:t>-</w:t>
            </w:r>
          </w:p>
        </w:tc>
        <w:tc>
          <w:tcPr>
            <w:tcW w:w="1418" w:type="dxa"/>
            <w:tcBorders>
              <w:top w:val="single" w:sz="6" w:space="0" w:color="auto"/>
              <w:bottom w:val="single" w:sz="6" w:space="0" w:color="auto"/>
            </w:tcBorders>
            <w:vAlign w:val="center"/>
          </w:tcPr>
          <w:p w:rsidR="002F633C" w:rsidRPr="00765C97" w:rsidRDefault="00485117" w:rsidP="00711D46">
            <w:pPr>
              <w:pStyle w:val="Style1"/>
              <w:adjustRightInd/>
              <w:jc w:val="right"/>
              <w:rPr>
                <w:rFonts w:ascii="Arial" w:hAnsi="Arial"/>
                <w:b/>
                <w:lang w:val="pl-PL"/>
              </w:rPr>
            </w:pPr>
            <w:r w:rsidRPr="00765C97">
              <w:rPr>
                <w:rFonts w:ascii="Arial" w:hAnsi="Arial"/>
                <w:b/>
                <w:lang w:val="pl-PL"/>
              </w:rPr>
              <w:t xml:space="preserve">8 </w:t>
            </w:r>
            <w:r w:rsidR="00711D46" w:rsidRPr="00765C97">
              <w:rPr>
                <w:rFonts w:ascii="Arial" w:hAnsi="Arial"/>
                <w:b/>
                <w:lang w:val="pl-PL"/>
              </w:rPr>
              <w:t>567</w:t>
            </w:r>
          </w:p>
        </w:tc>
        <w:tc>
          <w:tcPr>
            <w:tcW w:w="1843" w:type="dxa"/>
            <w:tcBorders>
              <w:top w:val="single" w:sz="6" w:space="0" w:color="auto"/>
              <w:bottom w:val="single" w:sz="6" w:space="0" w:color="auto"/>
            </w:tcBorders>
            <w:vAlign w:val="center"/>
          </w:tcPr>
          <w:p w:rsidR="002F633C" w:rsidRPr="00765C97" w:rsidRDefault="00485117" w:rsidP="00711D46">
            <w:pPr>
              <w:pStyle w:val="Style1"/>
              <w:adjustRightInd/>
              <w:jc w:val="right"/>
              <w:rPr>
                <w:rFonts w:ascii="Arial" w:hAnsi="Arial"/>
                <w:b/>
                <w:lang w:val="pl-PL"/>
              </w:rPr>
            </w:pPr>
            <w:r w:rsidRPr="00765C97">
              <w:rPr>
                <w:rFonts w:ascii="Arial" w:hAnsi="Arial"/>
                <w:b/>
                <w:lang w:val="pl-PL"/>
              </w:rPr>
              <w:t xml:space="preserve">10 </w:t>
            </w:r>
            <w:r w:rsidR="00711D46" w:rsidRPr="00765C97">
              <w:rPr>
                <w:rFonts w:ascii="Arial" w:hAnsi="Arial"/>
                <w:b/>
                <w:lang w:val="pl-PL"/>
              </w:rPr>
              <w:t>055</w:t>
            </w:r>
          </w:p>
        </w:tc>
        <w:tc>
          <w:tcPr>
            <w:tcW w:w="992" w:type="dxa"/>
            <w:tcBorders>
              <w:top w:val="single" w:sz="6" w:space="0" w:color="auto"/>
              <w:bottom w:val="single" w:sz="6" w:space="0" w:color="auto"/>
            </w:tcBorders>
            <w:vAlign w:val="center"/>
          </w:tcPr>
          <w:p w:rsidR="002F633C" w:rsidRPr="00765C97" w:rsidRDefault="00485117" w:rsidP="002B151E">
            <w:pPr>
              <w:pStyle w:val="Style1"/>
              <w:adjustRightInd/>
              <w:ind w:left="-108"/>
              <w:jc w:val="right"/>
              <w:rPr>
                <w:rFonts w:ascii="Arial" w:hAnsi="Arial"/>
                <w:b/>
                <w:lang w:val="pl-PL"/>
              </w:rPr>
            </w:pPr>
            <w:r w:rsidRPr="00765C97">
              <w:rPr>
                <w:rFonts w:ascii="Arial" w:hAnsi="Arial"/>
                <w:b/>
                <w:lang w:val="pl-PL"/>
              </w:rPr>
              <w:t>27 791</w:t>
            </w:r>
          </w:p>
        </w:tc>
      </w:tr>
      <w:tr w:rsidR="002F633C" w:rsidRPr="00765C97" w:rsidTr="00176428">
        <w:trPr>
          <w:trHeight w:val="255"/>
        </w:trPr>
        <w:tc>
          <w:tcPr>
            <w:tcW w:w="1843" w:type="dxa"/>
          </w:tcPr>
          <w:p w:rsidR="002F633C" w:rsidRPr="00765C97" w:rsidRDefault="002F633C" w:rsidP="006A3B70">
            <w:pPr>
              <w:pStyle w:val="Style1"/>
              <w:adjustRightInd/>
              <w:ind w:right="-108"/>
              <w:rPr>
                <w:rFonts w:ascii="Arial" w:hAnsi="Arial"/>
                <w:i/>
                <w:sz w:val="16"/>
                <w:szCs w:val="16"/>
                <w:lang w:val="pl-PL"/>
              </w:rPr>
            </w:pPr>
            <w:r w:rsidRPr="00765C97">
              <w:rPr>
                <w:rFonts w:ascii="Arial" w:hAnsi="Arial"/>
                <w:i/>
                <w:sz w:val="16"/>
                <w:szCs w:val="16"/>
                <w:lang w:val="pl-PL"/>
              </w:rPr>
              <w:t>-odniesionych na wynik</w:t>
            </w:r>
          </w:p>
        </w:tc>
        <w:tc>
          <w:tcPr>
            <w:tcW w:w="1134" w:type="dxa"/>
            <w:tcBorders>
              <w:top w:val="single" w:sz="4" w:space="0" w:color="auto"/>
            </w:tcBorders>
            <w:vAlign w:val="center"/>
          </w:tcPr>
          <w:p w:rsidR="002F633C" w:rsidRPr="00765C97" w:rsidRDefault="00485117" w:rsidP="00613C9A">
            <w:pPr>
              <w:pStyle w:val="Style1"/>
              <w:adjustRightInd/>
              <w:jc w:val="right"/>
              <w:rPr>
                <w:rFonts w:ascii="Arial" w:hAnsi="Arial"/>
                <w:i/>
                <w:sz w:val="16"/>
                <w:szCs w:val="16"/>
                <w:lang w:val="pl-PL"/>
              </w:rPr>
            </w:pPr>
            <w:r w:rsidRPr="00765C97">
              <w:rPr>
                <w:rFonts w:ascii="Arial" w:hAnsi="Arial"/>
                <w:i/>
                <w:sz w:val="16"/>
                <w:szCs w:val="16"/>
                <w:lang w:val="pl-PL"/>
              </w:rPr>
              <w:t>9 169</w:t>
            </w:r>
          </w:p>
        </w:tc>
        <w:tc>
          <w:tcPr>
            <w:tcW w:w="1275" w:type="dxa"/>
            <w:tcBorders>
              <w:top w:val="single" w:sz="6" w:space="0" w:color="auto"/>
            </w:tcBorders>
            <w:vAlign w:val="center"/>
          </w:tcPr>
          <w:p w:rsidR="002F633C" w:rsidRPr="00765C97" w:rsidRDefault="00485117" w:rsidP="00613C9A">
            <w:pPr>
              <w:pStyle w:val="Style1"/>
              <w:adjustRightInd/>
              <w:jc w:val="right"/>
              <w:rPr>
                <w:rFonts w:ascii="Arial" w:hAnsi="Arial"/>
                <w:i/>
                <w:sz w:val="16"/>
                <w:szCs w:val="16"/>
                <w:lang w:val="pl-PL"/>
              </w:rPr>
            </w:pPr>
            <w:r w:rsidRPr="00765C97">
              <w:rPr>
                <w:rFonts w:ascii="Arial" w:hAnsi="Arial"/>
                <w:i/>
                <w:sz w:val="16"/>
                <w:szCs w:val="16"/>
                <w:lang w:val="pl-PL"/>
              </w:rPr>
              <w:t>-</w:t>
            </w:r>
          </w:p>
        </w:tc>
        <w:tc>
          <w:tcPr>
            <w:tcW w:w="1418" w:type="dxa"/>
            <w:tcBorders>
              <w:top w:val="single" w:sz="6" w:space="0" w:color="auto"/>
            </w:tcBorders>
            <w:vAlign w:val="center"/>
          </w:tcPr>
          <w:p w:rsidR="002F633C" w:rsidRPr="00765C97" w:rsidRDefault="00485117" w:rsidP="00711D46">
            <w:pPr>
              <w:pStyle w:val="Style1"/>
              <w:adjustRightInd/>
              <w:jc w:val="right"/>
              <w:rPr>
                <w:rFonts w:ascii="Arial" w:hAnsi="Arial"/>
                <w:i/>
                <w:sz w:val="16"/>
                <w:szCs w:val="16"/>
                <w:lang w:val="pl-PL"/>
              </w:rPr>
            </w:pPr>
            <w:r w:rsidRPr="00765C97">
              <w:rPr>
                <w:rFonts w:ascii="Arial" w:hAnsi="Arial"/>
                <w:i/>
                <w:sz w:val="16"/>
                <w:szCs w:val="16"/>
                <w:lang w:val="pl-PL"/>
              </w:rPr>
              <w:t xml:space="preserve">8 </w:t>
            </w:r>
            <w:r w:rsidR="00711D46" w:rsidRPr="00765C97">
              <w:rPr>
                <w:rFonts w:ascii="Arial" w:hAnsi="Arial"/>
                <w:i/>
                <w:sz w:val="16"/>
                <w:szCs w:val="16"/>
                <w:lang w:val="pl-PL"/>
              </w:rPr>
              <w:t>567</w:t>
            </w:r>
          </w:p>
        </w:tc>
        <w:tc>
          <w:tcPr>
            <w:tcW w:w="1843" w:type="dxa"/>
            <w:tcBorders>
              <w:top w:val="single" w:sz="6" w:space="0" w:color="auto"/>
            </w:tcBorders>
            <w:vAlign w:val="center"/>
          </w:tcPr>
          <w:p w:rsidR="002F633C" w:rsidRPr="00765C97" w:rsidRDefault="00485117" w:rsidP="00711D46">
            <w:pPr>
              <w:pStyle w:val="Style1"/>
              <w:adjustRightInd/>
              <w:jc w:val="right"/>
              <w:rPr>
                <w:rFonts w:ascii="Arial" w:hAnsi="Arial"/>
                <w:i/>
                <w:sz w:val="16"/>
                <w:szCs w:val="16"/>
                <w:lang w:val="pl-PL"/>
              </w:rPr>
            </w:pPr>
            <w:r w:rsidRPr="00765C97">
              <w:rPr>
                <w:rFonts w:ascii="Arial" w:hAnsi="Arial"/>
                <w:i/>
                <w:sz w:val="16"/>
                <w:szCs w:val="16"/>
                <w:lang w:val="pl-PL"/>
              </w:rPr>
              <w:t xml:space="preserve">10 </w:t>
            </w:r>
            <w:r w:rsidR="00711D46" w:rsidRPr="00765C97">
              <w:rPr>
                <w:rFonts w:ascii="Arial" w:hAnsi="Arial"/>
                <w:i/>
                <w:sz w:val="16"/>
                <w:szCs w:val="16"/>
                <w:lang w:val="pl-PL"/>
              </w:rPr>
              <w:t>055</w:t>
            </w:r>
          </w:p>
        </w:tc>
        <w:tc>
          <w:tcPr>
            <w:tcW w:w="992" w:type="dxa"/>
            <w:tcBorders>
              <w:top w:val="single" w:sz="6" w:space="0" w:color="auto"/>
            </w:tcBorders>
            <w:vAlign w:val="center"/>
          </w:tcPr>
          <w:p w:rsidR="002F633C" w:rsidRPr="00765C97" w:rsidRDefault="00485117" w:rsidP="00613C9A">
            <w:pPr>
              <w:pStyle w:val="Style1"/>
              <w:adjustRightInd/>
              <w:ind w:left="-108"/>
              <w:jc w:val="right"/>
              <w:rPr>
                <w:rFonts w:ascii="Arial" w:hAnsi="Arial"/>
                <w:i/>
                <w:sz w:val="16"/>
                <w:szCs w:val="16"/>
                <w:lang w:val="pl-PL"/>
              </w:rPr>
            </w:pPr>
            <w:r w:rsidRPr="00765C97">
              <w:rPr>
                <w:rFonts w:ascii="Arial" w:hAnsi="Arial"/>
                <w:i/>
                <w:sz w:val="16"/>
                <w:szCs w:val="16"/>
                <w:lang w:val="pl-PL"/>
              </w:rPr>
              <w:t>27 791</w:t>
            </w:r>
          </w:p>
        </w:tc>
      </w:tr>
    </w:tbl>
    <w:p w:rsidR="00B24DA9" w:rsidRPr="00765C97" w:rsidRDefault="00B24DA9">
      <w:pPr>
        <w:rPr>
          <w:rFonts w:ascii="Arial" w:hAnsi="Arial"/>
          <w:sz w:val="20"/>
          <w:lang w:val="pl-PL"/>
        </w:rPr>
      </w:pPr>
    </w:p>
    <w:tbl>
      <w:tblPr>
        <w:tblW w:w="8645" w:type="dxa"/>
        <w:tblInd w:w="70" w:type="dxa"/>
        <w:tblLayout w:type="fixed"/>
        <w:tblCellMar>
          <w:left w:w="70" w:type="dxa"/>
          <w:right w:w="70" w:type="dxa"/>
        </w:tblCellMar>
        <w:tblLook w:val="01E0"/>
      </w:tblPr>
      <w:tblGrid>
        <w:gridCol w:w="709"/>
        <w:gridCol w:w="710"/>
        <w:gridCol w:w="992"/>
        <w:gridCol w:w="991"/>
        <w:gridCol w:w="1276"/>
        <w:gridCol w:w="931"/>
        <w:gridCol w:w="1052"/>
        <w:gridCol w:w="1134"/>
        <w:gridCol w:w="850"/>
      </w:tblGrid>
      <w:tr w:rsidR="00301D43" w:rsidRPr="00F346A4" w:rsidTr="00176428">
        <w:trPr>
          <w:trHeight w:val="255"/>
        </w:trPr>
        <w:tc>
          <w:tcPr>
            <w:tcW w:w="709" w:type="dxa"/>
          </w:tcPr>
          <w:p w:rsidR="00301D43" w:rsidRPr="00765C97" w:rsidRDefault="00301D43" w:rsidP="00C404B6">
            <w:pPr>
              <w:pStyle w:val="Style1"/>
              <w:adjustRightInd/>
              <w:rPr>
                <w:rFonts w:ascii="Arial" w:hAnsi="Arial"/>
                <w:b/>
                <w:lang w:val="pl-PL"/>
              </w:rPr>
            </w:pPr>
          </w:p>
        </w:tc>
        <w:tc>
          <w:tcPr>
            <w:tcW w:w="7936" w:type="dxa"/>
            <w:gridSpan w:val="8"/>
          </w:tcPr>
          <w:p w:rsidR="00301D43" w:rsidRPr="00765C97" w:rsidRDefault="00301D43" w:rsidP="00C404B6">
            <w:pPr>
              <w:pStyle w:val="Style1"/>
              <w:adjustRightInd/>
              <w:rPr>
                <w:rFonts w:ascii="Arial" w:hAnsi="Arial"/>
                <w:b/>
                <w:lang w:val="pl-PL"/>
              </w:rPr>
            </w:pPr>
            <w:r w:rsidRPr="00765C97">
              <w:rPr>
                <w:rFonts w:ascii="Arial" w:hAnsi="Arial"/>
                <w:b/>
                <w:lang w:val="pl-PL"/>
              </w:rPr>
              <w:t>Rezerwa z tytułu podatku odroczonego</w:t>
            </w:r>
          </w:p>
        </w:tc>
      </w:tr>
      <w:tr w:rsidR="00301D43" w:rsidRPr="00765C97" w:rsidTr="00176428">
        <w:trPr>
          <w:trHeight w:val="255"/>
        </w:trPr>
        <w:tc>
          <w:tcPr>
            <w:tcW w:w="1419" w:type="dxa"/>
            <w:gridSpan w:val="2"/>
          </w:tcPr>
          <w:p w:rsidR="00301D43" w:rsidRPr="00765C97" w:rsidRDefault="00301D43" w:rsidP="00C404B6">
            <w:pPr>
              <w:pStyle w:val="Style1"/>
              <w:adjustRightInd/>
              <w:rPr>
                <w:rFonts w:ascii="Arial" w:hAnsi="Arial"/>
                <w:b/>
                <w:sz w:val="18"/>
                <w:szCs w:val="18"/>
                <w:lang w:val="pl-PL"/>
              </w:rPr>
            </w:pPr>
          </w:p>
        </w:tc>
        <w:tc>
          <w:tcPr>
            <w:tcW w:w="992" w:type="dxa"/>
            <w:vAlign w:val="center"/>
          </w:tcPr>
          <w:p w:rsidR="00301D43" w:rsidRPr="00765C97" w:rsidRDefault="00301D43" w:rsidP="00B471FA">
            <w:pPr>
              <w:pStyle w:val="Style1"/>
              <w:adjustRightInd/>
              <w:ind w:left="-65" w:right="-69"/>
              <w:jc w:val="right"/>
              <w:rPr>
                <w:rFonts w:ascii="Arial" w:hAnsi="Arial"/>
                <w:b/>
                <w:sz w:val="18"/>
                <w:szCs w:val="18"/>
                <w:lang w:val="pl-PL"/>
              </w:rPr>
            </w:pPr>
            <w:r w:rsidRPr="00765C97">
              <w:rPr>
                <w:rFonts w:ascii="Arial" w:hAnsi="Arial"/>
                <w:b/>
                <w:sz w:val="18"/>
                <w:szCs w:val="18"/>
                <w:lang w:val="pl-PL"/>
              </w:rPr>
              <w:t>Rezerwa z tytułu wyceny w wartości składników majątku CCF FIZ</w:t>
            </w:r>
          </w:p>
        </w:tc>
        <w:tc>
          <w:tcPr>
            <w:tcW w:w="991" w:type="dxa"/>
            <w:vAlign w:val="center"/>
          </w:tcPr>
          <w:p w:rsidR="00301D43" w:rsidRPr="00765C97" w:rsidRDefault="00301D43" w:rsidP="009A4D3E">
            <w:pPr>
              <w:pStyle w:val="Style1"/>
              <w:adjustRightInd/>
              <w:ind w:left="-65"/>
              <w:jc w:val="right"/>
              <w:rPr>
                <w:rFonts w:ascii="Arial" w:hAnsi="Arial"/>
                <w:b/>
                <w:sz w:val="18"/>
                <w:szCs w:val="18"/>
                <w:lang w:val="pl-PL"/>
              </w:rPr>
            </w:pPr>
            <w:r w:rsidRPr="00765C97">
              <w:rPr>
                <w:rFonts w:ascii="Arial" w:hAnsi="Arial"/>
                <w:b/>
                <w:sz w:val="18"/>
                <w:szCs w:val="18"/>
                <w:lang w:val="pl-PL"/>
              </w:rPr>
              <w:t>Rezerwa z tytułu wyceny w wartości godziwej Comarch SuB</w:t>
            </w:r>
          </w:p>
        </w:tc>
        <w:tc>
          <w:tcPr>
            <w:tcW w:w="1276" w:type="dxa"/>
            <w:vAlign w:val="center"/>
          </w:tcPr>
          <w:p w:rsidR="00301D43" w:rsidRPr="00765C97" w:rsidRDefault="00301D43" w:rsidP="00C404B6">
            <w:pPr>
              <w:pStyle w:val="Style1"/>
              <w:adjustRightInd/>
              <w:ind w:left="-65"/>
              <w:jc w:val="right"/>
              <w:rPr>
                <w:rFonts w:ascii="Arial" w:hAnsi="Arial"/>
                <w:b/>
                <w:sz w:val="18"/>
                <w:szCs w:val="18"/>
                <w:lang w:val="pl-PL"/>
              </w:rPr>
            </w:pPr>
            <w:r w:rsidRPr="00765C97">
              <w:rPr>
                <w:rFonts w:ascii="Arial" w:hAnsi="Arial"/>
                <w:b/>
                <w:sz w:val="18"/>
                <w:szCs w:val="18"/>
                <w:lang w:val="pl-PL"/>
              </w:rPr>
              <w:t>Amortyzacja</w:t>
            </w:r>
          </w:p>
        </w:tc>
        <w:tc>
          <w:tcPr>
            <w:tcW w:w="931" w:type="dxa"/>
            <w:vAlign w:val="center"/>
          </w:tcPr>
          <w:p w:rsidR="00301D43" w:rsidRPr="00765C97" w:rsidRDefault="00301D43" w:rsidP="00C404B6">
            <w:pPr>
              <w:pStyle w:val="Style1"/>
              <w:adjustRightInd/>
              <w:ind w:left="-65"/>
              <w:jc w:val="right"/>
              <w:rPr>
                <w:rFonts w:ascii="Arial" w:hAnsi="Arial"/>
                <w:b/>
                <w:sz w:val="18"/>
                <w:szCs w:val="18"/>
                <w:lang w:val="pl-PL"/>
              </w:rPr>
            </w:pPr>
            <w:r w:rsidRPr="00765C97">
              <w:rPr>
                <w:rFonts w:ascii="Arial" w:hAnsi="Arial"/>
                <w:b/>
                <w:sz w:val="18"/>
                <w:szCs w:val="18"/>
                <w:lang w:val="pl-PL"/>
              </w:rPr>
              <w:t>Rezerwy (różnice kursowe, odsetki)</w:t>
            </w:r>
          </w:p>
        </w:tc>
        <w:tc>
          <w:tcPr>
            <w:tcW w:w="1052" w:type="dxa"/>
            <w:vAlign w:val="center"/>
          </w:tcPr>
          <w:p w:rsidR="00301D43" w:rsidRPr="00765C97" w:rsidRDefault="00301D43" w:rsidP="00C404B6">
            <w:pPr>
              <w:pStyle w:val="Style1"/>
              <w:adjustRightInd/>
              <w:ind w:left="-65"/>
              <w:jc w:val="right"/>
              <w:rPr>
                <w:rFonts w:ascii="Arial" w:hAnsi="Arial"/>
                <w:b/>
                <w:sz w:val="18"/>
                <w:szCs w:val="18"/>
                <w:lang w:val="pl-PL"/>
              </w:rPr>
            </w:pPr>
            <w:r w:rsidRPr="00765C97">
              <w:rPr>
                <w:rFonts w:ascii="Arial" w:hAnsi="Arial"/>
                <w:b/>
                <w:sz w:val="18"/>
                <w:szCs w:val="18"/>
                <w:lang w:val="pl-PL"/>
              </w:rPr>
              <w:t>Rezerwa z tytułu wyceny w wartości godziwej majątku MKS Cracovia SSA</w:t>
            </w:r>
          </w:p>
        </w:tc>
        <w:tc>
          <w:tcPr>
            <w:tcW w:w="1134" w:type="dxa"/>
          </w:tcPr>
          <w:p w:rsidR="00301D43" w:rsidRPr="00765C97" w:rsidRDefault="00301D43" w:rsidP="004531EF">
            <w:pPr>
              <w:pStyle w:val="Style1"/>
              <w:adjustRightInd/>
              <w:ind w:left="-65"/>
              <w:jc w:val="right"/>
              <w:rPr>
                <w:rFonts w:ascii="Arial" w:hAnsi="Arial"/>
                <w:b/>
                <w:sz w:val="18"/>
                <w:szCs w:val="18"/>
                <w:lang w:val="pl-PL"/>
              </w:rPr>
            </w:pPr>
            <w:r w:rsidRPr="00765C97">
              <w:rPr>
                <w:rFonts w:ascii="Arial" w:hAnsi="Arial"/>
                <w:b/>
                <w:sz w:val="18"/>
                <w:szCs w:val="18"/>
                <w:lang w:val="pl-PL"/>
              </w:rPr>
              <w:t>Rezerwa z tytułu wyceny w wartości godziwej A</w:t>
            </w:r>
            <w:r w:rsidR="004531EF" w:rsidRPr="00765C97">
              <w:rPr>
                <w:rFonts w:ascii="Arial" w:hAnsi="Arial"/>
                <w:b/>
                <w:sz w:val="18"/>
                <w:szCs w:val="18"/>
                <w:lang w:val="pl-PL"/>
              </w:rPr>
              <w:t>-</w:t>
            </w:r>
            <w:r w:rsidRPr="00765C97">
              <w:rPr>
                <w:rFonts w:ascii="Arial" w:hAnsi="Arial"/>
                <w:b/>
                <w:sz w:val="18"/>
                <w:szCs w:val="18"/>
                <w:lang w:val="pl-PL"/>
              </w:rPr>
              <w:t xml:space="preserve">MEA </w:t>
            </w:r>
            <w:r w:rsidR="00176428" w:rsidRPr="00765C97">
              <w:rPr>
                <w:rFonts w:ascii="Arial" w:hAnsi="Arial"/>
                <w:b/>
                <w:sz w:val="18"/>
                <w:szCs w:val="18"/>
                <w:lang w:val="pl-PL"/>
              </w:rPr>
              <w:t xml:space="preserve">Informatik AG </w:t>
            </w:r>
            <w:r w:rsidRPr="00765C97">
              <w:rPr>
                <w:rFonts w:ascii="Arial" w:hAnsi="Arial"/>
                <w:b/>
                <w:sz w:val="18"/>
                <w:szCs w:val="18"/>
                <w:lang w:val="pl-PL"/>
              </w:rPr>
              <w:t>i E</w:t>
            </w:r>
            <w:r w:rsidR="004531EF" w:rsidRPr="00765C97">
              <w:rPr>
                <w:rFonts w:ascii="Arial" w:hAnsi="Arial"/>
                <w:b/>
                <w:sz w:val="18"/>
                <w:szCs w:val="18"/>
                <w:lang w:val="pl-PL"/>
              </w:rPr>
              <w:t>SA</w:t>
            </w:r>
            <w:r w:rsidRPr="00765C97">
              <w:rPr>
                <w:rFonts w:ascii="Arial" w:hAnsi="Arial"/>
                <w:b/>
                <w:sz w:val="18"/>
                <w:szCs w:val="18"/>
                <w:lang w:val="pl-PL"/>
              </w:rPr>
              <w:t>Projekt</w:t>
            </w:r>
            <w:r w:rsidR="00176428" w:rsidRPr="00765C97">
              <w:rPr>
                <w:rFonts w:ascii="Arial" w:hAnsi="Arial"/>
                <w:b/>
                <w:sz w:val="18"/>
                <w:szCs w:val="18"/>
                <w:lang w:val="pl-PL"/>
              </w:rPr>
              <w:t xml:space="preserve"> Sp. z o.o.</w:t>
            </w:r>
          </w:p>
        </w:tc>
        <w:tc>
          <w:tcPr>
            <w:tcW w:w="850" w:type="dxa"/>
            <w:vAlign w:val="center"/>
          </w:tcPr>
          <w:p w:rsidR="00301D43" w:rsidRPr="00765C97" w:rsidRDefault="00301D43" w:rsidP="00C404B6">
            <w:pPr>
              <w:pStyle w:val="Style1"/>
              <w:adjustRightInd/>
              <w:ind w:left="-65"/>
              <w:jc w:val="right"/>
              <w:rPr>
                <w:rFonts w:ascii="Arial" w:hAnsi="Arial"/>
                <w:b/>
                <w:sz w:val="18"/>
                <w:szCs w:val="18"/>
                <w:lang w:val="pl-PL"/>
              </w:rPr>
            </w:pPr>
            <w:r w:rsidRPr="00765C97">
              <w:rPr>
                <w:rFonts w:ascii="Arial" w:hAnsi="Arial"/>
                <w:b/>
                <w:sz w:val="18"/>
                <w:szCs w:val="18"/>
                <w:lang w:val="pl-PL"/>
              </w:rPr>
              <w:t>Razem</w:t>
            </w:r>
          </w:p>
        </w:tc>
      </w:tr>
      <w:tr w:rsidR="00301D43" w:rsidRPr="00765C97" w:rsidTr="00176428">
        <w:trPr>
          <w:trHeight w:val="255"/>
        </w:trPr>
        <w:tc>
          <w:tcPr>
            <w:tcW w:w="1419" w:type="dxa"/>
            <w:gridSpan w:val="2"/>
          </w:tcPr>
          <w:p w:rsidR="00301D43" w:rsidRPr="00765C97" w:rsidRDefault="00301D43" w:rsidP="00593A17">
            <w:pPr>
              <w:pStyle w:val="Style1"/>
              <w:adjustRightInd/>
              <w:rPr>
                <w:rFonts w:ascii="Arial" w:hAnsi="Arial"/>
                <w:b/>
                <w:sz w:val="18"/>
                <w:szCs w:val="18"/>
                <w:lang w:val="pl-PL"/>
              </w:rPr>
            </w:pPr>
            <w:r w:rsidRPr="00765C97">
              <w:rPr>
                <w:rFonts w:ascii="Arial" w:hAnsi="Arial"/>
                <w:b/>
                <w:sz w:val="18"/>
                <w:szCs w:val="18"/>
                <w:lang w:val="pl-PL"/>
              </w:rPr>
              <w:t xml:space="preserve">Stan na </w:t>
            </w:r>
          </w:p>
          <w:p w:rsidR="00301D43" w:rsidRPr="00765C97" w:rsidRDefault="00301D43" w:rsidP="00593A17">
            <w:pPr>
              <w:pStyle w:val="Style1"/>
              <w:adjustRightInd/>
              <w:rPr>
                <w:rFonts w:ascii="Arial" w:hAnsi="Arial"/>
                <w:b/>
                <w:sz w:val="18"/>
                <w:szCs w:val="18"/>
                <w:lang w:val="pl-PL"/>
              </w:rPr>
            </w:pPr>
            <w:r w:rsidRPr="00765C97">
              <w:rPr>
                <w:rFonts w:ascii="Arial" w:hAnsi="Arial"/>
                <w:b/>
                <w:sz w:val="18"/>
                <w:szCs w:val="18"/>
                <w:lang w:val="pl-PL"/>
              </w:rPr>
              <w:t xml:space="preserve">1 stycznia </w:t>
            </w:r>
          </w:p>
          <w:p w:rsidR="00301D43" w:rsidRPr="00765C97" w:rsidRDefault="00301D43" w:rsidP="00593A17">
            <w:pPr>
              <w:pStyle w:val="Style1"/>
              <w:adjustRightInd/>
              <w:rPr>
                <w:rFonts w:ascii="Arial" w:hAnsi="Arial"/>
                <w:b/>
                <w:sz w:val="18"/>
                <w:szCs w:val="18"/>
                <w:lang w:val="pl-PL"/>
              </w:rPr>
            </w:pPr>
            <w:r w:rsidRPr="00765C97">
              <w:rPr>
                <w:rFonts w:ascii="Arial" w:hAnsi="Arial"/>
                <w:b/>
                <w:sz w:val="18"/>
                <w:szCs w:val="18"/>
                <w:lang w:val="pl-PL"/>
              </w:rPr>
              <w:t>2011 r.</w:t>
            </w:r>
          </w:p>
        </w:tc>
        <w:tc>
          <w:tcPr>
            <w:tcW w:w="992" w:type="dxa"/>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31 715</w:t>
            </w:r>
          </w:p>
        </w:tc>
        <w:tc>
          <w:tcPr>
            <w:tcW w:w="991" w:type="dxa"/>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10 827</w:t>
            </w:r>
          </w:p>
        </w:tc>
        <w:tc>
          <w:tcPr>
            <w:tcW w:w="1276" w:type="dxa"/>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1 662</w:t>
            </w:r>
          </w:p>
        </w:tc>
        <w:tc>
          <w:tcPr>
            <w:tcW w:w="931" w:type="dxa"/>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642</w:t>
            </w:r>
          </w:p>
        </w:tc>
        <w:tc>
          <w:tcPr>
            <w:tcW w:w="1052" w:type="dxa"/>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5 430</w:t>
            </w:r>
          </w:p>
        </w:tc>
        <w:tc>
          <w:tcPr>
            <w:tcW w:w="1134" w:type="dxa"/>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w:t>
            </w:r>
          </w:p>
        </w:tc>
        <w:tc>
          <w:tcPr>
            <w:tcW w:w="850" w:type="dxa"/>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50 276</w:t>
            </w:r>
          </w:p>
        </w:tc>
      </w:tr>
      <w:tr w:rsidR="00301D43" w:rsidRPr="00765C97" w:rsidTr="00176428">
        <w:trPr>
          <w:trHeight w:val="255"/>
        </w:trPr>
        <w:tc>
          <w:tcPr>
            <w:tcW w:w="1419" w:type="dxa"/>
            <w:gridSpan w:val="2"/>
          </w:tcPr>
          <w:p w:rsidR="00301D43" w:rsidRPr="00765C97" w:rsidRDefault="00301D43" w:rsidP="00593A17">
            <w:pPr>
              <w:pStyle w:val="Style1"/>
              <w:adjustRightInd/>
              <w:rPr>
                <w:rFonts w:ascii="Arial" w:hAnsi="Arial"/>
                <w:sz w:val="18"/>
                <w:szCs w:val="18"/>
                <w:lang w:val="pl-PL"/>
              </w:rPr>
            </w:pPr>
            <w:r w:rsidRPr="00765C97">
              <w:rPr>
                <w:rFonts w:ascii="Arial" w:hAnsi="Arial"/>
                <w:sz w:val="18"/>
                <w:szCs w:val="18"/>
                <w:lang w:val="pl-PL"/>
              </w:rPr>
              <w:t>Obciążenie/ (uznanie) wyniku za rok 2011</w:t>
            </w:r>
          </w:p>
        </w:tc>
        <w:tc>
          <w:tcPr>
            <w:tcW w:w="992" w:type="dxa"/>
            <w:tcBorders>
              <w:bottom w:val="single" w:sz="4" w:space="0" w:color="auto"/>
            </w:tcBorders>
            <w:vAlign w:val="center"/>
          </w:tcPr>
          <w:p w:rsidR="00301D43" w:rsidRPr="00765C97" w:rsidRDefault="00301D43" w:rsidP="00A15930">
            <w:pPr>
              <w:pStyle w:val="Style1"/>
              <w:adjustRightInd/>
              <w:ind w:left="-65"/>
              <w:jc w:val="right"/>
              <w:rPr>
                <w:rFonts w:ascii="Arial" w:hAnsi="Arial"/>
                <w:lang w:val="pl-PL"/>
              </w:rPr>
            </w:pPr>
            <w:r w:rsidRPr="00765C97">
              <w:rPr>
                <w:rFonts w:ascii="Arial" w:hAnsi="Arial"/>
                <w:lang w:val="pl-PL"/>
              </w:rPr>
              <w:t>(1 103)</w:t>
            </w:r>
          </w:p>
        </w:tc>
        <w:tc>
          <w:tcPr>
            <w:tcW w:w="991" w:type="dxa"/>
            <w:tcBorders>
              <w:bottom w:val="single" w:sz="4" w:space="0" w:color="auto"/>
            </w:tcBorders>
            <w:vAlign w:val="center"/>
          </w:tcPr>
          <w:p w:rsidR="00301D43" w:rsidRPr="00765C97" w:rsidRDefault="00301D43" w:rsidP="00A15930">
            <w:pPr>
              <w:pStyle w:val="Style1"/>
              <w:adjustRightInd/>
              <w:ind w:left="-65"/>
              <w:jc w:val="right"/>
              <w:rPr>
                <w:rFonts w:ascii="Arial" w:hAnsi="Arial"/>
                <w:lang w:val="pl-PL"/>
              </w:rPr>
            </w:pPr>
            <w:r w:rsidRPr="00765C97">
              <w:rPr>
                <w:rFonts w:ascii="Arial" w:hAnsi="Arial"/>
                <w:lang w:val="pl-PL"/>
              </w:rPr>
              <w:t>(2 844)</w:t>
            </w:r>
          </w:p>
        </w:tc>
        <w:tc>
          <w:tcPr>
            <w:tcW w:w="1276" w:type="dxa"/>
            <w:tcBorders>
              <w:bottom w:val="single" w:sz="2" w:space="0" w:color="auto"/>
            </w:tcBorders>
            <w:vAlign w:val="center"/>
          </w:tcPr>
          <w:p w:rsidR="00301D43" w:rsidRPr="00765C97" w:rsidRDefault="00301D43" w:rsidP="00A15930">
            <w:pPr>
              <w:pStyle w:val="Style1"/>
              <w:adjustRightInd/>
              <w:ind w:left="-65"/>
              <w:jc w:val="right"/>
              <w:rPr>
                <w:rFonts w:ascii="Arial" w:hAnsi="Arial"/>
                <w:lang w:val="pl-PL"/>
              </w:rPr>
            </w:pPr>
            <w:r w:rsidRPr="00765C97">
              <w:rPr>
                <w:rFonts w:ascii="Arial" w:hAnsi="Arial"/>
                <w:lang w:val="pl-PL"/>
              </w:rPr>
              <w:t>(625)</w:t>
            </w:r>
          </w:p>
        </w:tc>
        <w:tc>
          <w:tcPr>
            <w:tcW w:w="931" w:type="dxa"/>
            <w:tcBorders>
              <w:bottom w:val="single" w:sz="2" w:space="0" w:color="auto"/>
            </w:tcBorders>
            <w:vAlign w:val="center"/>
          </w:tcPr>
          <w:p w:rsidR="00301D43" w:rsidRPr="00765C97" w:rsidRDefault="00301D43" w:rsidP="00A15930">
            <w:pPr>
              <w:pStyle w:val="Style1"/>
              <w:adjustRightInd/>
              <w:ind w:left="-65"/>
              <w:jc w:val="right"/>
              <w:rPr>
                <w:rFonts w:ascii="Arial" w:hAnsi="Arial"/>
                <w:lang w:val="pl-PL"/>
              </w:rPr>
            </w:pPr>
            <w:r w:rsidRPr="00765C97">
              <w:rPr>
                <w:rFonts w:ascii="Arial" w:hAnsi="Arial"/>
                <w:lang w:val="pl-PL"/>
              </w:rPr>
              <w:t>2 468</w:t>
            </w:r>
          </w:p>
        </w:tc>
        <w:tc>
          <w:tcPr>
            <w:tcW w:w="1052" w:type="dxa"/>
            <w:tcBorders>
              <w:bottom w:val="single" w:sz="2" w:space="0" w:color="auto"/>
            </w:tcBorders>
            <w:vAlign w:val="center"/>
          </w:tcPr>
          <w:p w:rsidR="00301D43" w:rsidRPr="00765C97" w:rsidRDefault="00301D43" w:rsidP="00A15930">
            <w:pPr>
              <w:pStyle w:val="Style1"/>
              <w:adjustRightInd/>
              <w:ind w:left="-65"/>
              <w:jc w:val="right"/>
              <w:rPr>
                <w:rFonts w:ascii="Arial" w:hAnsi="Arial"/>
                <w:lang w:val="pl-PL"/>
              </w:rPr>
            </w:pPr>
            <w:r w:rsidRPr="00765C97">
              <w:rPr>
                <w:rFonts w:ascii="Arial" w:hAnsi="Arial"/>
                <w:lang w:val="pl-PL"/>
              </w:rPr>
              <w:t>-</w:t>
            </w:r>
          </w:p>
        </w:tc>
        <w:tc>
          <w:tcPr>
            <w:tcW w:w="1134" w:type="dxa"/>
            <w:tcBorders>
              <w:bottom w:val="single" w:sz="2" w:space="0" w:color="auto"/>
            </w:tcBorders>
            <w:vAlign w:val="center"/>
          </w:tcPr>
          <w:p w:rsidR="00301D43" w:rsidRPr="00765C97" w:rsidRDefault="00301D43" w:rsidP="00A15930">
            <w:pPr>
              <w:pStyle w:val="Style1"/>
              <w:adjustRightInd/>
              <w:ind w:left="-65"/>
              <w:jc w:val="right"/>
              <w:rPr>
                <w:rFonts w:ascii="Arial" w:hAnsi="Arial"/>
                <w:lang w:val="pl-PL"/>
              </w:rPr>
            </w:pPr>
            <w:r w:rsidRPr="00765C97">
              <w:rPr>
                <w:rFonts w:ascii="Arial" w:hAnsi="Arial"/>
                <w:lang w:val="pl-PL"/>
              </w:rPr>
              <w:t>-</w:t>
            </w:r>
          </w:p>
        </w:tc>
        <w:tc>
          <w:tcPr>
            <w:tcW w:w="850" w:type="dxa"/>
            <w:tcBorders>
              <w:bottom w:val="single" w:sz="2" w:space="0" w:color="auto"/>
            </w:tcBorders>
            <w:vAlign w:val="center"/>
          </w:tcPr>
          <w:p w:rsidR="00301D43" w:rsidRPr="00765C97" w:rsidRDefault="00301D43" w:rsidP="00A15930">
            <w:pPr>
              <w:pStyle w:val="Style1"/>
              <w:adjustRightInd/>
              <w:ind w:left="-65"/>
              <w:jc w:val="right"/>
              <w:rPr>
                <w:rFonts w:ascii="Arial" w:hAnsi="Arial"/>
                <w:lang w:val="pl-PL"/>
              </w:rPr>
            </w:pPr>
            <w:r w:rsidRPr="00765C97">
              <w:rPr>
                <w:rFonts w:ascii="Arial" w:hAnsi="Arial"/>
                <w:lang w:val="pl-PL"/>
              </w:rPr>
              <w:t>(2 104)</w:t>
            </w:r>
          </w:p>
        </w:tc>
      </w:tr>
      <w:tr w:rsidR="00301D43" w:rsidRPr="00765C97" w:rsidTr="00176428">
        <w:trPr>
          <w:trHeight w:val="255"/>
        </w:trPr>
        <w:tc>
          <w:tcPr>
            <w:tcW w:w="1419" w:type="dxa"/>
            <w:gridSpan w:val="2"/>
          </w:tcPr>
          <w:p w:rsidR="00301D43" w:rsidRPr="00765C97" w:rsidRDefault="00301D43" w:rsidP="00593A17">
            <w:pPr>
              <w:pStyle w:val="Style1"/>
              <w:adjustRightInd/>
              <w:rPr>
                <w:rFonts w:ascii="Arial" w:hAnsi="Arial"/>
                <w:b/>
                <w:sz w:val="18"/>
                <w:szCs w:val="18"/>
                <w:lang w:val="pl-PL"/>
              </w:rPr>
            </w:pPr>
            <w:r w:rsidRPr="00765C97">
              <w:rPr>
                <w:rFonts w:ascii="Arial" w:hAnsi="Arial"/>
                <w:b/>
                <w:sz w:val="18"/>
                <w:szCs w:val="18"/>
                <w:lang w:val="pl-PL"/>
              </w:rPr>
              <w:t xml:space="preserve">Stan na </w:t>
            </w:r>
          </w:p>
          <w:p w:rsidR="00301D43" w:rsidRPr="00765C97" w:rsidRDefault="00301D43" w:rsidP="00593A17">
            <w:pPr>
              <w:pStyle w:val="Style1"/>
              <w:adjustRightInd/>
              <w:rPr>
                <w:rFonts w:ascii="Arial" w:hAnsi="Arial"/>
                <w:b/>
                <w:sz w:val="18"/>
                <w:szCs w:val="18"/>
                <w:lang w:val="pl-PL"/>
              </w:rPr>
            </w:pPr>
            <w:r w:rsidRPr="00765C97">
              <w:rPr>
                <w:rFonts w:ascii="Arial" w:hAnsi="Arial"/>
                <w:b/>
                <w:sz w:val="18"/>
                <w:szCs w:val="18"/>
                <w:lang w:val="pl-PL"/>
              </w:rPr>
              <w:t xml:space="preserve">31 grudnia </w:t>
            </w:r>
          </w:p>
          <w:p w:rsidR="00301D43" w:rsidRPr="00765C97" w:rsidRDefault="00301D43" w:rsidP="00593A17">
            <w:pPr>
              <w:pStyle w:val="Style1"/>
              <w:adjustRightInd/>
              <w:rPr>
                <w:rFonts w:ascii="Arial" w:hAnsi="Arial"/>
                <w:b/>
                <w:sz w:val="18"/>
                <w:szCs w:val="18"/>
                <w:lang w:val="pl-PL"/>
              </w:rPr>
            </w:pPr>
            <w:r w:rsidRPr="00765C97">
              <w:rPr>
                <w:rFonts w:ascii="Arial" w:hAnsi="Arial"/>
                <w:b/>
                <w:sz w:val="18"/>
                <w:szCs w:val="18"/>
                <w:lang w:val="pl-PL"/>
              </w:rPr>
              <w:t>2011 r.</w:t>
            </w:r>
          </w:p>
        </w:tc>
        <w:tc>
          <w:tcPr>
            <w:tcW w:w="992" w:type="dxa"/>
            <w:tcBorders>
              <w:top w:val="single" w:sz="4" w:space="0" w:color="auto"/>
              <w:bottom w:val="single" w:sz="4" w:space="0" w:color="auto"/>
            </w:tcBorders>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30 612</w:t>
            </w:r>
          </w:p>
        </w:tc>
        <w:tc>
          <w:tcPr>
            <w:tcW w:w="991" w:type="dxa"/>
            <w:tcBorders>
              <w:top w:val="single" w:sz="4" w:space="0" w:color="auto"/>
              <w:bottom w:val="single" w:sz="4" w:space="0" w:color="auto"/>
            </w:tcBorders>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7 983</w:t>
            </w:r>
          </w:p>
        </w:tc>
        <w:tc>
          <w:tcPr>
            <w:tcW w:w="1276" w:type="dxa"/>
            <w:tcBorders>
              <w:top w:val="single" w:sz="2" w:space="0" w:color="auto"/>
              <w:bottom w:val="single" w:sz="2" w:space="0" w:color="auto"/>
            </w:tcBorders>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1 037</w:t>
            </w:r>
          </w:p>
        </w:tc>
        <w:tc>
          <w:tcPr>
            <w:tcW w:w="931" w:type="dxa"/>
            <w:tcBorders>
              <w:top w:val="single" w:sz="2" w:space="0" w:color="auto"/>
              <w:bottom w:val="single" w:sz="2" w:space="0" w:color="auto"/>
            </w:tcBorders>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3 110</w:t>
            </w:r>
          </w:p>
        </w:tc>
        <w:tc>
          <w:tcPr>
            <w:tcW w:w="1052" w:type="dxa"/>
            <w:tcBorders>
              <w:top w:val="single" w:sz="2" w:space="0" w:color="auto"/>
              <w:bottom w:val="single" w:sz="2" w:space="0" w:color="auto"/>
            </w:tcBorders>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5 430</w:t>
            </w:r>
          </w:p>
        </w:tc>
        <w:tc>
          <w:tcPr>
            <w:tcW w:w="1134" w:type="dxa"/>
            <w:tcBorders>
              <w:top w:val="single" w:sz="2" w:space="0" w:color="auto"/>
              <w:bottom w:val="single" w:sz="2" w:space="0" w:color="auto"/>
            </w:tcBorders>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w:t>
            </w:r>
          </w:p>
        </w:tc>
        <w:tc>
          <w:tcPr>
            <w:tcW w:w="850" w:type="dxa"/>
            <w:tcBorders>
              <w:top w:val="single" w:sz="2" w:space="0" w:color="auto"/>
              <w:bottom w:val="single" w:sz="2" w:space="0" w:color="auto"/>
            </w:tcBorders>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48 172</w:t>
            </w:r>
          </w:p>
        </w:tc>
      </w:tr>
      <w:tr w:rsidR="00301D43" w:rsidRPr="00765C97" w:rsidTr="00176428">
        <w:trPr>
          <w:trHeight w:val="255"/>
        </w:trPr>
        <w:tc>
          <w:tcPr>
            <w:tcW w:w="1419" w:type="dxa"/>
            <w:gridSpan w:val="2"/>
          </w:tcPr>
          <w:p w:rsidR="00301D43" w:rsidRPr="00765C97" w:rsidRDefault="00301D43" w:rsidP="00593A17">
            <w:pPr>
              <w:pStyle w:val="Style1"/>
              <w:adjustRightInd/>
              <w:rPr>
                <w:rFonts w:ascii="Arial" w:hAnsi="Arial"/>
                <w:i/>
                <w:sz w:val="16"/>
                <w:szCs w:val="16"/>
                <w:lang w:val="pl-PL"/>
              </w:rPr>
            </w:pPr>
            <w:r w:rsidRPr="00765C97">
              <w:rPr>
                <w:rFonts w:ascii="Arial" w:hAnsi="Arial"/>
                <w:i/>
                <w:sz w:val="16"/>
                <w:szCs w:val="16"/>
                <w:lang w:val="pl-PL"/>
              </w:rPr>
              <w:t>-odniesionych na wynik</w:t>
            </w:r>
          </w:p>
        </w:tc>
        <w:tc>
          <w:tcPr>
            <w:tcW w:w="992" w:type="dxa"/>
            <w:tcBorders>
              <w:top w:val="single" w:sz="4" w:space="0" w:color="auto"/>
            </w:tcBorders>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30 612</w:t>
            </w:r>
          </w:p>
        </w:tc>
        <w:tc>
          <w:tcPr>
            <w:tcW w:w="991" w:type="dxa"/>
            <w:tcBorders>
              <w:top w:val="single" w:sz="4" w:space="0" w:color="auto"/>
            </w:tcBorders>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w:t>
            </w:r>
          </w:p>
        </w:tc>
        <w:tc>
          <w:tcPr>
            <w:tcW w:w="1276" w:type="dxa"/>
            <w:tcBorders>
              <w:top w:val="single" w:sz="2" w:space="0" w:color="auto"/>
            </w:tcBorders>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1 037</w:t>
            </w:r>
          </w:p>
        </w:tc>
        <w:tc>
          <w:tcPr>
            <w:tcW w:w="931" w:type="dxa"/>
            <w:tcBorders>
              <w:top w:val="single" w:sz="2" w:space="0" w:color="auto"/>
            </w:tcBorders>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 xml:space="preserve">3 110 </w:t>
            </w:r>
          </w:p>
        </w:tc>
        <w:tc>
          <w:tcPr>
            <w:tcW w:w="1052" w:type="dxa"/>
            <w:tcBorders>
              <w:top w:val="single" w:sz="2" w:space="0" w:color="auto"/>
            </w:tcBorders>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w:t>
            </w:r>
          </w:p>
        </w:tc>
        <w:tc>
          <w:tcPr>
            <w:tcW w:w="1134" w:type="dxa"/>
            <w:tcBorders>
              <w:top w:val="single" w:sz="2" w:space="0" w:color="auto"/>
            </w:tcBorders>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w:t>
            </w:r>
          </w:p>
        </w:tc>
        <w:tc>
          <w:tcPr>
            <w:tcW w:w="850" w:type="dxa"/>
            <w:tcBorders>
              <w:top w:val="single" w:sz="2" w:space="0" w:color="auto"/>
            </w:tcBorders>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34 759</w:t>
            </w:r>
          </w:p>
        </w:tc>
      </w:tr>
      <w:tr w:rsidR="00301D43" w:rsidRPr="00765C97" w:rsidTr="00176428">
        <w:trPr>
          <w:trHeight w:val="255"/>
        </w:trPr>
        <w:tc>
          <w:tcPr>
            <w:tcW w:w="1419" w:type="dxa"/>
            <w:gridSpan w:val="2"/>
          </w:tcPr>
          <w:p w:rsidR="00301D43" w:rsidRPr="00765C97" w:rsidRDefault="00301D43" w:rsidP="00593A17">
            <w:pPr>
              <w:pStyle w:val="Style1"/>
              <w:adjustRightInd/>
              <w:rPr>
                <w:rFonts w:ascii="Arial" w:hAnsi="Arial"/>
                <w:i/>
                <w:sz w:val="16"/>
                <w:szCs w:val="16"/>
                <w:lang w:val="pl-PL"/>
              </w:rPr>
            </w:pPr>
            <w:r w:rsidRPr="00765C97">
              <w:rPr>
                <w:rFonts w:ascii="Arial" w:hAnsi="Arial"/>
                <w:i/>
                <w:sz w:val="16"/>
                <w:szCs w:val="16"/>
                <w:lang w:val="pl-PL"/>
              </w:rPr>
              <w:t>-odniesionych na kapitał</w:t>
            </w:r>
          </w:p>
        </w:tc>
        <w:tc>
          <w:tcPr>
            <w:tcW w:w="992" w:type="dxa"/>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w:t>
            </w:r>
          </w:p>
        </w:tc>
        <w:tc>
          <w:tcPr>
            <w:tcW w:w="991" w:type="dxa"/>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7 983</w:t>
            </w:r>
          </w:p>
        </w:tc>
        <w:tc>
          <w:tcPr>
            <w:tcW w:w="1276" w:type="dxa"/>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w:t>
            </w:r>
          </w:p>
        </w:tc>
        <w:tc>
          <w:tcPr>
            <w:tcW w:w="931" w:type="dxa"/>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w:t>
            </w:r>
          </w:p>
        </w:tc>
        <w:tc>
          <w:tcPr>
            <w:tcW w:w="1052" w:type="dxa"/>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5 430</w:t>
            </w:r>
          </w:p>
        </w:tc>
        <w:tc>
          <w:tcPr>
            <w:tcW w:w="1134" w:type="dxa"/>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w:t>
            </w:r>
          </w:p>
        </w:tc>
        <w:tc>
          <w:tcPr>
            <w:tcW w:w="850" w:type="dxa"/>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13 413</w:t>
            </w:r>
          </w:p>
        </w:tc>
      </w:tr>
      <w:tr w:rsidR="00301D43" w:rsidRPr="00765C97" w:rsidTr="00176428">
        <w:trPr>
          <w:trHeight w:val="255"/>
        </w:trPr>
        <w:tc>
          <w:tcPr>
            <w:tcW w:w="1419" w:type="dxa"/>
            <w:gridSpan w:val="2"/>
          </w:tcPr>
          <w:p w:rsidR="00301D43" w:rsidRPr="00765C97" w:rsidRDefault="00301D43" w:rsidP="00593A17">
            <w:pPr>
              <w:pStyle w:val="Style1"/>
              <w:adjustRightInd/>
              <w:rPr>
                <w:rFonts w:ascii="Arial" w:hAnsi="Arial"/>
                <w:sz w:val="18"/>
                <w:szCs w:val="18"/>
                <w:lang w:val="pl-PL"/>
              </w:rPr>
            </w:pPr>
            <w:r w:rsidRPr="00765C97">
              <w:rPr>
                <w:rFonts w:ascii="Arial" w:hAnsi="Arial"/>
                <w:sz w:val="18"/>
                <w:szCs w:val="18"/>
                <w:lang w:val="pl-PL"/>
              </w:rPr>
              <w:t>Obciążenie/ (uznanie) wyniku za rok 2012</w:t>
            </w:r>
          </w:p>
        </w:tc>
        <w:tc>
          <w:tcPr>
            <w:tcW w:w="992" w:type="dxa"/>
            <w:vAlign w:val="center"/>
          </w:tcPr>
          <w:p w:rsidR="00301D43" w:rsidRPr="00765C97" w:rsidRDefault="00301D43" w:rsidP="00A15930">
            <w:pPr>
              <w:pStyle w:val="Style1"/>
              <w:adjustRightInd/>
              <w:ind w:left="-65"/>
              <w:jc w:val="right"/>
              <w:rPr>
                <w:rFonts w:ascii="Arial" w:hAnsi="Arial"/>
                <w:lang w:val="pl-PL"/>
              </w:rPr>
            </w:pPr>
            <w:r w:rsidRPr="00765C97">
              <w:rPr>
                <w:rFonts w:ascii="Arial" w:hAnsi="Arial"/>
                <w:lang w:val="pl-PL"/>
              </w:rPr>
              <w:t>(2 308)</w:t>
            </w:r>
          </w:p>
        </w:tc>
        <w:tc>
          <w:tcPr>
            <w:tcW w:w="991" w:type="dxa"/>
            <w:vAlign w:val="center"/>
          </w:tcPr>
          <w:p w:rsidR="00301D43" w:rsidRPr="00765C97" w:rsidRDefault="00301D43" w:rsidP="00A15930">
            <w:pPr>
              <w:pStyle w:val="Style1"/>
              <w:adjustRightInd/>
              <w:ind w:left="-65"/>
              <w:jc w:val="right"/>
              <w:rPr>
                <w:rFonts w:ascii="Arial" w:hAnsi="Arial"/>
                <w:lang w:val="pl-PL"/>
              </w:rPr>
            </w:pPr>
            <w:r w:rsidRPr="00765C97">
              <w:rPr>
                <w:rFonts w:ascii="Arial" w:hAnsi="Arial"/>
                <w:lang w:val="pl-PL"/>
              </w:rPr>
              <w:t>(5 286)</w:t>
            </w:r>
          </w:p>
        </w:tc>
        <w:tc>
          <w:tcPr>
            <w:tcW w:w="1276" w:type="dxa"/>
            <w:vAlign w:val="center"/>
          </w:tcPr>
          <w:p w:rsidR="00301D43" w:rsidRPr="00765C97" w:rsidRDefault="00301D43" w:rsidP="00A15930">
            <w:pPr>
              <w:pStyle w:val="Style1"/>
              <w:adjustRightInd/>
              <w:ind w:left="-65"/>
              <w:jc w:val="right"/>
              <w:rPr>
                <w:rFonts w:ascii="Arial" w:hAnsi="Arial"/>
                <w:lang w:val="pl-PL"/>
              </w:rPr>
            </w:pPr>
            <w:r w:rsidRPr="00765C97">
              <w:rPr>
                <w:rFonts w:ascii="Arial" w:hAnsi="Arial"/>
                <w:lang w:val="pl-PL"/>
              </w:rPr>
              <w:t>(77)</w:t>
            </w:r>
          </w:p>
        </w:tc>
        <w:tc>
          <w:tcPr>
            <w:tcW w:w="931" w:type="dxa"/>
            <w:vAlign w:val="center"/>
          </w:tcPr>
          <w:p w:rsidR="00301D43" w:rsidRPr="00765C97" w:rsidRDefault="00301D43" w:rsidP="00A15930">
            <w:pPr>
              <w:pStyle w:val="Style1"/>
              <w:adjustRightInd/>
              <w:ind w:left="-65"/>
              <w:jc w:val="right"/>
              <w:rPr>
                <w:rFonts w:ascii="Arial" w:hAnsi="Arial"/>
                <w:lang w:val="pl-PL"/>
              </w:rPr>
            </w:pPr>
            <w:r w:rsidRPr="00765C97">
              <w:rPr>
                <w:rFonts w:ascii="Arial" w:hAnsi="Arial"/>
                <w:lang w:val="pl-PL"/>
              </w:rPr>
              <w:t>(1 099)</w:t>
            </w:r>
          </w:p>
        </w:tc>
        <w:tc>
          <w:tcPr>
            <w:tcW w:w="1052" w:type="dxa"/>
            <w:vAlign w:val="center"/>
          </w:tcPr>
          <w:p w:rsidR="00301D43" w:rsidRPr="00765C97" w:rsidRDefault="00301D43" w:rsidP="00A15930">
            <w:pPr>
              <w:pStyle w:val="Style1"/>
              <w:adjustRightInd/>
              <w:ind w:left="-65"/>
              <w:jc w:val="right"/>
              <w:rPr>
                <w:rFonts w:ascii="Arial" w:hAnsi="Arial"/>
                <w:lang w:val="pl-PL"/>
              </w:rPr>
            </w:pPr>
            <w:r w:rsidRPr="00765C97">
              <w:rPr>
                <w:rFonts w:ascii="Arial" w:hAnsi="Arial"/>
                <w:lang w:val="pl-PL"/>
              </w:rPr>
              <w:t>-</w:t>
            </w:r>
          </w:p>
        </w:tc>
        <w:tc>
          <w:tcPr>
            <w:tcW w:w="1134" w:type="dxa"/>
            <w:vAlign w:val="center"/>
          </w:tcPr>
          <w:p w:rsidR="00301D43" w:rsidRPr="00765C97" w:rsidRDefault="00301D43" w:rsidP="00A15930">
            <w:pPr>
              <w:pStyle w:val="Style1"/>
              <w:adjustRightInd/>
              <w:ind w:left="-65"/>
              <w:jc w:val="right"/>
              <w:rPr>
                <w:rFonts w:ascii="Arial" w:hAnsi="Arial"/>
                <w:lang w:val="pl-PL"/>
              </w:rPr>
            </w:pPr>
            <w:r w:rsidRPr="00765C97">
              <w:rPr>
                <w:rFonts w:ascii="Arial" w:hAnsi="Arial"/>
                <w:lang w:val="pl-PL"/>
              </w:rPr>
              <w:t>2 173</w:t>
            </w:r>
          </w:p>
        </w:tc>
        <w:tc>
          <w:tcPr>
            <w:tcW w:w="850" w:type="dxa"/>
            <w:vAlign w:val="center"/>
          </w:tcPr>
          <w:p w:rsidR="00301D43" w:rsidRPr="00765C97" w:rsidRDefault="00301D43" w:rsidP="00A15930">
            <w:pPr>
              <w:pStyle w:val="Style1"/>
              <w:adjustRightInd/>
              <w:ind w:left="-65"/>
              <w:jc w:val="right"/>
              <w:rPr>
                <w:rFonts w:ascii="Arial" w:hAnsi="Arial"/>
                <w:lang w:val="pl-PL"/>
              </w:rPr>
            </w:pPr>
            <w:r w:rsidRPr="00765C97">
              <w:rPr>
                <w:rFonts w:ascii="Arial" w:hAnsi="Arial"/>
                <w:lang w:val="pl-PL"/>
              </w:rPr>
              <w:t>(6 597)</w:t>
            </w:r>
          </w:p>
        </w:tc>
      </w:tr>
      <w:tr w:rsidR="00301D43" w:rsidRPr="00765C97" w:rsidTr="00176428">
        <w:trPr>
          <w:trHeight w:val="255"/>
        </w:trPr>
        <w:tc>
          <w:tcPr>
            <w:tcW w:w="1419" w:type="dxa"/>
            <w:gridSpan w:val="2"/>
          </w:tcPr>
          <w:p w:rsidR="00301D43" w:rsidRPr="00765C97" w:rsidRDefault="00301D43" w:rsidP="00593A17">
            <w:pPr>
              <w:pStyle w:val="Style1"/>
              <w:adjustRightInd/>
              <w:rPr>
                <w:rFonts w:ascii="Arial" w:hAnsi="Arial"/>
                <w:b/>
                <w:sz w:val="18"/>
                <w:szCs w:val="18"/>
                <w:lang w:val="pl-PL"/>
              </w:rPr>
            </w:pPr>
            <w:r w:rsidRPr="00765C97">
              <w:rPr>
                <w:rFonts w:ascii="Arial" w:hAnsi="Arial"/>
                <w:b/>
                <w:sz w:val="18"/>
                <w:szCs w:val="18"/>
                <w:lang w:val="pl-PL"/>
              </w:rPr>
              <w:t xml:space="preserve">Stan na </w:t>
            </w:r>
          </w:p>
          <w:p w:rsidR="00301D43" w:rsidRPr="00765C97" w:rsidRDefault="00301D43" w:rsidP="00593A17">
            <w:pPr>
              <w:pStyle w:val="Style1"/>
              <w:adjustRightInd/>
              <w:rPr>
                <w:rFonts w:ascii="Arial" w:hAnsi="Arial"/>
                <w:b/>
                <w:sz w:val="18"/>
                <w:szCs w:val="18"/>
                <w:lang w:val="pl-PL"/>
              </w:rPr>
            </w:pPr>
            <w:r w:rsidRPr="00765C97">
              <w:rPr>
                <w:rFonts w:ascii="Arial" w:hAnsi="Arial"/>
                <w:b/>
                <w:sz w:val="18"/>
                <w:szCs w:val="18"/>
                <w:lang w:val="pl-PL"/>
              </w:rPr>
              <w:t xml:space="preserve">31 grudnia </w:t>
            </w:r>
          </w:p>
          <w:p w:rsidR="00301D43" w:rsidRPr="00765C97" w:rsidRDefault="00301D43" w:rsidP="00593A17">
            <w:pPr>
              <w:pStyle w:val="Style1"/>
              <w:adjustRightInd/>
              <w:rPr>
                <w:rFonts w:ascii="Arial" w:hAnsi="Arial"/>
                <w:b/>
                <w:sz w:val="18"/>
                <w:szCs w:val="18"/>
                <w:lang w:val="pl-PL"/>
              </w:rPr>
            </w:pPr>
            <w:r w:rsidRPr="00765C97">
              <w:rPr>
                <w:rFonts w:ascii="Arial" w:hAnsi="Arial"/>
                <w:b/>
                <w:sz w:val="18"/>
                <w:szCs w:val="18"/>
                <w:lang w:val="pl-PL"/>
              </w:rPr>
              <w:t>2012 r.</w:t>
            </w:r>
          </w:p>
        </w:tc>
        <w:tc>
          <w:tcPr>
            <w:tcW w:w="992" w:type="dxa"/>
            <w:tcBorders>
              <w:top w:val="single" w:sz="4" w:space="0" w:color="auto"/>
              <w:bottom w:val="single" w:sz="4" w:space="0" w:color="auto"/>
            </w:tcBorders>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28 304</w:t>
            </w:r>
          </w:p>
        </w:tc>
        <w:tc>
          <w:tcPr>
            <w:tcW w:w="991" w:type="dxa"/>
            <w:tcBorders>
              <w:top w:val="single" w:sz="4" w:space="0" w:color="auto"/>
              <w:bottom w:val="single" w:sz="4" w:space="0" w:color="auto"/>
            </w:tcBorders>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2 697</w:t>
            </w:r>
          </w:p>
        </w:tc>
        <w:tc>
          <w:tcPr>
            <w:tcW w:w="1276" w:type="dxa"/>
            <w:tcBorders>
              <w:top w:val="single" w:sz="4" w:space="0" w:color="auto"/>
              <w:bottom w:val="single" w:sz="2" w:space="0" w:color="auto"/>
            </w:tcBorders>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960</w:t>
            </w:r>
          </w:p>
        </w:tc>
        <w:tc>
          <w:tcPr>
            <w:tcW w:w="931" w:type="dxa"/>
            <w:tcBorders>
              <w:top w:val="single" w:sz="4" w:space="0" w:color="auto"/>
              <w:bottom w:val="single" w:sz="2" w:space="0" w:color="auto"/>
            </w:tcBorders>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2 011</w:t>
            </w:r>
          </w:p>
        </w:tc>
        <w:tc>
          <w:tcPr>
            <w:tcW w:w="1052" w:type="dxa"/>
            <w:tcBorders>
              <w:top w:val="single" w:sz="4" w:space="0" w:color="auto"/>
              <w:bottom w:val="single" w:sz="2" w:space="0" w:color="auto"/>
            </w:tcBorders>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5 430</w:t>
            </w:r>
          </w:p>
        </w:tc>
        <w:tc>
          <w:tcPr>
            <w:tcW w:w="1134" w:type="dxa"/>
            <w:tcBorders>
              <w:top w:val="single" w:sz="4" w:space="0" w:color="auto"/>
              <w:bottom w:val="single" w:sz="2" w:space="0" w:color="auto"/>
            </w:tcBorders>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2 173</w:t>
            </w:r>
          </w:p>
        </w:tc>
        <w:tc>
          <w:tcPr>
            <w:tcW w:w="850" w:type="dxa"/>
            <w:tcBorders>
              <w:top w:val="single" w:sz="4" w:space="0" w:color="auto"/>
              <w:bottom w:val="single" w:sz="2" w:space="0" w:color="auto"/>
            </w:tcBorders>
            <w:vAlign w:val="center"/>
          </w:tcPr>
          <w:p w:rsidR="00301D43" w:rsidRPr="00765C97" w:rsidRDefault="00301D43" w:rsidP="00A15930">
            <w:pPr>
              <w:pStyle w:val="Style1"/>
              <w:adjustRightInd/>
              <w:ind w:left="-65"/>
              <w:jc w:val="right"/>
              <w:rPr>
                <w:rFonts w:ascii="Arial" w:hAnsi="Arial"/>
                <w:b/>
                <w:lang w:val="pl-PL"/>
              </w:rPr>
            </w:pPr>
            <w:r w:rsidRPr="00765C97">
              <w:rPr>
                <w:rFonts w:ascii="Arial" w:hAnsi="Arial"/>
                <w:b/>
                <w:lang w:val="pl-PL"/>
              </w:rPr>
              <w:t>41 575</w:t>
            </w:r>
          </w:p>
        </w:tc>
      </w:tr>
      <w:tr w:rsidR="00301D43" w:rsidRPr="00765C97" w:rsidTr="00176428">
        <w:trPr>
          <w:trHeight w:val="255"/>
        </w:trPr>
        <w:tc>
          <w:tcPr>
            <w:tcW w:w="1419" w:type="dxa"/>
            <w:gridSpan w:val="2"/>
          </w:tcPr>
          <w:p w:rsidR="00301D43" w:rsidRPr="00765C97" w:rsidRDefault="00301D43" w:rsidP="00593A17">
            <w:pPr>
              <w:pStyle w:val="Style1"/>
              <w:adjustRightInd/>
              <w:rPr>
                <w:rFonts w:ascii="Arial" w:hAnsi="Arial"/>
                <w:i/>
                <w:sz w:val="16"/>
                <w:szCs w:val="16"/>
                <w:lang w:val="pl-PL"/>
              </w:rPr>
            </w:pPr>
            <w:r w:rsidRPr="00765C97">
              <w:rPr>
                <w:rFonts w:ascii="Arial" w:hAnsi="Arial"/>
                <w:i/>
                <w:sz w:val="16"/>
                <w:szCs w:val="16"/>
                <w:lang w:val="pl-PL"/>
              </w:rPr>
              <w:t>-odniesionych na wynik</w:t>
            </w:r>
          </w:p>
        </w:tc>
        <w:tc>
          <w:tcPr>
            <w:tcW w:w="992" w:type="dxa"/>
            <w:tcBorders>
              <w:top w:val="single" w:sz="4" w:space="0" w:color="auto"/>
            </w:tcBorders>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28 304</w:t>
            </w:r>
          </w:p>
        </w:tc>
        <w:tc>
          <w:tcPr>
            <w:tcW w:w="991" w:type="dxa"/>
            <w:tcBorders>
              <w:top w:val="single" w:sz="4" w:space="0" w:color="auto"/>
            </w:tcBorders>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w:t>
            </w:r>
          </w:p>
        </w:tc>
        <w:tc>
          <w:tcPr>
            <w:tcW w:w="1276" w:type="dxa"/>
            <w:tcBorders>
              <w:top w:val="single" w:sz="2" w:space="0" w:color="auto"/>
            </w:tcBorders>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960</w:t>
            </w:r>
          </w:p>
        </w:tc>
        <w:tc>
          <w:tcPr>
            <w:tcW w:w="931" w:type="dxa"/>
            <w:tcBorders>
              <w:top w:val="single" w:sz="2" w:space="0" w:color="auto"/>
            </w:tcBorders>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2 011</w:t>
            </w:r>
          </w:p>
        </w:tc>
        <w:tc>
          <w:tcPr>
            <w:tcW w:w="1052" w:type="dxa"/>
            <w:tcBorders>
              <w:top w:val="single" w:sz="2" w:space="0" w:color="auto"/>
            </w:tcBorders>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w:t>
            </w:r>
          </w:p>
        </w:tc>
        <w:tc>
          <w:tcPr>
            <w:tcW w:w="1134" w:type="dxa"/>
            <w:tcBorders>
              <w:top w:val="single" w:sz="2" w:space="0" w:color="auto"/>
            </w:tcBorders>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w:t>
            </w:r>
          </w:p>
        </w:tc>
        <w:tc>
          <w:tcPr>
            <w:tcW w:w="850" w:type="dxa"/>
            <w:tcBorders>
              <w:top w:val="single" w:sz="2" w:space="0" w:color="auto"/>
            </w:tcBorders>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31 275</w:t>
            </w:r>
          </w:p>
        </w:tc>
      </w:tr>
      <w:tr w:rsidR="00301D43" w:rsidRPr="00765C97" w:rsidTr="00176428">
        <w:trPr>
          <w:trHeight w:val="255"/>
        </w:trPr>
        <w:tc>
          <w:tcPr>
            <w:tcW w:w="1419" w:type="dxa"/>
            <w:gridSpan w:val="2"/>
            <w:vAlign w:val="center"/>
          </w:tcPr>
          <w:p w:rsidR="00301D43" w:rsidRPr="00765C97" w:rsidRDefault="00301D43" w:rsidP="00593A17">
            <w:pPr>
              <w:pStyle w:val="Style1"/>
              <w:adjustRightInd/>
              <w:rPr>
                <w:rFonts w:ascii="Arial" w:hAnsi="Arial"/>
                <w:i/>
                <w:sz w:val="16"/>
                <w:szCs w:val="16"/>
                <w:lang w:val="pl-PL"/>
              </w:rPr>
            </w:pPr>
            <w:r w:rsidRPr="00765C97">
              <w:rPr>
                <w:rFonts w:ascii="Arial" w:hAnsi="Arial"/>
                <w:i/>
                <w:sz w:val="16"/>
                <w:szCs w:val="16"/>
                <w:lang w:val="pl-PL"/>
              </w:rPr>
              <w:t>-odniesione na kapitał</w:t>
            </w:r>
          </w:p>
        </w:tc>
        <w:tc>
          <w:tcPr>
            <w:tcW w:w="992" w:type="dxa"/>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w:t>
            </w:r>
          </w:p>
        </w:tc>
        <w:tc>
          <w:tcPr>
            <w:tcW w:w="991" w:type="dxa"/>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2 697</w:t>
            </w:r>
          </w:p>
        </w:tc>
        <w:tc>
          <w:tcPr>
            <w:tcW w:w="1276" w:type="dxa"/>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w:t>
            </w:r>
          </w:p>
        </w:tc>
        <w:tc>
          <w:tcPr>
            <w:tcW w:w="931" w:type="dxa"/>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w:t>
            </w:r>
          </w:p>
        </w:tc>
        <w:tc>
          <w:tcPr>
            <w:tcW w:w="1052" w:type="dxa"/>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5 430</w:t>
            </w:r>
          </w:p>
        </w:tc>
        <w:tc>
          <w:tcPr>
            <w:tcW w:w="1134" w:type="dxa"/>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2 173</w:t>
            </w:r>
          </w:p>
        </w:tc>
        <w:tc>
          <w:tcPr>
            <w:tcW w:w="850" w:type="dxa"/>
            <w:vAlign w:val="center"/>
          </w:tcPr>
          <w:p w:rsidR="00301D43" w:rsidRPr="00765C97" w:rsidRDefault="00301D43" w:rsidP="00A15930">
            <w:pPr>
              <w:pStyle w:val="Style1"/>
              <w:adjustRightInd/>
              <w:ind w:left="-65"/>
              <w:jc w:val="right"/>
              <w:rPr>
                <w:rFonts w:ascii="Arial" w:hAnsi="Arial"/>
                <w:i/>
                <w:sz w:val="16"/>
                <w:szCs w:val="16"/>
                <w:lang w:val="pl-PL"/>
              </w:rPr>
            </w:pPr>
            <w:r w:rsidRPr="00765C97">
              <w:rPr>
                <w:rFonts w:ascii="Arial" w:hAnsi="Arial"/>
                <w:i/>
                <w:sz w:val="16"/>
                <w:szCs w:val="16"/>
                <w:lang w:val="pl-PL"/>
              </w:rPr>
              <w:t>10 300</w:t>
            </w:r>
          </w:p>
        </w:tc>
      </w:tr>
    </w:tbl>
    <w:p w:rsidR="00B24DA9" w:rsidRPr="00765C97" w:rsidRDefault="00B24DA9">
      <w:pPr>
        <w:pStyle w:val="Style1"/>
        <w:adjustRightInd/>
        <w:ind w:left="180"/>
        <w:rPr>
          <w:rFonts w:ascii="Arial" w:hAnsi="Arial"/>
          <w:b/>
          <w:spacing w:val="10"/>
          <w:lang w:val="pl-PL"/>
        </w:rPr>
      </w:pPr>
    </w:p>
    <w:p w:rsidR="00B24DA9" w:rsidRPr="00765C97" w:rsidRDefault="00B24DA9" w:rsidP="00833CBA">
      <w:pPr>
        <w:pStyle w:val="Style1"/>
        <w:jc w:val="both"/>
        <w:rPr>
          <w:rFonts w:ascii="Arial" w:hAnsi="Arial"/>
          <w:lang w:val="pl-PL"/>
        </w:rPr>
      </w:pPr>
      <w:r w:rsidRPr="00765C97">
        <w:rPr>
          <w:rFonts w:ascii="Arial" w:hAnsi="Arial"/>
          <w:lang w:val="pl-PL"/>
        </w:rPr>
        <w:t xml:space="preserve">W związku z wejściem Polski do Unii Europejskiej została uchwalona Ustawa z dnia 2 października 2003 roku o zmianie ustawy o specjalnych strefach ekonomicznych i niektórych ustaw (Dz. U. Nr 188, poz. 1840), która zmieniła warunki zwolnień podatkowych dla podmiotów działających w specjalnych strefach ekonomicznych. Zgodnie z postanowieniem art. 6 ust. 1 Ustawy, podmioty te mogą się ubiegać o zmianę warunków zezwolenia w celu dostosowania go do obowiązujących w Unii Europejskiej zasad udzielania pomocy publicznej. Zgodnie z przepisem art. 5 ust. 2 pkt 1 lit. b), pkt 2, pkt 3 Ustawy, maksymalna wielkość pomocy publicznej dla podmiotów, które prowadzą działalność w specjalnej strefie ekonomicznej na podstawie zezwolenia wydanego przed dniem 1 stycznia 2000 r., nie może przekraczać 75% wartości inwestycji poniesionych w okresie od dnia uzyskania zezwolenia do </w:t>
      </w:r>
      <w:r w:rsidR="00613C9A" w:rsidRPr="00765C97">
        <w:rPr>
          <w:rFonts w:ascii="Arial" w:hAnsi="Arial"/>
          <w:lang w:val="pl-PL"/>
        </w:rPr>
        <w:t>d</w:t>
      </w:r>
      <w:r w:rsidRPr="00765C97">
        <w:rPr>
          <w:rFonts w:ascii="Arial" w:hAnsi="Arial"/>
          <w:lang w:val="pl-PL"/>
        </w:rPr>
        <w:t>nia 31 grudnia 2006 r., przy czym przy ustalaniu maksymalnej wielkości pomocy publicznej uwzględnia się całkowitą wielkość pomocy publicznej uzyskanej od 1 stycznia 2001 r. Oznacza to zmianę dotychczasowego sposobu funkcjonowania ulg podatkowych (pomocy publicznej), z ulg nieograniczonych wartościowo, na ulgi ograniczone wartościowo i zależne od wartości dokonanych inwestycji. W przypadku Com</w:t>
      </w:r>
      <w:r w:rsidR="009A4D3E" w:rsidRPr="00765C97">
        <w:rPr>
          <w:rFonts w:ascii="Arial" w:hAnsi="Arial"/>
          <w:lang w:val="pl-PL"/>
        </w:rPr>
        <w:t>a</w:t>
      </w:r>
      <w:r w:rsidRPr="00765C97">
        <w:rPr>
          <w:rFonts w:ascii="Arial" w:hAnsi="Arial"/>
          <w:lang w:val="pl-PL"/>
        </w:rPr>
        <w:t>rch S.A. maksymalna wartość pomocy publicznej nie będzie mogła przekroczyć 75% wartości nakładów inwestycyjnych, które Spółka poniosła w okresie od uzyskania zezwolenia tj. od dnia 22 marca 1999 r. do dnia 31 grudnia 2006 r.</w:t>
      </w:r>
    </w:p>
    <w:p w:rsidR="00D24515" w:rsidRPr="00765C97" w:rsidRDefault="00B24DA9" w:rsidP="00833CBA">
      <w:pPr>
        <w:pStyle w:val="Style1"/>
        <w:jc w:val="both"/>
        <w:rPr>
          <w:rFonts w:ascii="Arial" w:hAnsi="Arial"/>
          <w:lang w:val="pl-PL"/>
        </w:rPr>
      </w:pPr>
      <w:r w:rsidRPr="00765C97">
        <w:rPr>
          <w:rFonts w:ascii="Arial" w:hAnsi="Arial"/>
          <w:lang w:val="pl-PL"/>
        </w:rPr>
        <w:t>Koszty inwestycji oraz wielkość pomocy podlegają dyskontowaniu zgodnie z par. 9 Rozporządzenia Rady Ministrów z 14 września 2004 r. w sprawie krakowskiej specjalnej strefy ekonomicznej (Dz. U. 220, poz. 2232) w brzmieniu zmienionym zgodnie z par. 1 Rozporządzenia Rady Ministrów z 8 lutego 2005 r., zmieniającym rozporządzenie w sprawie krakowskiej specjalnej strefy ekonomicznej (Dz. U. nr 32, poz. 270) z uwzględnieniem par. 2 tego ostatniego Rozporządzenia.</w:t>
      </w:r>
      <w:r w:rsidR="00D24515" w:rsidRPr="00765C97">
        <w:rPr>
          <w:rFonts w:ascii="Arial" w:hAnsi="Arial"/>
          <w:lang w:val="pl-PL"/>
        </w:rPr>
        <w:t xml:space="preserve"> </w:t>
      </w:r>
      <w:r w:rsidR="00833CBA" w:rsidRPr="00765C97">
        <w:rPr>
          <w:rFonts w:ascii="Arial" w:hAnsi="Arial" w:cs="Arial"/>
          <w:spacing w:val="-1"/>
          <w:szCs w:val="20"/>
          <w:lang w:val="pl-PL"/>
        </w:rPr>
        <w:t>Limit niewykorzystanej ulgi inwestycyjnej na dzień 31 grudnia 2012 r., zdyskontowanej na dzień przyznania zezwolenia wynosi 12 551 tys. zł.</w:t>
      </w:r>
      <w:r w:rsidR="00D24515" w:rsidRPr="00765C97">
        <w:rPr>
          <w:rFonts w:ascii="Arial" w:hAnsi="Arial"/>
          <w:lang w:val="pl-PL"/>
        </w:rPr>
        <w:t xml:space="preserve">  </w:t>
      </w:r>
    </w:p>
    <w:p w:rsidR="00B24DA9" w:rsidRPr="00765C97" w:rsidRDefault="00B24DA9" w:rsidP="00833CBA">
      <w:pPr>
        <w:pStyle w:val="Style1"/>
        <w:jc w:val="both"/>
        <w:rPr>
          <w:rFonts w:ascii="Arial" w:hAnsi="Arial"/>
          <w:lang w:val="pl-PL"/>
        </w:rPr>
      </w:pPr>
    </w:p>
    <w:p w:rsidR="00B24DA9" w:rsidRPr="00765C97" w:rsidRDefault="00B24DA9" w:rsidP="00833CBA">
      <w:pPr>
        <w:pStyle w:val="Style1"/>
        <w:jc w:val="both"/>
        <w:rPr>
          <w:rFonts w:ascii="Arial" w:hAnsi="Arial"/>
          <w:lang w:val="pl-PL"/>
        </w:rPr>
      </w:pPr>
      <w:r w:rsidRPr="00765C97">
        <w:rPr>
          <w:rFonts w:ascii="Arial" w:hAnsi="Arial"/>
          <w:lang w:val="pl-PL"/>
        </w:rPr>
        <w:t>Com</w:t>
      </w:r>
      <w:r w:rsidR="009A4D3E" w:rsidRPr="00765C97">
        <w:rPr>
          <w:rFonts w:ascii="Arial" w:hAnsi="Arial"/>
          <w:lang w:val="pl-PL"/>
        </w:rPr>
        <w:t>a</w:t>
      </w:r>
      <w:r w:rsidRPr="00765C97">
        <w:rPr>
          <w:rFonts w:ascii="Arial" w:hAnsi="Arial"/>
          <w:lang w:val="pl-PL"/>
        </w:rPr>
        <w:t>rch S.A. wystąpił do Ministra Gospodarki o zmianę warunków zezwolenia i w dniu 1 lipca 2004 r. otrzymał decyzję Ministra Gospodarki z dnia 24 czerwca 2004 r. dotyczącą zmiany warunków zezwolenia na określone powyżej i zgodne z Ustawą. Równocześnie w zmienionym zezwoleniu wydłużony został do 31 grudnia 2017 r. okres, na jaki zostało wydane zezwolenie dla Com</w:t>
      </w:r>
      <w:r w:rsidR="009A4D3E" w:rsidRPr="00765C97">
        <w:rPr>
          <w:rFonts w:ascii="Arial" w:hAnsi="Arial"/>
          <w:lang w:val="pl-PL"/>
        </w:rPr>
        <w:t>a</w:t>
      </w:r>
      <w:r w:rsidRPr="00765C97">
        <w:rPr>
          <w:rFonts w:ascii="Arial" w:hAnsi="Arial"/>
          <w:lang w:val="pl-PL"/>
        </w:rPr>
        <w:t>rch S.A. Oznacza to wydłużenie okresu, w jakim Spółka będzie mogła wykorzystać limit pomocy publicznej, przysługujący z tytułu poniesionych w specjalnej strefie ekonomicznej inwestycji.</w:t>
      </w:r>
    </w:p>
    <w:p w:rsidR="00593A17" w:rsidRPr="00765C97" w:rsidRDefault="00593A17" w:rsidP="00833CBA">
      <w:pPr>
        <w:pStyle w:val="Style1"/>
        <w:jc w:val="both"/>
        <w:rPr>
          <w:rFonts w:ascii="Arial" w:hAnsi="Arial"/>
          <w:lang w:val="pl-PL"/>
        </w:rPr>
      </w:pPr>
    </w:p>
    <w:p w:rsidR="00D24515" w:rsidRPr="00765C97" w:rsidRDefault="00D24515" w:rsidP="00833CBA">
      <w:pPr>
        <w:pStyle w:val="Style1"/>
        <w:jc w:val="both"/>
        <w:rPr>
          <w:rFonts w:ascii="Arial" w:hAnsi="Arial"/>
          <w:lang w:val="pl-PL"/>
        </w:rPr>
      </w:pPr>
      <w:r w:rsidRPr="00765C97">
        <w:rPr>
          <w:rFonts w:ascii="Arial" w:hAnsi="Arial"/>
          <w:lang w:val="pl-PL"/>
        </w:rPr>
        <w:t>Zgodnie z MSR 12 niewykorzystana ulga podatkowa na dzień 31 grudnia 201</w:t>
      </w:r>
      <w:r w:rsidR="00A30544" w:rsidRPr="00765C97">
        <w:rPr>
          <w:rFonts w:ascii="Arial" w:hAnsi="Arial"/>
          <w:lang w:val="pl-PL"/>
        </w:rPr>
        <w:t>2</w:t>
      </w:r>
      <w:r w:rsidRPr="00765C97">
        <w:rPr>
          <w:rFonts w:ascii="Arial" w:hAnsi="Arial"/>
          <w:lang w:val="pl-PL"/>
        </w:rPr>
        <w:t xml:space="preserve"> r. stanowi  aktywa z tytułu odroczonego podatku dochodowego. Aktywa z tytułu odroczonego podatku dochodowego ustala się w wysokości kwoty przewidzianej w przyszłości do odliczenia od podatku dochodowego, w związku z ujemnymi różnicami przejściowymi oraz z tytułu ulgi w podatku dochodowym w związku z prowadzeniem działalności w SSE, które spowodują w przyszłości zmniejszenie podstawy obliczenia podatku dochodowego oraz straty podatkowej możliwej do odliczenia, ustalonej przy uwzględnieniu zasady ostrożności. Ze względu na pow</w:t>
      </w:r>
      <w:r w:rsidR="00CA04A8" w:rsidRPr="00765C97">
        <w:rPr>
          <w:rFonts w:ascii="Arial" w:hAnsi="Arial"/>
          <w:lang w:val="pl-PL"/>
        </w:rPr>
        <w:t>yższa zasadę aktywa z tytuł</w:t>
      </w:r>
      <w:r w:rsidRPr="00765C97">
        <w:rPr>
          <w:rFonts w:ascii="Arial" w:hAnsi="Arial"/>
          <w:lang w:val="pl-PL"/>
        </w:rPr>
        <w:t xml:space="preserve">u </w:t>
      </w:r>
      <w:r w:rsidR="00CA04A8" w:rsidRPr="00765C97">
        <w:rPr>
          <w:rFonts w:ascii="Arial" w:hAnsi="Arial"/>
          <w:lang w:val="pl-PL"/>
        </w:rPr>
        <w:t xml:space="preserve">działalności w SSE </w:t>
      </w:r>
      <w:r w:rsidRPr="00765C97">
        <w:rPr>
          <w:rFonts w:ascii="Arial" w:hAnsi="Arial"/>
          <w:lang w:val="pl-PL"/>
        </w:rPr>
        <w:t>ustala się jedynie w rocznym horyzoncie czasowym, przyjmując za bazę do jego ustalenia przeciętny dochód uzyskany z działalności strefowej z okresu 3 lat</w:t>
      </w:r>
      <w:r w:rsidR="00507821" w:rsidRPr="00765C97">
        <w:rPr>
          <w:rFonts w:ascii="Arial" w:hAnsi="Arial"/>
          <w:lang w:val="pl-PL"/>
        </w:rPr>
        <w:t xml:space="preserve"> </w:t>
      </w:r>
      <w:r w:rsidRPr="00765C97">
        <w:rPr>
          <w:rFonts w:ascii="Arial" w:hAnsi="Arial"/>
          <w:lang w:val="pl-PL"/>
        </w:rPr>
        <w:t>(łącznie z rokiem</w:t>
      </w:r>
      <w:r w:rsidR="00507821" w:rsidRPr="00765C97">
        <w:rPr>
          <w:rFonts w:ascii="Arial" w:hAnsi="Arial"/>
          <w:lang w:val="pl-PL"/>
        </w:rPr>
        <w:t>,</w:t>
      </w:r>
      <w:r w:rsidRPr="00765C97">
        <w:rPr>
          <w:rFonts w:ascii="Arial" w:hAnsi="Arial"/>
          <w:lang w:val="pl-PL"/>
        </w:rPr>
        <w:t xml:space="preserve"> za który jest sporządzane sprawozdanie).</w:t>
      </w:r>
    </w:p>
    <w:p w:rsidR="00B24DA9" w:rsidRPr="00765C97" w:rsidRDefault="00B24DA9" w:rsidP="00833CBA">
      <w:pPr>
        <w:pStyle w:val="Style1"/>
        <w:jc w:val="both"/>
        <w:rPr>
          <w:rFonts w:ascii="Arial" w:hAnsi="Arial"/>
          <w:lang w:val="pl-PL"/>
        </w:rPr>
      </w:pPr>
      <w:r w:rsidRPr="00765C97">
        <w:rPr>
          <w:rFonts w:ascii="Arial" w:hAnsi="Arial"/>
          <w:lang w:val="pl-PL"/>
        </w:rPr>
        <w:t xml:space="preserve"> </w:t>
      </w:r>
    </w:p>
    <w:p w:rsidR="00A30544" w:rsidRPr="00765C97" w:rsidRDefault="007B0865" w:rsidP="00833CBA">
      <w:pPr>
        <w:pStyle w:val="Style1"/>
        <w:jc w:val="both"/>
        <w:rPr>
          <w:rFonts w:ascii="Arial" w:hAnsi="Arial"/>
          <w:lang w:val="pl-PL"/>
        </w:rPr>
      </w:pPr>
      <w:r w:rsidRPr="00765C97">
        <w:rPr>
          <w:rFonts w:ascii="Arial" w:hAnsi="Arial"/>
          <w:lang w:val="pl-PL"/>
        </w:rPr>
        <w:t xml:space="preserve">W </w:t>
      </w:r>
      <w:r w:rsidR="0084157E" w:rsidRPr="00765C97">
        <w:rPr>
          <w:rFonts w:ascii="Arial" w:hAnsi="Arial"/>
          <w:lang w:val="pl-PL"/>
        </w:rPr>
        <w:t>trakcie roku 201</w:t>
      </w:r>
      <w:r w:rsidR="002C167B" w:rsidRPr="00765C97">
        <w:rPr>
          <w:rFonts w:ascii="Arial" w:hAnsi="Arial"/>
          <w:lang w:val="pl-PL"/>
        </w:rPr>
        <w:t>2</w:t>
      </w:r>
      <w:r w:rsidR="0084157E" w:rsidRPr="00765C97">
        <w:rPr>
          <w:rFonts w:ascii="Arial" w:hAnsi="Arial"/>
          <w:lang w:val="pl-PL"/>
        </w:rPr>
        <w:t xml:space="preserve"> r. dokonano rozwiązania utworzonego na dzień 31 grudnia 201</w:t>
      </w:r>
      <w:r w:rsidR="002C167B" w:rsidRPr="00765C97">
        <w:rPr>
          <w:rFonts w:ascii="Arial" w:hAnsi="Arial"/>
          <w:lang w:val="pl-PL"/>
        </w:rPr>
        <w:t>1</w:t>
      </w:r>
      <w:r w:rsidR="0084157E" w:rsidRPr="00765C97">
        <w:rPr>
          <w:rFonts w:ascii="Arial" w:hAnsi="Arial"/>
          <w:lang w:val="pl-PL"/>
        </w:rPr>
        <w:t xml:space="preserve"> r. aktywa z tytułu działalności strefowej w kwocie 9 </w:t>
      </w:r>
      <w:r w:rsidR="002C167B" w:rsidRPr="00765C97">
        <w:rPr>
          <w:rFonts w:ascii="Arial" w:hAnsi="Arial"/>
          <w:lang w:val="pl-PL"/>
        </w:rPr>
        <w:t>904</w:t>
      </w:r>
      <w:r w:rsidR="0084157E" w:rsidRPr="00765C97">
        <w:rPr>
          <w:rFonts w:ascii="Arial" w:hAnsi="Arial"/>
          <w:lang w:val="pl-PL"/>
        </w:rPr>
        <w:t xml:space="preserve"> tys. zł (operacja ta powoduje spadek wyniku finansowego). Jednocześnie dokonano utworzenia aktywa w kwocie </w:t>
      </w:r>
      <w:r w:rsidR="002C167B" w:rsidRPr="00765C97">
        <w:rPr>
          <w:rFonts w:ascii="Arial" w:hAnsi="Arial"/>
          <w:lang w:val="pl-PL"/>
        </w:rPr>
        <w:t>10 055</w:t>
      </w:r>
      <w:r w:rsidR="0084157E" w:rsidRPr="00765C97">
        <w:rPr>
          <w:rFonts w:ascii="Arial" w:hAnsi="Arial"/>
          <w:lang w:val="pl-PL"/>
        </w:rPr>
        <w:t xml:space="preserve"> tys. zł, które to aktywo będzie realizować się sukcesywnie (w postaci odpisów pomniejszających zysk netto Grupy), w proporcji do generowania przez Comarch S.A. dochodu podatkowego osiągniętego z działalności zwolnionej na przestrzeni roku 2012. Równocześnie, zgodnie z MSR 12, Spółka będzie regularnie dokonywać weryfikacji wyceny rozpoznanego Aktywa pod kątem możliwości jego realizacji oraz dalszego rozpoznania na kolejne okresy. Zwracamy uwagę, iż rozpoznanie Aktywa nie wpływa na przepływy pieniężne w </w:t>
      </w:r>
      <w:r w:rsidR="00F35BD0" w:rsidRPr="00765C97">
        <w:rPr>
          <w:rFonts w:ascii="Arial" w:hAnsi="Arial"/>
          <w:lang w:val="pl-PL"/>
        </w:rPr>
        <w:t>j</w:t>
      </w:r>
      <w:r w:rsidR="0084157E" w:rsidRPr="00765C97">
        <w:rPr>
          <w:rFonts w:ascii="Arial" w:hAnsi="Arial"/>
          <w:lang w:val="pl-PL"/>
        </w:rPr>
        <w:t>ednostce dominującej ani w Grupie (zarówno rozpoznanie Aktywa, jak również jego realizacja). Operacja ta ma więc charakter wyłącznie memoriałowy i wynika z zastosowania przez Grupę Międzynarodowych Standardów Sprawozdawczości Finansowej do sporządzenia skonsolidowanego sprawozdania finansowego Grupy Comarch.</w:t>
      </w:r>
    </w:p>
    <w:p w:rsidR="00A30544" w:rsidRPr="00765C97" w:rsidRDefault="00A30544" w:rsidP="00833CBA">
      <w:pPr>
        <w:pStyle w:val="Style1"/>
        <w:jc w:val="both"/>
        <w:rPr>
          <w:rFonts w:ascii="Arial" w:hAnsi="Arial"/>
          <w:lang w:val="pl-PL"/>
        </w:rPr>
      </w:pPr>
    </w:p>
    <w:p w:rsidR="00A30544" w:rsidRPr="00765C97" w:rsidRDefault="00A30544" w:rsidP="00833CBA">
      <w:pPr>
        <w:pStyle w:val="Style1"/>
        <w:jc w:val="both"/>
        <w:rPr>
          <w:rFonts w:ascii="Arial" w:hAnsi="Arial"/>
          <w:lang w:val="pl-PL"/>
        </w:rPr>
      </w:pPr>
      <w:r w:rsidRPr="00765C97">
        <w:rPr>
          <w:rFonts w:ascii="Arial" w:hAnsi="Arial"/>
          <w:lang w:val="pl-PL"/>
        </w:rPr>
        <w:t xml:space="preserve">W roku 2012 Grupa dokonała częściowego rozliczenia aktywa utworzonego na 31 grudnia 2011 roku z tytułu podatku odroczonego dotyczącego różnic przejściowych w kwocie </w:t>
      </w:r>
      <w:r w:rsidRPr="00765C97">
        <w:rPr>
          <w:rFonts w:ascii="Arial" w:hAnsi="Arial"/>
          <w:lang w:val="pl-PL"/>
        </w:rPr>
        <w:br/>
      </w:r>
      <w:r w:rsidR="00A652FF" w:rsidRPr="00765C97">
        <w:rPr>
          <w:rFonts w:ascii="Arial" w:hAnsi="Arial"/>
          <w:lang w:val="pl-PL"/>
        </w:rPr>
        <w:t>5 97</w:t>
      </w:r>
      <w:r w:rsidR="00593A17" w:rsidRPr="00765C97">
        <w:rPr>
          <w:rFonts w:ascii="Arial" w:hAnsi="Arial"/>
          <w:lang w:val="pl-PL"/>
        </w:rPr>
        <w:t>1</w:t>
      </w:r>
      <w:r w:rsidRPr="00765C97">
        <w:rPr>
          <w:rFonts w:ascii="Arial" w:hAnsi="Arial"/>
          <w:lang w:val="pl-PL"/>
        </w:rPr>
        <w:t xml:space="preserve"> tys. zł oraz dokonano utworzenia aktywa z tytułu różnic przejściowych w kwocie </w:t>
      </w:r>
      <w:r w:rsidRPr="00765C97">
        <w:rPr>
          <w:rFonts w:ascii="Arial" w:hAnsi="Arial"/>
          <w:lang w:val="pl-PL"/>
        </w:rPr>
        <w:br/>
      </w:r>
      <w:r w:rsidR="00A652FF" w:rsidRPr="00765C97">
        <w:rPr>
          <w:rFonts w:ascii="Arial" w:hAnsi="Arial"/>
          <w:lang w:val="pl-PL"/>
        </w:rPr>
        <w:t>3 10</w:t>
      </w:r>
      <w:r w:rsidR="00593A17" w:rsidRPr="00765C97">
        <w:rPr>
          <w:rFonts w:ascii="Arial" w:hAnsi="Arial"/>
          <w:lang w:val="pl-PL"/>
        </w:rPr>
        <w:t>4</w:t>
      </w:r>
      <w:r w:rsidRPr="00765C97">
        <w:rPr>
          <w:rFonts w:ascii="Arial" w:hAnsi="Arial"/>
          <w:lang w:val="pl-PL"/>
        </w:rPr>
        <w:t xml:space="preserve"> tys. zł a także rozwiązania aktywa z tytułu straty podatkowej w kwocie 6 1</w:t>
      </w:r>
      <w:r w:rsidR="00A652FF" w:rsidRPr="00765C97">
        <w:rPr>
          <w:rFonts w:ascii="Arial" w:hAnsi="Arial"/>
          <w:lang w:val="pl-PL"/>
        </w:rPr>
        <w:t>94</w:t>
      </w:r>
      <w:r w:rsidRPr="00765C97">
        <w:rPr>
          <w:rFonts w:ascii="Arial" w:hAnsi="Arial"/>
          <w:lang w:val="pl-PL"/>
        </w:rPr>
        <w:t xml:space="preserve"> tys. zł oraz utworzenia w kwocie </w:t>
      </w:r>
      <w:r w:rsidR="00A652FF" w:rsidRPr="00765C97">
        <w:rPr>
          <w:rFonts w:ascii="Arial" w:hAnsi="Arial"/>
          <w:lang w:val="pl-PL"/>
        </w:rPr>
        <w:t>3 192</w:t>
      </w:r>
      <w:r w:rsidRPr="00765C97">
        <w:rPr>
          <w:rFonts w:ascii="Arial" w:hAnsi="Arial"/>
          <w:lang w:val="pl-PL"/>
        </w:rPr>
        <w:t xml:space="preserve"> tys. zł. Łączny wpływ wszystkich powyżej opisanych operacji na wynik netto roku 2012 wyniósł </w:t>
      </w:r>
      <w:r w:rsidR="00D106A3" w:rsidRPr="00765C97">
        <w:rPr>
          <w:rFonts w:ascii="Arial" w:hAnsi="Arial"/>
          <w:lang w:val="pl-PL"/>
        </w:rPr>
        <w:t>+</w:t>
      </w:r>
      <w:r w:rsidR="00A652FF" w:rsidRPr="00765C97">
        <w:rPr>
          <w:rFonts w:ascii="Arial" w:hAnsi="Arial"/>
          <w:lang w:val="pl-PL"/>
        </w:rPr>
        <w:t>16</w:t>
      </w:r>
      <w:r w:rsidRPr="00765C97">
        <w:rPr>
          <w:rFonts w:ascii="Arial" w:hAnsi="Arial"/>
          <w:lang w:val="pl-PL"/>
        </w:rPr>
        <w:t xml:space="preserve"> tys. zł.</w:t>
      </w:r>
    </w:p>
    <w:p w:rsidR="00A30544" w:rsidRPr="00765C97" w:rsidRDefault="00A30544" w:rsidP="00833CBA">
      <w:pPr>
        <w:pStyle w:val="Style1"/>
        <w:jc w:val="both"/>
        <w:rPr>
          <w:rFonts w:ascii="Arial" w:hAnsi="Arial"/>
          <w:lang w:val="pl-PL"/>
        </w:rPr>
      </w:pPr>
    </w:p>
    <w:p w:rsidR="00A30544" w:rsidRPr="00765C97" w:rsidRDefault="00A30544" w:rsidP="00833CBA">
      <w:pPr>
        <w:pStyle w:val="Style1"/>
        <w:jc w:val="both"/>
        <w:rPr>
          <w:rFonts w:ascii="Arial" w:hAnsi="Arial"/>
          <w:lang w:val="pl-PL"/>
        </w:rPr>
      </w:pPr>
      <w:r w:rsidRPr="00765C97">
        <w:rPr>
          <w:rFonts w:ascii="Arial" w:hAnsi="Arial"/>
          <w:lang w:val="pl-PL"/>
        </w:rPr>
        <w:t>Zgodnie z obowiązującymi w Niemczech uregulowaniami w zakresie przepisów podatkowych nie istnieje czasowe ograniczenie możliwości rozliczenia straty podatkowej.</w:t>
      </w:r>
    </w:p>
    <w:p w:rsidR="00A30544" w:rsidRPr="00765C97" w:rsidRDefault="00A30544" w:rsidP="00833CBA">
      <w:pPr>
        <w:pStyle w:val="Style1"/>
        <w:jc w:val="both"/>
        <w:rPr>
          <w:rFonts w:ascii="Arial" w:hAnsi="Arial"/>
          <w:lang w:val="pl-PL"/>
        </w:rPr>
      </w:pPr>
      <w:r w:rsidRPr="00765C97">
        <w:rPr>
          <w:rFonts w:ascii="Arial" w:hAnsi="Arial"/>
          <w:lang w:val="pl-PL"/>
        </w:rPr>
        <w:t xml:space="preserve">W spółce CSuB AG poniesiona w latach poprzednich strata podatkowa wynosi ok. </w:t>
      </w:r>
      <w:r w:rsidRPr="00765C97">
        <w:rPr>
          <w:rFonts w:ascii="Arial" w:hAnsi="Arial"/>
          <w:lang w:val="pl-PL"/>
        </w:rPr>
        <w:br/>
        <w:t>11,5 mln EUR, dla której wartość teoretyczna aktywa to 3,7 mln EUR.</w:t>
      </w:r>
    </w:p>
    <w:p w:rsidR="007B0865" w:rsidRPr="00765C97" w:rsidRDefault="00A30544" w:rsidP="00833CBA">
      <w:pPr>
        <w:pStyle w:val="Style1"/>
        <w:jc w:val="both"/>
        <w:rPr>
          <w:rFonts w:ascii="Arial" w:hAnsi="Arial"/>
          <w:lang w:val="pl-PL"/>
        </w:rPr>
      </w:pPr>
      <w:r w:rsidRPr="00765C97">
        <w:rPr>
          <w:rFonts w:ascii="Arial" w:hAnsi="Arial"/>
          <w:lang w:val="pl-PL"/>
        </w:rPr>
        <w:t xml:space="preserve">W sprawozdaniu finansowym CSuB na 31 grudnia 2012 r. zostało ujęte z powyższego tytułu aktywo w wysokości ok. 1 </w:t>
      </w:r>
      <w:r w:rsidR="008C3E69" w:rsidRPr="00765C97">
        <w:rPr>
          <w:rFonts w:ascii="Arial" w:hAnsi="Arial"/>
          <w:lang w:val="pl-PL"/>
        </w:rPr>
        <w:t>000</w:t>
      </w:r>
      <w:r w:rsidRPr="00765C97">
        <w:rPr>
          <w:rFonts w:ascii="Arial" w:hAnsi="Arial"/>
          <w:lang w:val="pl-PL"/>
        </w:rPr>
        <w:t xml:space="preserve"> tys. EUR, gdyż zostało ono ustalone dla okresu, w odniesieniu do którego można dokonać wiarygodnych szacunków w zakresie możliwości osiągnięcia dochodu podatkowego.</w:t>
      </w:r>
    </w:p>
    <w:p w:rsidR="00A30544" w:rsidRPr="00765C97" w:rsidRDefault="00A30544" w:rsidP="00833CBA">
      <w:pPr>
        <w:pStyle w:val="Style1"/>
        <w:jc w:val="both"/>
        <w:rPr>
          <w:rFonts w:ascii="Arial" w:hAnsi="Arial"/>
          <w:lang w:val="pl-PL"/>
        </w:rPr>
      </w:pPr>
    </w:p>
    <w:p w:rsidR="00A30544" w:rsidRPr="00765C97" w:rsidRDefault="00A30544" w:rsidP="00833CBA">
      <w:pPr>
        <w:pStyle w:val="Style1"/>
        <w:jc w:val="both"/>
        <w:rPr>
          <w:rFonts w:ascii="Arial" w:hAnsi="Arial"/>
          <w:szCs w:val="20"/>
          <w:lang w:val="pl-PL"/>
        </w:rPr>
      </w:pPr>
      <w:r w:rsidRPr="00765C97">
        <w:rPr>
          <w:rFonts w:ascii="Arial" w:hAnsi="Arial"/>
          <w:lang w:val="pl-PL"/>
        </w:rPr>
        <w:t xml:space="preserve">W związku z wyceną wartości aktywów netto CCF FIZ dokonano w roku 2012 częściowego rozwiązania utworzonej w latach poprzednich rezerwy w kwocie 2 308 tys. zł. Równocześnie dokonano utworzenia rezerwy na podatek odroczony z tytułu różnic przejściowych w kwocie </w:t>
      </w:r>
      <w:r w:rsidRPr="00765C97">
        <w:rPr>
          <w:rFonts w:ascii="Arial" w:hAnsi="Arial"/>
          <w:lang w:val="pl-PL"/>
        </w:rPr>
        <w:br/>
      </w:r>
      <w:r w:rsidR="008C3E69" w:rsidRPr="00765C97">
        <w:rPr>
          <w:rFonts w:ascii="Arial" w:hAnsi="Arial"/>
          <w:lang w:val="pl-PL"/>
        </w:rPr>
        <w:t>1 506</w:t>
      </w:r>
      <w:r w:rsidRPr="00765C97">
        <w:rPr>
          <w:rFonts w:ascii="Arial" w:hAnsi="Arial"/>
          <w:lang w:val="pl-PL"/>
        </w:rPr>
        <w:t xml:space="preserve"> tys. zł i rozwiązania z tego samego tytułu w kwocie </w:t>
      </w:r>
      <w:r w:rsidR="008C3E69" w:rsidRPr="00765C97">
        <w:rPr>
          <w:rFonts w:ascii="Arial" w:hAnsi="Arial"/>
          <w:lang w:val="pl-PL"/>
        </w:rPr>
        <w:t>2</w:t>
      </w:r>
      <w:r w:rsidR="004531EF" w:rsidRPr="00765C97">
        <w:rPr>
          <w:rFonts w:ascii="Arial" w:hAnsi="Arial"/>
          <w:lang w:val="pl-PL"/>
        </w:rPr>
        <w:t xml:space="preserve"> </w:t>
      </w:r>
      <w:r w:rsidR="008C3E69" w:rsidRPr="00765C97">
        <w:rPr>
          <w:rFonts w:ascii="Arial" w:hAnsi="Arial"/>
          <w:lang w:val="pl-PL"/>
        </w:rPr>
        <w:t>682</w:t>
      </w:r>
      <w:r w:rsidRPr="00765C97">
        <w:rPr>
          <w:rFonts w:ascii="Arial" w:hAnsi="Arial"/>
          <w:lang w:val="pl-PL"/>
        </w:rPr>
        <w:t xml:space="preserve">  tys. zł. W roku 2012 dokonano też zmniejszenia rezerwy utworzonej w związku z nabyciem Grupy Comarch SuB w kwocie </w:t>
      </w:r>
      <w:r w:rsidR="00B471FA" w:rsidRPr="00765C97">
        <w:rPr>
          <w:rFonts w:ascii="Arial" w:hAnsi="Arial"/>
          <w:lang w:val="pl-PL"/>
        </w:rPr>
        <w:br/>
      </w:r>
      <w:r w:rsidRPr="00765C97">
        <w:rPr>
          <w:rFonts w:ascii="Arial" w:hAnsi="Arial"/>
          <w:lang w:val="pl-PL"/>
        </w:rPr>
        <w:t xml:space="preserve">5 286 tys. zł oraz utworzenia i rozwiązania rezerw z tytułu nabycia spółek A-MEA Informatik AG i ESAProjekt Sp. z o.o. w kwocie 2 173 tys. zł. Łączny wpływ powyższych operacji na wynik netto za 2012 rok wyniósł +6 </w:t>
      </w:r>
      <w:r w:rsidR="008C3E69" w:rsidRPr="00765C97">
        <w:rPr>
          <w:rFonts w:ascii="Arial" w:hAnsi="Arial"/>
          <w:lang w:val="pl-PL"/>
        </w:rPr>
        <w:t>597</w:t>
      </w:r>
      <w:r w:rsidRPr="00765C97">
        <w:rPr>
          <w:rFonts w:ascii="Arial" w:hAnsi="Arial"/>
          <w:lang w:val="pl-PL"/>
        </w:rPr>
        <w:t xml:space="preserve"> tys. zł. Ogółem zmiany w podatku odroczonym spowodowały wzrost wyniku o </w:t>
      </w:r>
      <w:r w:rsidR="008C3E69" w:rsidRPr="00765C97">
        <w:rPr>
          <w:rFonts w:ascii="Arial" w:hAnsi="Arial"/>
          <w:lang w:val="pl-PL"/>
        </w:rPr>
        <w:t>6 613</w:t>
      </w:r>
      <w:r w:rsidRPr="00765C97">
        <w:rPr>
          <w:rFonts w:ascii="Arial" w:hAnsi="Arial"/>
          <w:lang w:val="pl-PL"/>
        </w:rPr>
        <w:t xml:space="preserve"> tys. zł.</w:t>
      </w:r>
    </w:p>
    <w:p w:rsidR="00B24DA9" w:rsidRPr="00765C97" w:rsidRDefault="00B24DA9" w:rsidP="00135A9A">
      <w:pPr>
        <w:pStyle w:val="Nagwek3"/>
        <w:numPr>
          <w:ilvl w:val="1"/>
          <w:numId w:val="22"/>
        </w:numPr>
        <w:spacing w:after="240"/>
        <w:ind w:left="709" w:hanging="567"/>
        <w:rPr>
          <w:sz w:val="20"/>
          <w:lang w:val="pl-PL"/>
        </w:rPr>
      </w:pPr>
      <w:bookmarkStart w:id="75" w:name="_Toc353973232"/>
      <w:r w:rsidRPr="00765C97">
        <w:rPr>
          <w:sz w:val="20"/>
          <w:lang w:val="pl-PL"/>
        </w:rPr>
        <w:t>Rezerwy na pozostałe zobowiązania i obciążenia</w:t>
      </w:r>
      <w:bookmarkEnd w:id="75"/>
    </w:p>
    <w:tbl>
      <w:tblPr>
        <w:tblW w:w="8208" w:type="dxa"/>
        <w:tblLayout w:type="fixed"/>
        <w:tblCellMar>
          <w:left w:w="0" w:type="dxa"/>
          <w:right w:w="0" w:type="dxa"/>
        </w:tblCellMar>
        <w:tblLook w:val="0000"/>
      </w:tblPr>
      <w:tblGrid>
        <w:gridCol w:w="2268"/>
        <w:gridCol w:w="1260"/>
        <w:gridCol w:w="1440"/>
        <w:gridCol w:w="1080"/>
        <w:gridCol w:w="1080"/>
        <w:gridCol w:w="1080"/>
      </w:tblGrid>
      <w:tr w:rsidR="00BC00E8" w:rsidRPr="00765C97" w:rsidTr="00C16AA7">
        <w:trPr>
          <w:trHeight w:val="255"/>
        </w:trPr>
        <w:tc>
          <w:tcPr>
            <w:tcW w:w="2268" w:type="dxa"/>
            <w:tcBorders>
              <w:top w:val="nil"/>
              <w:left w:val="nil"/>
              <w:bottom w:val="nil"/>
              <w:right w:val="nil"/>
            </w:tcBorders>
            <w:vAlign w:val="center"/>
          </w:tcPr>
          <w:p w:rsidR="00BC00E8" w:rsidRPr="00765C97" w:rsidRDefault="00BC00E8">
            <w:pPr>
              <w:rPr>
                <w:rFonts w:ascii="Arial" w:hAnsi="Arial"/>
                <w:b/>
                <w:sz w:val="20"/>
                <w:lang w:val="pl-PL"/>
              </w:rPr>
            </w:pPr>
            <w:r w:rsidRPr="00765C97">
              <w:rPr>
                <w:rFonts w:ascii="Arial" w:hAnsi="Arial"/>
                <w:b/>
                <w:sz w:val="20"/>
                <w:lang w:val="pl-PL"/>
              </w:rPr>
              <w:t>Długoterminowe</w:t>
            </w:r>
          </w:p>
        </w:tc>
        <w:tc>
          <w:tcPr>
            <w:tcW w:w="1260" w:type="dxa"/>
            <w:tcBorders>
              <w:top w:val="nil"/>
              <w:left w:val="nil"/>
              <w:bottom w:val="nil"/>
              <w:right w:val="nil"/>
            </w:tcBorders>
            <w:vAlign w:val="center"/>
          </w:tcPr>
          <w:p w:rsidR="00BC00E8" w:rsidRPr="00765C97" w:rsidRDefault="00BC00E8">
            <w:pPr>
              <w:ind w:right="136"/>
              <w:jc w:val="right"/>
              <w:rPr>
                <w:rFonts w:ascii="Arial" w:hAnsi="Arial"/>
                <w:b/>
                <w:sz w:val="20"/>
                <w:lang w:val="pl-PL"/>
              </w:rPr>
            </w:pPr>
            <w:r w:rsidRPr="00765C97">
              <w:rPr>
                <w:rFonts w:ascii="Arial" w:hAnsi="Arial"/>
                <w:b/>
                <w:sz w:val="20"/>
                <w:lang w:val="pl-PL"/>
              </w:rPr>
              <w:t>Rezerwy na kary umowne</w:t>
            </w:r>
          </w:p>
        </w:tc>
        <w:tc>
          <w:tcPr>
            <w:tcW w:w="1440" w:type="dxa"/>
            <w:tcBorders>
              <w:top w:val="nil"/>
              <w:left w:val="nil"/>
              <w:bottom w:val="nil"/>
              <w:right w:val="nil"/>
            </w:tcBorders>
            <w:vAlign w:val="center"/>
          </w:tcPr>
          <w:p w:rsidR="00BC00E8" w:rsidRPr="00765C97" w:rsidRDefault="00BC00E8">
            <w:pPr>
              <w:ind w:right="136"/>
              <w:jc w:val="right"/>
              <w:rPr>
                <w:rFonts w:ascii="Arial" w:hAnsi="Arial"/>
                <w:b/>
                <w:sz w:val="20"/>
                <w:lang w:val="pl-PL"/>
              </w:rPr>
            </w:pPr>
            <w:r w:rsidRPr="00765C97">
              <w:rPr>
                <w:rFonts w:ascii="Arial" w:hAnsi="Arial"/>
                <w:b/>
                <w:sz w:val="20"/>
                <w:lang w:val="pl-PL"/>
              </w:rPr>
              <w:t>Rezerwy na koszty spraw sądowych</w:t>
            </w:r>
          </w:p>
        </w:tc>
        <w:tc>
          <w:tcPr>
            <w:tcW w:w="1080" w:type="dxa"/>
            <w:tcBorders>
              <w:top w:val="nil"/>
              <w:left w:val="nil"/>
              <w:bottom w:val="nil"/>
              <w:right w:val="nil"/>
            </w:tcBorders>
            <w:vAlign w:val="center"/>
          </w:tcPr>
          <w:p w:rsidR="00BC00E8" w:rsidRPr="00765C97" w:rsidRDefault="00BC00E8">
            <w:pPr>
              <w:ind w:right="137"/>
              <w:jc w:val="right"/>
              <w:rPr>
                <w:rFonts w:ascii="Arial" w:hAnsi="Arial"/>
                <w:b/>
                <w:sz w:val="20"/>
                <w:lang w:val="pl-PL"/>
              </w:rPr>
            </w:pPr>
            <w:r w:rsidRPr="00765C97">
              <w:rPr>
                <w:rFonts w:ascii="Arial" w:hAnsi="Arial"/>
                <w:b/>
                <w:sz w:val="20"/>
                <w:lang w:val="pl-PL"/>
              </w:rPr>
              <w:t>Rezerwy na podatki</w:t>
            </w:r>
          </w:p>
        </w:tc>
        <w:tc>
          <w:tcPr>
            <w:tcW w:w="1080" w:type="dxa"/>
            <w:tcBorders>
              <w:top w:val="nil"/>
              <w:left w:val="nil"/>
              <w:bottom w:val="nil"/>
              <w:right w:val="nil"/>
            </w:tcBorders>
            <w:vAlign w:val="center"/>
          </w:tcPr>
          <w:p w:rsidR="00BC00E8" w:rsidRPr="00765C97" w:rsidRDefault="00BC00E8" w:rsidP="00157382">
            <w:pPr>
              <w:ind w:right="137"/>
              <w:jc w:val="right"/>
              <w:rPr>
                <w:rFonts w:ascii="Arial" w:hAnsi="Arial"/>
                <w:b/>
                <w:sz w:val="20"/>
                <w:lang w:val="pl-PL"/>
              </w:rPr>
            </w:pPr>
            <w:r w:rsidRPr="00765C97">
              <w:rPr>
                <w:rFonts w:ascii="Arial" w:hAnsi="Arial"/>
                <w:b/>
                <w:sz w:val="20"/>
                <w:lang w:val="pl-PL"/>
              </w:rPr>
              <w:t>Rezerwy na</w:t>
            </w:r>
            <w:r w:rsidR="00157382" w:rsidRPr="00765C97">
              <w:rPr>
                <w:rFonts w:ascii="Arial" w:hAnsi="Arial"/>
                <w:b/>
                <w:sz w:val="20"/>
                <w:lang w:val="pl-PL"/>
              </w:rPr>
              <w:t xml:space="preserve"> koszty</w:t>
            </w:r>
            <w:r w:rsidRPr="00765C97">
              <w:rPr>
                <w:rFonts w:ascii="Arial" w:hAnsi="Arial"/>
                <w:b/>
                <w:sz w:val="20"/>
                <w:lang w:val="pl-PL"/>
              </w:rPr>
              <w:t xml:space="preserve"> po</w:t>
            </w:r>
            <w:r w:rsidR="00157382" w:rsidRPr="00765C97">
              <w:rPr>
                <w:rFonts w:ascii="Arial" w:hAnsi="Arial"/>
                <w:b/>
                <w:sz w:val="20"/>
                <w:lang w:val="pl-PL"/>
              </w:rPr>
              <w:t>zostałe</w:t>
            </w:r>
          </w:p>
        </w:tc>
        <w:tc>
          <w:tcPr>
            <w:tcW w:w="1080" w:type="dxa"/>
            <w:tcBorders>
              <w:top w:val="nil"/>
              <w:left w:val="nil"/>
              <w:bottom w:val="nil"/>
              <w:right w:val="nil"/>
            </w:tcBorders>
            <w:vAlign w:val="center"/>
          </w:tcPr>
          <w:p w:rsidR="00BC00E8" w:rsidRPr="00765C97" w:rsidRDefault="00BC00E8">
            <w:pPr>
              <w:ind w:right="137"/>
              <w:jc w:val="right"/>
              <w:rPr>
                <w:rFonts w:ascii="Arial" w:hAnsi="Arial"/>
                <w:b/>
                <w:sz w:val="20"/>
                <w:lang w:val="pl-PL"/>
              </w:rPr>
            </w:pPr>
            <w:r w:rsidRPr="00765C97">
              <w:rPr>
                <w:rFonts w:ascii="Arial" w:hAnsi="Arial"/>
                <w:b/>
                <w:sz w:val="20"/>
                <w:lang w:val="pl-PL"/>
              </w:rPr>
              <w:t>Ogółem</w:t>
            </w:r>
          </w:p>
        </w:tc>
      </w:tr>
      <w:tr w:rsidR="00BC00E8" w:rsidRPr="00765C97" w:rsidTr="00C16AA7">
        <w:trPr>
          <w:trHeight w:val="255"/>
        </w:trPr>
        <w:tc>
          <w:tcPr>
            <w:tcW w:w="2268" w:type="dxa"/>
            <w:tcBorders>
              <w:top w:val="nil"/>
              <w:left w:val="nil"/>
              <w:bottom w:val="nil"/>
              <w:right w:val="nil"/>
            </w:tcBorders>
            <w:vAlign w:val="center"/>
          </w:tcPr>
          <w:p w:rsidR="00613C9A" w:rsidRPr="00765C97" w:rsidRDefault="00BC00E8" w:rsidP="00D967E7">
            <w:pPr>
              <w:rPr>
                <w:rFonts w:ascii="Arial" w:hAnsi="Arial"/>
                <w:b/>
                <w:sz w:val="20"/>
                <w:lang w:val="pl-PL"/>
              </w:rPr>
            </w:pPr>
            <w:r w:rsidRPr="00765C97">
              <w:rPr>
                <w:rFonts w:ascii="Arial" w:hAnsi="Arial"/>
                <w:b/>
                <w:sz w:val="20"/>
                <w:lang w:val="pl-PL"/>
              </w:rPr>
              <w:t xml:space="preserve">Stan na </w:t>
            </w:r>
          </w:p>
          <w:p w:rsidR="00BC00E8" w:rsidRPr="00765C97" w:rsidRDefault="007A03FC" w:rsidP="00D967E7">
            <w:pPr>
              <w:rPr>
                <w:rFonts w:ascii="Arial" w:hAnsi="Arial"/>
                <w:b/>
                <w:sz w:val="20"/>
                <w:lang w:val="pl-PL"/>
              </w:rPr>
            </w:pPr>
            <w:r w:rsidRPr="00765C97">
              <w:rPr>
                <w:rFonts w:ascii="Arial" w:hAnsi="Arial"/>
                <w:b/>
                <w:sz w:val="20"/>
                <w:lang w:val="pl-PL"/>
              </w:rPr>
              <w:t>1 stycznia 2012</w:t>
            </w:r>
            <w:r w:rsidR="00BC00E8" w:rsidRPr="00765C97">
              <w:rPr>
                <w:rFonts w:ascii="Arial" w:hAnsi="Arial"/>
                <w:b/>
                <w:sz w:val="20"/>
                <w:lang w:val="pl-PL"/>
              </w:rPr>
              <w:t xml:space="preserve"> r.</w:t>
            </w:r>
          </w:p>
        </w:tc>
        <w:tc>
          <w:tcPr>
            <w:tcW w:w="1260" w:type="dxa"/>
            <w:tcBorders>
              <w:top w:val="nil"/>
              <w:left w:val="nil"/>
              <w:bottom w:val="nil"/>
              <w:right w:val="nil"/>
            </w:tcBorders>
            <w:vAlign w:val="center"/>
          </w:tcPr>
          <w:p w:rsidR="00BC00E8" w:rsidRPr="00765C97" w:rsidRDefault="00B46A6E" w:rsidP="00D967E7">
            <w:pPr>
              <w:ind w:right="137"/>
              <w:jc w:val="right"/>
              <w:rPr>
                <w:rFonts w:ascii="Arial" w:hAnsi="Arial"/>
                <w:b/>
                <w:sz w:val="20"/>
                <w:lang w:val="pl-PL"/>
              </w:rPr>
            </w:pPr>
            <w:r w:rsidRPr="00765C97">
              <w:rPr>
                <w:rFonts w:ascii="Arial" w:hAnsi="Arial"/>
                <w:b/>
                <w:sz w:val="20"/>
                <w:lang w:val="pl-PL"/>
              </w:rPr>
              <w:t xml:space="preserve">- </w:t>
            </w:r>
          </w:p>
        </w:tc>
        <w:tc>
          <w:tcPr>
            <w:tcW w:w="1440" w:type="dxa"/>
            <w:tcBorders>
              <w:top w:val="nil"/>
              <w:left w:val="nil"/>
              <w:bottom w:val="nil"/>
              <w:right w:val="nil"/>
            </w:tcBorders>
            <w:vAlign w:val="center"/>
          </w:tcPr>
          <w:p w:rsidR="00BC00E8" w:rsidRPr="00765C97" w:rsidRDefault="00B46A6E" w:rsidP="00D967E7">
            <w:pPr>
              <w:ind w:right="137"/>
              <w:jc w:val="right"/>
              <w:rPr>
                <w:rFonts w:ascii="Arial" w:hAnsi="Arial"/>
                <w:b/>
                <w:sz w:val="20"/>
                <w:lang w:val="pl-PL"/>
              </w:rPr>
            </w:pPr>
            <w:r w:rsidRPr="00765C97">
              <w:rPr>
                <w:rFonts w:ascii="Arial" w:hAnsi="Arial"/>
                <w:b/>
                <w:sz w:val="20"/>
                <w:lang w:val="pl-PL"/>
              </w:rPr>
              <w:t>-</w:t>
            </w:r>
          </w:p>
        </w:tc>
        <w:tc>
          <w:tcPr>
            <w:tcW w:w="1080" w:type="dxa"/>
            <w:tcBorders>
              <w:top w:val="nil"/>
              <w:left w:val="nil"/>
              <w:bottom w:val="nil"/>
              <w:right w:val="nil"/>
            </w:tcBorders>
            <w:vAlign w:val="center"/>
          </w:tcPr>
          <w:p w:rsidR="00BC00E8" w:rsidRPr="00765C97" w:rsidRDefault="00B46A6E" w:rsidP="00D967E7">
            <w:pPr>
              <w:ind w:right="137"/>
              <w:jc w:val="right"/>
              <w:rPr>
                <w:rFonts w:ascii="Arial" w:hAnsi="Arial"/>
                <w:b/>
                <w:sz w:val="20"/>
                <w:lang w:val="pl-PL"/>
              </w:rPr>
            </w:pPr>
            <w:r w:rsidRPr="00765C97">
              <w:rPr>
                <w:rFonts w:ascii="Arial" w:hAnsi="Arial"/>
                <w:b/>
                <w:sz w:val="20"/>
                <w:lang w:val="pl-PL"/>
              </w:rPr>
              <w:t>-</w:t>
            </w:r>
          </w:p>
        </w:tc>
        <w:tc>
          <w:tcPr>
            <w:tcW w:w="1080" w:type="dxa"/>
            <w:tcBorders>
              <w:top w:val="nil"/>
              <w:left w:val="nil"/>
              <w:bottom w:val="nil"/>
              <w:right w:val="nil"/>
            </w:tcBorders>
            <w:vAlign w:val="center"/>
          </w:tcPr>
          <w:p w:rsidR="00BC00E8" w:rsidRPr="00765C97" w:rsidRDefault="00B46A6E" w:rsidP="0054449A">
            <w:pPr>
              <w:ind w:right="137"/>
              <w:jc w:val="right"/>
              <w:rPr>
                <w:rFonts w:ascii="Arial" w:hAnsi="Arial"/>
                <w:b/>
                <w:sz w:val="20"/>
                <w:lang w:val="pl-PL"/>
              </w:rPr>
            </w:pPr>
            <w:r w:rsidRPr="00765C97">
              <w:rPr>
                <w:rFonts w:ascii="Arial" w:hAnsi="Arial"/>
                <w:b/>
                <w:sz w:val="20"/>
                <w:lang w:val="pl-PL"/>
              </w:rPr>
              <w:t>2</w:t>
            </w:r>
          </w:p>
        </w:tc>
        <w:tc>
          <w:tcPr>
            <w:tcW w:w="1080" w:type="dxa"/>
            <w:tcBorders>
              <w:top w:val="nil"/>
              <w:left w:val="nil"/>
              <w:bottom w:val="nil"/>
              <w:right w:val="nil"/>
            </w:tcBorders>
            <w:vAlign w:val="center"/>
          </w:tcPr>
          <w:p w:rsidR="00BC00E8" w:rsidRPr="00765C97" w:rsidRDefault="00B46A6E" w:rsidP="00D967E7">
            <w:pPr>
              <w:ind w:right="137"/>
              <w:jc w:val="right"/>
              <w:rPr>
                <w:rFonts w:ascii="Arial" w:hAnsi="Arial"/>
                <w:b/>
                <w:sz w:val="20"/>
                <w:lang w:val="pl-PL"/>
              </w:rPr>
            </w:pPr>
            <w:r w:rsidRPr="00765C97">
              <w:rPr>
                <w:rFonts w:ascii="Arial" w:hAnsi="Arial"/>
                <w:b/>
                <w:sz w:val="20"/>
                <w:lang w:val="pl-PL"/>
              </w:rPr>
              <w:t>2</w:t>
            </w:r>
          </w:p>
        </w:tc>
      </w:tr>
      <w:tr w:rsidR="00BC00E8" w:rsidRPr="00F346A4" w:rsidTr="00C16AA7">
        <w:trPr>
          <w:trHeight w:val="255"/>
        </w:trPr>
        <w:tc>
          <w:tcPr>
            <w:tcW w:w="2268" w:type="dxa"/>
            <w:tcBorders>
              <w:top w:val="nil"/>
              <w:left w:val="nil"/>
              <w:bottom w:val="nil"/>
              <w:right w:val="nil"/>
            </w:tcBorders>
            <w:vAlign w:val="center"/>
          </w:tcPr>
          <w:p w:rsidR="00BC00E8" w:rsidRPr="00765C97" w:rsidRDefault="00BC00E8">
            <w:pPr>
              <w:rPr>
                <w:rFonts w:ascii="Arial" w:hAnsi="Arial"/>
                <w:b/>
                <w:sz w:val="20"/>
                <w:lang w:val="pl-PL"/>
              </w:rPr>
            </w:pPr>
            <w:r w:rsidRPr="00765C97">
              <w:rPr>
                <w:rFonts w:ascii="Arial" w:hAnsi="Arial"/>
                <w:sz w:val="20"/>
                <w:lang w:val="pl-PL"/>
              </w:rPr>
              <w:t>Ujęte w skonsolidowanym rachunku zysków i strat:</w:t>
            </w:r>
          </w:p>
        </w:tc>
        <w:tc>
          <w:tcPr>
            <w:tcW w:w="1260" w:type="dxa"/>
            <w:tcBorders>
              <w:top w:val="nil"/>
              <w:left w:val="nil"/>
              <w:bottom w:val="nil"/>
              <w:right w:val="nil"/>
            </w:tcBorders>
            <w:vAlign w:val="center"/>
          </w:tcPr>
          <w:p w:rsidR="00BC00E8" w:rsidRPr="00765C97" w:rsidRDefault="00BC00E8">
            <w:pPr>
              <w:ind w:right="137"/>
              <w:jc w:val="right"/>
              <w:rPr>
                <w:rFonts w:ascii="Arial" w:hAnsi="Arial"/>
                <w:sz w:val="20"/>
                <w:lang w:val="pl-PL"/>
              </w:rPr>
            </w:pPr>
          </w:p>
        </w:tc>
        <w:tc>
          <w:tcPr>
            <w:tcW w:w="1440" w:type="dxa"/>
            <w:tcBorders>
              <w:top w:val="nil"/>
              <w:left w:val="nil"/>
              <w:bottom w:val="nil"/>
              <w:right w:val="nil"/>
            </w:tcBorders>
            <w:vAlign w:val="center"/>
          </w:tcPr>
          <w:p w:rsidR="00BC00E8" w:rsidRPr="00765C97" w:rsidRDefault="00BC00E8">
            <w:pPr>
              <w:ind w:right="137"/>
              <w:jc w:val="right"/>
              <w:rPr>
                <w:rFonts w:ascii="Arial" w:hAnsi="Arial"/>
                <w:sz w:val="20"/>
                <w:lang w:val="pl-PL"/>
              </w:rPr>
            </w:pPr>
          </w:p>
        </w:tc>
        <w:tc>
          <w:tcPr>
            <w:tcW w:w="1080" w:type="dxa"/>
            <w:tcBorders>
              <w:top w:val="nil"/>
              <w:left w:val="nil"/>
              <w:bottom w:val="nil"/>
              <w:right w:val="nil"/>
            </w:tcBorders>
            <w:vAlign w:val="center"/>
          </w:tcPr>
          <w:p w:rsidR="00BC00E8" w:rsidRPr="00765C97" w:rsidRDefault="00BC00E8">
            <w:pPr>
              <w:ind w:right="137"/>
              <w:jc w:val="right"/>
              <w:rPr>
                <w:rFonts w:ascii="Arial" w:hAnsi="Arial"/>
                <w:sz w:val="20"/>
                <w:lang w:val="pl-PL"/>
              </w:rPr>
            </w:pPr>
          </w:p>
        </w:tc>
        <w:tc>
          <w:tcPr>
            <w:tcW w:w="1080" w:type="dxa"/>
            <w:tcBorders>
              <w:top w:val="nil"/>
              <w:left w:val="nil"/>
              <w:bottom w:val="nil"/>
              <w:right w:val="nil"/>
            </w:tcBorders>
            <w:vAlign w:val="center"/>
          </w:tcPr>
          <w:p w:rsidR="00BC00E8" w:rsidRPr="00765C97" w:rsidRDefault="00BC00E8" w:rsidP="0054449A">
            <w:pPr>
              <w:ind w:right="137"/>
              <w:jc w:val="right"/>
              <w:rPr>
                <w:rFonts w:ascii="Arial" w:hAnsi="Arial"/>
                <w:sz w:val="20"/>
                <w:lang w:val="pl-PL"/>
              </w:rPr>
            </w:pPr>
          </w:p>
        </w:tc>
        <w:tc>
          <w:tcPr>
            <w:tcW w:w="1080" w:type="dxa"/>
            <w:tcBorders>
              <w:top w:val="nil"/>
              <w:left w:val="nil"/>
              <w:bottom w:val="nil"/>
              <w:right w:val="nil"/>
            </w:tcBorders>
            <w:vAlign w:val="center"/>
          </w:tcPr>
          <w:p w:rsidR="00BC00E8" w:rsidRPr="00765C97" w:rsidRDefault="00BC00E8">
            <w:pPr>
              <w:ind w:right="137"/>
              <w:jc w:val="right"/>
              <w:rPr>
                <w:rFonts w:ascii="Arial" w:hAnsi="Arial"/>
                <w:sz w:val="20"/>
                <w:lang w:val="pl-PL"/>
              </w:rPr>
            </w:pPr>
          </w:p>
        </w:tc>
      </w:tr>
      <w:tr w:rsidR="00BC00E8" w:rsidRPr="00765C97" w:rsidTr="00C16AA7">
        <w:trPr>
          <w:trHeight w:val="255"/>
        </w:trPr>
        <w:tc>
          <w:tcPr>
            <w:tcW w:w="2268" w:type="dxa"/>
            <w:tcBorders>
              <w:top w:val="nil"/>
              <w:left w:val="nil"/>
              <w:bottom w:val="nil"/>
              <w:right w:val="nil"/>
            </w:tcBorders>
            <w:vAlign w:val="center"/>
          </w:tcPr>
          <w:p w:rsidR="00BC00E8" w:rsidRPr="00765C97" w:rsidRDefault="00BC00E8">
            <w:pPr>
              <w:rPr>
                <w:rFonts w:ascii="Arial" w:hAnsi="Arial"/>
                <w:i/>
                <w:sz w:val="18"/>
                <w:szCs w:val="18"/>
                <w:lang w:val="pl-PL"/>
              </w:rPr>
            </w:pPr>
            <w:r w:rsidRPr="00765C97">
              <w:rPr>
                <w:rFonts w:ascii="Arial" w:hAnsi="Arial"/>
                <w:i/>
                <w:sz w:val="18"/>
                <w:szCs w:val="18"/>
                <w:lang w:val="pl-PL"/>
              </w:rPr>
              <w:t>– utworzenie dodatkowych rezerw</w:t>
            </w:r>
          </w:p>
        </w:tc>
        <w:tc>
          <w:tcPr>
            <w:tcW w:w="1260" w:type="dxa"/>
            <w:tcBorders>
              <w:top w:val="nil"/>
              <w:left w:val="nil"/>
              <w:right w:val="nil"/>
            </w:tcBorders>
            <w:vAlign w:val="center"/>
          </w:tcPr>
          <w:p w:rsidR="00BC00E8" w:rsidRPr="00765C97" w:rsidRDefault="00CE49D9" w:rsidP="00FA6124">
            <w:pPr>
              <w:ind w:right="137"/>
              <w:jc w:val="right"/>
              <w:rPr>
                <w:rFonts w:ascii="Arial" w:hAnsi="Arial"/>
                <w:i/>
                <w:spacing w:val="-2"/>
                <w:sz w:val="18"/>
                <w:szCs w:val="18"/>
                <w:lang w:val="pl-PL"/>
              </w:rPr>
            </w:pPr>
            <w:r w:rsidRPr="00765C97">
              <w:rPr>
                <w:rFonts w:ascii="Arial" w:hAnsi="Arial"/>
                <w:i/>
                <w:spacing w:val="-2"/>
                <w:sz w:val="18"/>
                <w:szCs w:val="18"/>
                <w:lang w:val="pl-PL"/>
              </w:rPr>
              <w:t>-</w:t>
            </w:r>
          </w:p>
        </w:tc>
        <w:tc>
          <w:tcPr>
            <w:tcW w:w="1440" w:type="dxa"/>
            <w:tcBorders>
              <w:top w:val="nil"/>
              <w:left w:val="nil"/>
              <w:right w:val="nil"/>
            </w:tcBorders>
            <w:vAlign w:val="center"/>
          </w:tcPr>
          <w:p w:rsidR="00BC00E8" w:rsidRPr="00765C97" w:rsidRDefault="00CE49D9" w:rsidP="00FA6124">
            <w:pPr>
              <w:ind w:right="137"/>
              <w:jc w:val="right"/>
              <w:rPr>
                <w:rFonts w:ascii="Arial" w:hAnsi="Arial"/>
                <w:i/>
                <w:spacing w:val="-3"/>
                <w:sz w:val="18"/>
                <w:szCs w:val="18"/>
                <w:lang w:val="pl-PL"/>
              </w:rPr>
            </w:pPr>
            <w:r w:rsidRPr="00765C97">
              <w:rPr>
                <w:rFonts w:ascii="Arial" w:hAnsi="Arial"/>
                <w:i/>
                <w:spacing w:val="-3"/>
                <w:sz w:val="18"/>
                <w:szCs w:val="18"/>
                <w:lang w:val="pl-PL"/>
              </w:rPr>
              <w:t>-</w:t>
            </w:r>
          </w:p>
        </w:tc>
        <w:tc>
          <w:tcPr>
            <w:tcW w:w="1080" w:type="dxa"/>
            <w:tcBorders>
              <w:top w:val="nil"/>
              <w:left w:val="nil"/>
              <w:right w:val="nil"/>
            </w:tcBorders>
            <w:vAlign w:val="center"/>
          </w:tcPr>
          <w:p w:rsidR="00BC00E8" w:rsidRPr="00765C97" w:rsidRDefault="00CE49D9" w:rsidP="00FA6124">
            <w:pPr>
              <w:ind w:right="137"/>
              <w:jc w:val="right"/>
              <w:rPr>
                <w:rFonts w:ascii="Arial" w:hAnsi="Arial"/>
                <w:i/>
                <w:sz w:val="18"/>
                <w:szCs w:val="18"/>
                <w:lang w:val="pl-PL"/>
              </w:rPr>
            </w:pPr>
            <w:r w:rsidRPr="00765C97">
              <w:rPr>
                <w:rFonts w:ascii="Arial" w:hAnsi="Arial"/>
                <w:i/>
                <w:sz w:val="18"/>
                <w:szCs w:val="18"/>
                <w:lang w:val="pl-PL"/>
              </w:rPr>
              <w:t>-</w:t>
            </w:r>
          </w:p>
        </w:tc>
        <w:tc>
          <w:tcPr>
            <w:tcW w:w="1080" w:type="dxa"/>
            <w:tcBorders>
              <w:top w:val="nil"/>
              <w:left w:val="nil"/>
              <w:right w:val="nil"/>
            </w:tcBorders>
            <w:vAlign w:val="center"/>
          </w:tcPr>
          <w:p w:rsidR="00BC00E8" w:rsidRPr="00765C97" w:rsidRDefault="00CE49D9" w:rsidP="0054449A">
            <w:pPr>
              <w:ind w:right="137"/>
              <w:jc w:val="right"/>
              <w:rPr>
                <w:rFonts w:ascii="Arial" w:hAnsi="Arial"/>
                <w:i/>
                <w:sz w:val="18"/>
                <w:szCs w:val="18"/>
                <w:lang w:val="pl-PL"/>
              </w:rPr>
            </w:pPr>
            <w:r w:rsidRPr="00765C97">
              <w:rPr>
                <w:rFonts w:ascii="Arial" w:hAnsi="Arial"/>
                <w:i/>
                <w:sz w:val="18"/>
                <w:szCs w:val="18"/>
                <w:lang w:val="pl-PL"/>
              </w:rPr>
              <w:t>-</w:t>
            </w:r>
          </w:p>
        </w:tc>
        <w:tc>
          <w:tcPr>
            <w:tcW w:w="1080" w:type="dxa"/>
            <w:tcBorders>
              <w:top w:val="nil"/>
              <w:left w:val="nil"/>
              <w:right w:val="nil"/>
            </w:tcBorders>
            <w:vAlign w:val="center"/>
          </w:tcPr>
          <w:p w:rsidR="00BC00E8" w:rsidRPr="00765C97" w:rsidRDefault="00CE49D9" w:rsidP="00FA6124">
            <w:pPr>
              <w:ind w:right="137"/>
              <w:jc w:val="right"/>
              <w:rPr>
                <w:rFonts w:ascii="Arial" w:hAnsi="Arial"/>
                <w:i/>
                <w:sz w:val="18"/>
                <w:szCs w:val="18"/>
                <w:lang w:val="pl-PL"/>
              </w:rPr>
            </w:pPr>
            <w:r w:rsidRPr="00765C97">
              <w:rPr>
                <w:rFonts w:ascii="Arial" w:hAnsi="Arial"/>
                <w:i/>
                <w:sz w:val="18"/>
                <w:szCs w:val="18"/>
                <w:lang w:val="pl-PL"/>
              </w:rPr>
              <w:t>-</w:t>
            </w:r>
          </w:p>
        </w:tc>
      </w:tr>
      <w:tr w:rsidR="00BC00E8" w:rsidRPr="00765C97" w:rsidTr="00C16AA7">
        <w:trPr>
          <w:trHeight w:val="255"/>
        </w:trPr>
        <w:tc>
          <w:tcPr>
            <w:tcW w:w="2268" w:type="dxa"/>
            <w:tcBorders>
              <w:top w:val="nil"/>
              <w:left w:val="nil"/>
              <w:bottom w:val="nil"/>
              <w:right w:val="nil"/>
            </w:tcBorders>
            <w:vAlign w:val="center"/>
          </w:tcPr>
          <w:p w:rsidR="00BC00E8" w:rsidRPr="00765C97" w:rsidRDefault="00BC00E8">
            <w:pPr>
              <w:rPr>
                <w:rFonts w:ascii="Arial" w:hAnsi="Arial"/>
                <w:i/>
                <w:sz w:val="18"/>
                <w:szCs w:val="18"/>
                <w:lang w:val="pl-PL"/>
              </w:rPr>
            </w:pPr>
            <w:r w:rsidRPr="00765C97">
              <w:rPr>
                <w:rFonts w:ascii="Arial" w:hAnsi="Arial"/>
                <w:i/>
                <w:sz w:val="18"/>
                <w:szCs w:val="18"/>
                <w:lang w:val="pl-PL"/>
              </w:rPr>
              <w:t>- rezerwy wykorzystane w trakcie roku i przeniesione do krótkoterminowych</w:t>
            </w:r>
          </w:p>
        </w:tc>
        <w:tc>
          <w:tcPr>
            <w:tcW w:w="1260" w:type="dxa"/>
            <w:tcBorders>
              <w:top w:val="nil"/>
              <w:left w:val="nil"/>
              <w:right w:val="nil"/>
            </w:tcBorders>
            <w:vAlign w:val="center"/>
          </w:tcPr>
          <w:p w:rsidR="00BC00E8" w:rsidRPr="00765C97" w:rsidRDefault="00CE49D9" w:rsidP="00FA6124">
            <w:pPr>
              <w:ind w:right="137"/>
              <w:jc w:val="right"/>
              <w:rPr>
                <w:rFonts w:ascii="Arial" w:hAnsi="Arial"/>
                <w:i/>
                <w:sz w:val="18"/>
                <w:szCs w:val="18"/>
                <w:lang w:val="pl-PL"/>
              </w:rPr>
            </w:pPr>
            <w:r w:rsidRPr="00765C97">
              <w:rPr>
                <w:rFonts w:ascii="Arial" w:hAnsi="Arial"/>
                <w:i/>
                <w:sz w:val="18"/>
                <w:szCs w:val="18"/>
                <w:lang w:val="pl-PL"/>
              </w:rPr>
              <w:t>-</w:t>
            </w:r>
          </w:p>
        </w:tc>
        <w:tc>
          <w:tcPr>
            <w:tcW w:w="1440" w:type="dxa"/>
            <w:tcBorders>
              <w:top w:val="nil"/>
              <w:left w:val="nil"/>
              <w:right w:val="nil"/>
            </w:tcBorders>
            <w:vAlign w:val="center"/>
          </w:tcPr>
          <w:p w:rsidR="00BC00E8" w:rsidRPr="00765C97" w:rsidRDefault="00CE49D9" w:rsidP="00FA6124">
            <w:pPr>
              <w:ind w:right="137"/>
              <w:jc w:val="right"/>
              <w:rPr>
                <w:rFonts w:ascii="Arial" w:hAnsi="Arial"/>
                <w:i/>
                <w:sz w:val="18"/>
                <w:szCs w:val="18"/>
                <w:lang w:val="pl-PL"/>
              </w:rPr>
            </w:pPr>
            <w:r w:rsidRPr="00765C97">
              <w:rPr>
                <w:rFonts w:ascii="Arial" w:hAnsi="Arial"/>
                <w:i/>
                <w:sz w:val="18"/>
                <w:szCs w:val="18"/>
                <w:lang w:val="pl-PL"/>
              </w:rPr>
              <w:t>-</w:t>
            </w:r>
          </w:p>
        </w:tc>
        <w:tc>
          <w:tcPr>
            <w:tcW w:w="1080" w:type="dxa"/>
            <w:tcBorders>
              <w:top w:val="nil"/>
              <w:left w:val="nil"/>
              <w:right w:val="nil"/>
            </w:tcBorders>
            <w:vAlign w:val="center"/>
          </w:tcPr>
          <w:p w:rsidR="00BC00E8" w:rsidRPr="00765C97" w:rsidRDefault="00CE49D9" w:rsidP="00FA6124">
            <w:pPr>
              <w:ind w:right="137"/>
              <w:jc w:val="right"/>
              <w:rPr>
                <w:rFonts w:ascii="Arial" w:hAnsi="Arial"/>
                <w:i/>
                <w:sz w:val="18"/>
                <w:szCs w:val="18"/>
                <w:lang w:val="pl-PL"/>
              </w:rPr>
            </w:pPr>
            <w:r w:rsidRPr="00765C97">
              <w:rPr>
                <w:rFonts w:ascii="Arial" w:hAnsi="Arial"/>
                <w:i/>
                <w:sz w:val="18"/>
                <w:szCs w:val="18"/>
                <w:lang w:val="pl-PL"/>
              </w:rPr>
              <w:t>-</w:t>
            </w:r>
          </w:p>
        </w:tc>
        <w:tc>
          <w:tcPr>
            <w:tcW w:w="1080" w:type="dxa"/>
            <w:tcBorders>
              <w:top w:val="nil"/>
              <w:left w:val="nil"/>
              <w:right w:val="nil"/>
            </w:tcBorders>
            <w:vAlign w:val="center"/>
          </w:tcPr>
          <w:p w:rsidR="00BC00E8" w:rsidRPr="00765C97" w:rsidRDefault="00CE49D9" w:rsidP="00384B6F">
            <w:pPr>
              <w:ind w:right="137"/>
              <w:jc w:val="right"/>
              <w:rPr>
                <w:rFonts w:ascii="Arial" w:hAnsi="Arial"/>
                <w:i/>
                <w:sz w:val="18"/>
                <w:szCs w:val="18"/>
                <w:lang w:val="pl-PL"/>
              </w:rPr>
            </w:pPr>
            <w:r w:rsidRPr="00765C97">
              <w:rPr>
                <w:rFonts w:ascii="Arial" w:hAnsi="Arial"/>
                <w:i/>
                <w:sz w:val="18"/>
                <w:szCs w:val="18"/>
                <w:lang w:val="pl-PL"/>
              </w:rPr>
              <w:t>(2)</w:t>
            </w:r>
          </w:p>
        </w:tc>
        <w:tc>
          <w:tcPr>
            <w:tcW w:w="1080" w:type="dxa"/>
            <w:tcBorders>
              <w:top w:val="nil"/>
              <w:left w:val="nil"/>
              <w:right w:val="nil"/>
            </w:tcBorders>
            <w:vAlign w:val="center"/>
          </w:tcPr>
          <w:p w:rsidR="00BC00E8" w:rsidRPr="00765C97" w:rsidRDefault="00CE49D9" w:rsidP="00384B6F">
            <w:pPr>
              <w:ind w:right="137"/>
              <w:jc w:val="right"/>
              <w:rPr>
                <w:rFonts w:ascii="Arial" w:hAnsi="Arial"/>
                <w:i/>
                <w:sz w:val="18"/>
                <w:szCs w:val="18"/>
                <w:lang w:val="pl-PL"/>
              </w:rPr>
            </w:pPr>
            <w:r w:rsidRPr="00765C97">
              <w:rPr>
                <w:rFonts w:ascii="Arial" w:hAnsi="Arial"/>
                <w:i/>
                <w:sz w:val="18"/>
                <w:szCs w:val="18"/>
                <w:lang w:val="pl-PL"/>
              </w:rPr>
              <w:t>(2)</w:t>
            </w:r>
          </w:p>
        </w:tc>
      </w:tr>
      <w:tr w:rsidR="00BC00E8" w:rsidRPr="00765C97" w:rsidTr="00C16AA7">
        <w:trPr>
          <w:trHeight w:val="255"/>
        </w:trPr>
        <w:tc>
          <w:tcPr>
            <w:tcW w:w="2268" w:type="dxa"/>
            <w:tcBorders>
              <w:top w:val="nil"/>
              <w:left w:val="nil"/>
              <w:bottom w:val="nil"/>
              <w:right w:val="nil"/>
            </w:tcBorders>
            <w:vAlign w:val="center"/>
          </w:tcPr>
          <w:p w:rsidR="00C16AA7" w:rsidRPr="00765C97" w:rsidRDefault="007A03FC" w:rsidP="00D967E7">
            <w:pPr>
              <w:rPr>
                <w:rFonts w:ascii="Arial" w:hAnsi="Arial"/>
                <w:b/>
                <w:sz w:val="20"/>
                <w:lang w:val="pl-PL"/>
              </w:rPr>
            </w:pPr>
            <w:r w:rsidRPr="00765C97">
              <w:rPr>
                <w:rFonts w:ascii="Arial" w:hAnsi="Arial"/>
                <w:b/>
                <w:sz w:val="20"/>
                <w:lang w:val="pl-PL"/>
              </w:rPr>
              <w:t xml:space="preserve">Stan na </w:t>
            </w:r>
          </w:p>
          <w:p w:rsidR="00BC00E8" w:rsidRPr="00765C97" w:rsidRDefault="007A03FC" w:rsidP="00D967E7">
            <w:pPr>
              <w:rPr>
                <w:rFonts w:ascii="Arial" w:hAnsi="Arial"/>
                <w:b/>
                <w:sz w:val="20"/>
                <w:lang w:val="pl-PL"/>
              </w:rPr>
            </w:pPr>
            <w:r w:rsidRPr="00765C97">
              <w:rPr>
                <w:rFonts w:ascii="Arial" w:hAnsi="Arial"/>
                <w:b/>
                <w:sz w:val="20"/>
                <w:lang w:val="pl-PL"/>
              </w:rPr>
              <w:t>31 grudnia 2012</w:t>
            </w:r>
            <w:r w:rsidR="00BC00E8" w:rsidRPr="00765C97">
              <w:rPr>
                <w:rFonts w:ascii="Arial" w:hAnsi="Arial"/>
                <w:b/>
                <w:sz w:val="20"/>
                <w:lang w:val="pl-PL"/>
              </w:rPr>
              <w:t xml:space="preserve"> r.</w:t>
            </w:r>
          </w:p>
        </w:tc>
        <w:tc>
          <w:tcPr>
            <w:tcW w:w="1260" w:type="dxa"/>
            <w:tcBorders>
              <w:top w:val="single" w:sz="2" w:space="0" w:color="auto"/>
              <w:left w:val="nil"/>
              <w:bottom w:val="single" w:sz="2" w:space="0" w:color="auto"/>
              <w:right w:val="nil"/>
            </w:tcBorders>
            <w:vAlign w:val="center"/>
          </w:tcPr>
          <w:p w:rsidR="00BC00E8" w:rsidRPr="00765C97" w:rsidRDefault="00CE49D9" w:rsidP="00FA6124">
            <w:pPr>
              <w:ind w:right="137"/>
              <w:jc w:val="right"/>
              <w:rPr>
                <w:rFonts w:ascii="Arial" w:hAnsi="Arial"/>
                <w:b/>
                <w:sz w:val="20"/>
                <w:lang w:val="pl-PL"/>
              </w:rPr>
            </w:pPr>
            <w:r w:rsidRPr="00765C97">
              <w:rPr>
                <w:rFonts w:ascii="Arial" w:hAnsi="Arial"/>
                <w:b/>
                <w:sz w:val="20"/>
                <w:lang w:val="pl-PL"/>
              </w:rPr>
              <w:t>-</w:t>
            </w:r>
          </w:p>
        </w:tc>
        <w:tc>
          <w:tcPr>
            <w:tcW w:w="1440" w:type="dxa"/>
            <w:tcBorders>
              <w:top w:val="single" w:sz="2" w:space="0" w:color="auto"/>
              <w:left w:val="nil"/>
              <w:bottom w:val="single" w:sz="2" w:space="0" w:color="auto"/>
              <w:right w:val="nil"/>
            </w:tcBorders>
            <w:vAlign w:val="center"/>
          </w:tcPr>
          <w:p w:rsidR="00BC00E8" w:rsidRPr="00765C97" w:rsidRDefault="00CE49D9" w:rsidP="00FA6124">
            <w:pPr>
              <w:ind w:right="137"/>
              <w:jc w:val="right"/>
              <w:rPr>
                <w:rFonts w:ascii="Arial" w:hAnsi="Arial"/>
                <w:b/>
                <w:sz w:val="20"/>
                <w:lang w:val="pl-PL"/>
              </w:rPr>
            </w:pPr>
            <w:r w:rsidRPr="00765C97">
              <w:rPr>
                <w:rFonts w:ascii="Arial" w:hAnsi="Arial"/>
                <w:b/>
                <w:sz w:val="20"/>
                <w:lang w:val="pl-PL"/>
              </w:rPr>
              <w:t>-</w:t>
            </w:r>
          </w:p>
        </w:tc>
        <w:tc>
          <w:tcPr>
            <w:tcW w:w="1080" w:type="dxa"/>
            <w:tcBorders>
              <w:top w:val="single" w:sz="2" w:space="0" w:color="auto"/>
              <w:left w:val="nil"/>
              <w:bottom w:val="single" w:sz="2" w:space="0" w:color="auto"/>
              <w:right w:val="nil"/>
            </w:tcBorders>
            <w:vAlign w:val="center"/>
          </w:tcPr>
          <w:p w:rsidR="00BC00E8" w:rsidRPr="00765C97" w:rsidRDefault="00CE49D9" w:rsidP="00FA6124">
            <w:pPr>
              <w:ind w:right="137"/>
              <w:jc w:val="right"/>
              <w:rPr>
                <w:rFonts w:ascii="Arial" w:hAnsi="Arial"/>
                <w:b/>
                <w:sz w:val="20"/>
                <w:lang w:val="pl-PL"/>
              </w:rPr>
            </w:pPr>
            <w:r w:rsidRPr="00765C97">
              <w:rPr>
                <w:rFonts w:ascii="Arial" w:hAnsi="Arial"/>
                <w:b/>
                <w:sz w:val="20"/>
                <w:lang w:val="pl-PL"/>
              </w:rPr>
              <w:t>-</w:t>
            </w:r>
          </w:p>
        </w:tc>
        <w:tc>
          <w:tcPr>
            <w:tcW w:w="1080" w:type="dxa"/>
            <w:tcBorders>
              <w:top w:val="single" w:sz="2" w:space="0" w:color="auto"/>
              <w:left w:val="nil"/>
              <w:bottom w:val="single" w:sz="2" w:space="0" w:color="auto"/>
              <w:right w:val="nil"/>
            </w:tcBorders>
            <w:vAlign w:val="center"/>
          </w:tcPr>
          <w:p w:rsidR="00BC00E8" w:rsidRPr="00765C97" w:rsidRDefault="00CE49D9" w:rsidP="0054449A">
            <w:pPr>
              <w:ind w:right="137"/>
              <w:jc w:val="right"/>
              <w:rPr>
                <w:rFonts w:ascii="Arial" w:hAnsi="Arial"/>
                <w:b/>
                <w:sz w:val="20"/>
                <w:lang w:val="pl-PL"/>
              </w:rPr>
            </w:pPr>
            <w:r w:rsidRPr="00765C97">
              <w:rPr>
                <w:rFonts w:ascii="Arial" w:hAnsi="Arial"/>
                <w:b/>
                <w:sz w:val="20"/>
                <w:lang w:val="pl-PL"/>
              </w:rPr>
              <w:t>-</w:t>
            </w:r>
          </w:p>
        </w:tc>
        <w:tc>
          <w:tcPr>
            <w:tcW w:w="1080" w:type="dxa"/>
            <w:tcBorders>
              <w:top w:val="single" w:sz="2" w:space="0" w:color="auto"/>
              <w:left w:val="nil"/>
              <w:bottom w:val="single" w:sz="2" w:space="0" w:color="auto"/>
              <w:right w:val="nil"/>
            </w:tcBorders>
            <w:vAlign w:val="center"/>
          </w:tcPr>
          <w:p w:rsidR="00BC00E8" w:rsidRPr="00765C97" w:rsidRDefault="00CE49D9" w:rsidP="00FA6124">
            <w:pPr>
              <w:ind w:right="137"/>
              <w:jc w:val="right"/>
              <w:rPr>
                <w:rFonts w:ascii="Arial" w:hAnsi="Arial"/>
                <w:b/>
                <w:sz w:val="20"/>
                <w:lang w:val="pl-PL"/>
              </w:rPr>
            </w:pPr>
            <w:r w:rsidRPr="00765C97">
              <w:rPr>
                <w:rFonts w:ascii="Arial" w:hAnsi="Arial"/>
                <w:b/>
                <w:sz w:val="20"/>
                <w:lang w:val="pl-PL"/>
              </w:rPr>
              <w:t>-</w:t>
            </w:r>
          </w:p>
        </w:tc>
      </w:tr>
    </w:tbl>
    <w:p w:rsidR="00B24DA9" w:rsidRPr="00765C97" w:rsidRDefault="00B24DA9">
      <w:pPr>
        <w:rPr>
          <w:rFonts w:ascii="Arial" w:hAnsi="Arial"/>
          <w:sz w:val="20"/>
          <w:lang w:val="pl-PL"/>
        </w:rPr>
      </w:pPr>
    </w:p>
    <w:tbl>
      <w:tblPr>
        <w:tblW w:w="8506" w:type="dxa"/>
        <w:tblLayout w:type="fixed"/>
        <w:tblCellMar>
          <w:left w:w="0" w:type="dxa"/>
          <w:right w:w="0" w:type="dxa"/>
        </w:tblCellMar>
        <w:tblLook w:val="0000"/>
      </w:tblPr>
      <w:tblGrid>
        <w:gridCol w:w="2088"/>
        <w:gridCol w:w="1598"/>
        <w:gridCol w:w="1134"/>
        <w:gridCol w:w="850"/>
        <w:gridCol w:w="851"/>
        <w:gridCol w:w="993"/>
        <w:gridCol w:w="992"/>
      </w:tblGrid>
      <w:tr w:rsidR="00AB2D8F" w:rsidRPr="00765C97" w:rsidTr="00C16AA7">
        <w:trPr>
          <w:trHeight w:val="255"/>
        </w:trPr>
        <w:tc>
          <w:tcPr>
            <w:tcW w:w="2088" w:type="dxa"/>
            <w:tcBorders>
              <w:top w:val="nil"/>
              <w:left w:val="nil"/>
              <w:bottom w:val="nil"/>
              <w:right w:val="nil"/>
            </w:tcBorders>
            <w:vAlign w:val="center"/>
          </w:tcPr>
          <w:p w:rsidR="00AB2D8F" w:rsidRPr="00765C97" w:rsidRDefault="00AB2D8F">
            <w:pPr>
              <w:rPr>
                <w:rFonts w:ascii="Arial" w:hAnsi="Arial"/>
                <w:sz w:val="20"/>
                <w:lang w:val="pl-PL"/>
              </w:rPr>
            </w:pPr>
            <w:r w:rsidRPr="00765C97">
              <w:rPr>
                <w:rFonts w:ascii="Arial" w:hAnsi="Arial"/>
                <w:b/>
                <w:sz w:val="20"/>
                <w:lang w:val="pl-PL"/>
              </w:rPr>
              <w:t>Krótkoterminowe</w:t>
            </w:r>
          </w:p>
        </w:tc>
        <w:tc>
          <w:tcPr>
            <w:tcW w:w="1598" w:type="dxa"/>
            <w:tcBorders>
              <w:top w:val="nil"/>
              <w:left w:val="nil"/>
              <w:bottom w:val="nil"/>
              <w:right w:val="nil"/>
            </w:tcBorders>
            <w:vAlign w:val="center"/>
          </w:tcPr>
          <w:p w:rsidR="00AB2D8F" w:rsidRPr="00765C97" w:rsidRDefault="00AB2D8F" w:rsidP="00AB2D8F">
            <w:pPr>
              <w:jc w:val="right"/>
              <w:rPr>
                <w:rFonts w:ascii="Arial" w:hAnsi="Arial"/>
                <w:b/>
                <w:sz w:val="20"/>
                <w:lang w:val="pl-PL"/>
              </w:rPr>
            </w:pPr>
            <w:r w:rsidRPr="00765C97">
              <w:rPr>
                <w:rFonts w:ascii="Arial" w:hAnsi="Arial"/>
                <w:b/>
                <w:sz w:val="20"/>
                <w:lang w:val="pl-PL"/>
              </w:rPr>
              <w:t>Koszty dotyczące okresu bieżącego, które zostaną poniesione w przyszłości</w:t>
            </w:r>
          </w:p>
        </w:tc>
        <w:tc>
          <w:tcPr>
            <w:tcW w:w="1134" w:type="dxa"/>
            <w:tcBorders>
              <w:top w:val="nil"/>
              <w:left w:val="nil"/>
              <w:bottom w:val="nil"/>
              <w:right w:val="nil"/>
            </w:tcBorders>
            <w:vAlign w:val="center"/>
          </w:tcPr>
          <w:p w:rsidR="00AB2D8F" w:rsidRPr="00765C97" w:rsidRDefault="00AB2D8F" w:rsidP="00AB2D8F">
            <w:pPr>
              <w:jc w:val="right"/>
              <w:rPr>
                <w:rFonts w:ascii="Arial" w:hAnsi="Arial"/>
                <w:b/>
                <w:sz w:val="20"/>
                <w:lang w:val="pl-PL"/>
              </w:rPr>
            </w:pPr>
            <w:r w:rsidRPr="00765C97">
              <w:rPr>
                <w:rFonts w:ascii="Arial" w:hAnsi="Arial"/>
                <w:b/>
                <w:sz w:val="20"/>
                <w:lang w:val="pl-PL"/>
              </w:rPr>
              <w:t>Rezerwy na koszty kontraktów</w:t>
            </w:r>
            <w:r w:rsidRPr="00765C97">
              <w:rPr>
                <w:rFonts w:ascii="Arial" w:hAnsi="Arial"/>
                <w:sz w:val="20"/>
                <w:lang w:val="pl-PL"/>
              </w:rPr>
              <w:t xml:space="preserve"> </w:t>
            </w:r>
          </w:p>
        </w:tc>
        <w:tc>
          <w:tcPr>
            <w:tcW w:w="850" w:type="dxa"/>
            <w:tcBorders>
              <w:top w:val="nil"/>
              <w:left w:val="nil"/>
              <w:bottom w:val="nil"/>
              <w:right w:val="nil"/>
            </w:tcBorders>
            <w:vAlign w:val="center"/>
          </w:tcPr>
          <w:p w:rsidR="00AB2D8F" w:rsidRPr="00765C97" w:rsidRDefault="00AB2D8F" w:rsidP="00AB2D8F">
            <w:pPr>
              <w:jc w:val="right"/>
              <w:rPr>
                <w:rFonts w:ascii="Arial" w:hAnsi="Arial"/>
                <w:b/>
                <w:sz w:val="20"/>
                <w:lang w:val="pl-PL"/>
              </w:rPr>
            </w:pPr>
            <w:r w:rsidRPr="00765C97">
              <w:rPr>
                <w:rFonts w:ascii="Arial" w:hAnsi="Arial"/>
                <w:b/>
                <w:sz w:val="20"/>
                <w:lang w:val="pl-PL"/>
              </w:rPr>
              <w:t>Rezerwy na kary umowne</w:t>
            </w:r>
          </w:p>
        </w:tc>
        <w:tc>
          <w:tcPr>
            <w:tcW w:w="851" w:type="dxa"/>
            <w:tcBorders>
              <w:top w:val="nil"/>
              <w:left w:val="nil"/>
              <w:bottom w:val="nil"/>
              <w:right w:val="nil"/>
            </w:tcBorders>
            <w:vAlign w:val="center"/>
          </w:tcPr>
          <w:p w:rsidR="00AB2D8F" w:rsidRPr="00765C97" w:rsidRDefault="00AB2D8F" w:rsidP="00AB2D8F">
            <w:pPr>
              <w:jc w:val="right"/>
              <w:rPr>
                <w:rFonts w:ascii="Arial" w:hAnsi="Arial"/>
                <w:b/>
                <w:sz w:val="20"/>
                <w:lang w:val="pl-PL"/>
              </w:rPr>
            </w:pPr>
            <w:r w:rsidRPr="00765C97">
              <w:rPr>
                <w:rFonts w:ascii="Arial" w:hAnsi="Arial"/>
                <w:b/>
                <w:sz w:val="20"/>
                <w:lang w:val="pl-PL"/>
              </w:rPr>
              <w:t>Rezerwy na urlopy</w:t>
            </w:r>
          </w:p>
        </w:tc>
        <w:tc>
          <w:tcPr>
            <w:tcW w:w="993" w:type="dxa"/>
            <w:tcBorders>
              <w:top w:val="nil"/>
              <w:left w:val="nil"/>
              <w:bottom w:val="nil"/>
              <w:right w:val="nil"/>
            </w:tcBorders>
            <w:vAlign w:val="center"/>
          </w:tcPr>
          <w:p w:rsidR="00AB2D8F" w:rsidRPr="00765C97" w:rsidRDefault="00AB2D8F" w:rsidP="00AB2D8F">
            <w:pPr>
              <w:jc w:val="right"/>
              <w:rPr>
                <w:rFonts w:ascii="Arial" w:hAnsi="Arial"/>
                <w:b/>
                <w:sz w:val="20"/>
                <w:lang w:val="pl-PL"/>
              </w:rPr>
            </w:pPr>
            <w:r w:rsidRPr="00765C97">
              <w:rPr>
                <w:rFonts w:ascii="Arial" w:hAnsi="Arial"/>
                <w:b/>
                <w:sz w:val="20"/>
                <w:lang w:val="pl-PL"/>
              </w:rPr>
              <w:t>Rezerwy na nagrody pieniężne</w:t>
            </w:r>
          </w:p>
        </w:tc>
        <w:tc>
          <w:tcPr>
            <w:tcW w:w="992" w:type="dxa"/>
            <w:tcBorders>
              <w:top w:val="nil"/>
              <w:left w:val="nil"/>
              <w:bottom w:val="nil"/>
              <w:right w:val="nil"/>
            </w:tcBorders>
            <w:vAlign w:val="center"/>
          </w:tcPr>
          <w:p w:rsidR="00AB2D8F" w:rsidRPr="00765C97" w:rsidRDefault="00AB2D8F" w:rsidP="00AB2D8F">
            <w:pPr>
              <w:jc w:val="right"/>
              <w:rPr>
                <w:rFonts w:ascii="Arial" w:hAnsi="Arial"/>
                <w:b/>
                <w:sz w:val="20"/>
                <w:lang w:val="pl-PL"/>
              </w:rPr>
            </w:pPr>
            <w:r w:rsidRPr="00765C97">
              <w:rPr>
                <w:rFonts w:ascii="Arial" w:hAnsi="Arial"/>
                <w:b/>
                <w:sz w:val="20"/>
                <w:lang w:val="pl-PL"/>
              </w:rPr>
              <w:t>Ogółem</w:t>
            </w:r>
          </w:p>
        </w:tc>
      </w:tr>
      <w:tr w:rsidR="00D967E7" w:rsidRPr="00765C97" w:rsidTr="00C16AA7">
        <w:trPr>
          <w:trHeight w:val="255"/>
        </w:trPr>
        <w:tc>
          <w:tcPr>
            <w:tcW w:w="2088" w:type="dxa"/>
            <w:tcBorders>
              <w:top w:val="nil"/>
              <w:left w:val="nil"/>
              <w:bottom w:val="nil"/>
              <w:right w:val="nil"/>
            </w:tcBorders>
            <w:vAlign w:val="center"/>
          </w:tcPr>
          <w:p w:rsidR="00D967E7" w:rsidRPr="00765C97" w:rsidRDefault="00D967E7" w:rsidP="007B0865">
            <w:pPr>
              <w:rPr>
                <w:rFonts w:ascii="Arial" w:hAnsi="Arial"/>
                <w:b/>
                <w:sz w:val="20"/>
                <w:lang w:val="pl-PL"/>
              </w:rPr>
            </w:pPr>
            <w:r w:rsidRPr="00765C97">
              <w:rPr>
                <w:rFonts w:ascii="Arial" w:hAnsi="Arial"/>
                <w:b/>
                <w:sz w:val="20"/>
                <w:lang w:val="pl-PL"/>
              </w:rPr>
              <w:t xml:space="preserve">Stan na </w:t>
            </w:r>
          </w:p>
          <w:p w:rsidR="00D967E7" w:rsidRPr="00765C97" w:rsidRDefault="00D967E7" w:rsidP="007A03FC">
            <w:pPr>
              <w:rPr>
                <w:rFonts w:ascii="Arial" w:hAnsi="Arial"/>
                <w:b/>
                <w:sz w:val="20"/>
                <w:lang w:val="pl-PL"/>
              </w:rPr>
            </w:pPr>
            <w:r w:rsidRPr="00765C97">
              <w:rPr>
                <w:rFonts w:ascii="Arial" w:hAnsi="Arial"/>
                <w:b/>
                <w:sz w:val="20"/>
                <w:lang w:val="pl-PL"/>
              </w:rPr>
              <w:t>1 stycznia 201</w:t>
            </w:r>
            <w:r w:rsidR="007A03FC" w:rsidRPr="00765C97">
              <w:rPr>
                <w:rFonts w:ascii="Arial" w:hAnsi="Arial"/>
                <w:b/>
                <w:sz w:val="20"/>
                <w:lang w:val="pl-PL"/>
              </w:rPr>
              <w:t>2</w:t>
            </w:r>
            <w:r w:rsidRPr="00765C97">
              <w:rPr>
                <w:rFonts w:ascii="Arial" w:hAnsi="Arial"/>
                <w:b/>
                <w:sz w:val="20"/>
                <w:lang w:val="pl-PL"/>
              </w:rPr>
              <w:t xml:space="preserve"> r.</w:t>
            </w:r>
          </w:p>
        </w:tc>
        <w:tc>
          <w:tcPr>
            <w:tcW w:w="1598" w:type="dxa"/>
            <w:tcBorders>
              <w:top w:val="nil"/>
              <w:left w:val="nil"/>
              <w:bottom w:val="nil"/>
              <w:right w:val="nil"/>
            </w:tcBorders>
            <w:vAlign w:val="center"/>
          </w:tcPr>
          <w:p w:rsidR="00D967E7" w:rsidRPr="00765C97" w:rsidRDefault="00384B6F" w:rsidP="00D967E7">
            <w:pPr>
              <w:jc w:val="right"/>
              <w:rPr>
                <w:rFonts w:ascii="Arial" w:hAnsi="Arial"/>
                <w:b/>
                <w:sz w:val="20"/>
                <w:lang w:val="pl-PL"/>
              </w:rPr>
            </w:pPr>
            <w:r w:rsidRPr="00765C97">
              <w:rPr>
                <w:rFonts w:ascii="Arial" w:hAnsi="Arial"/>
                <w:b/>
                <w:sz w:val="20"/>
                <w:lang w:val="pl-PL"/>
              </w:rPr>
              <w:t>3 721</w:t>
            </w:r>
          </w:p>
        </w:tc>
        <w:tc>
          <w:tcPr>
            <w:tcW w:w="1134" w:type="dxa"/>
            <w:tcBorders>
              <w:top w:val="nil"/>
              <w:left w:val="nil"/>
              <w:bottom w:val="nil"/>
              <w:right w:val="nil"/>
            </w:tcBorders>
            <w:vAlign w:val="center"/>
          </w:tcPr>
          <w:p w:rsidR="00D967E7" w:rsidRPr="00765C97" w:rsidRDefault="00384B6F" w:rsidP="00D967E7">
            <w:pPr>
              <w:jc w:val="right"/>
              <w:rPr>
                <w:rFonts w:ascii="Arial" w:hAnsi="Arial"/>
                <w:b/>
                <w:sz w:val="20"/>
                <w:lang w:val="pl-PL"/>
              </w:rPr>
            </w:pPr>
            <w:r w:rsidRPr="00765C97">
              <w:rPr>
                <w:rFonts w:ascii="Arial" w:hAnsi="Arial"/>
                <w:b/>
                <w:sz w:val="20"/>
                <w:lang w:val="pl-PL"/>
              </w:rPr>
              <w:t>10 937</w:t>
            </w:r>
          </w:p>
        </w:tc>
        <w:tc>
          <w:tcPr>
            <w:tcW w:w="850" w:type="dxa"/>
            <w:tcBorders>
              <w:top w:val="nil"/>
              <w:left w:val="nil"/>
              <w:bottom w:val="nil"/>
              <w:right w:val="nil"/>
            </w:tcBorders>
            <w:vAlign w:val="center"/>
          </w:tcPr>
          <w:p w:rsidR="00D967E7" w:rsidRPr="00765C97" w:rsidRDefault="00384B6F" w:rsidP="00D967E7">
            <w:pPr>
              <w:jc w:val="right"/>
              <w:rPr>
                <w:rFonts w:ascii="Arial" w:hAnsi="Arial"/>
                <w:b/>
                <w:sz w:val="20"/>
                <w:lang w:val="pl-PL"/>
              </w:rPr>
            </w:pPr>
            <w:r w:rsidRPr="00765C97">
              <w:rPr>
                <w:rFonts w:ascii="Arial" w:hAnsi="Arial"/>
                <w:b/>
                <w:sz w:val="20"/>
                <w:lang w:val="pl-PL"/>
              </w:rPr>
              <w:t>9 357</w:t>
            </w:r>
          </w:p>
        </w:tc>
        <w:tc>
          <w:tcPr>
            <w:tcW w:w="851" w:type="dxa"/>
            <w:tcBorders>
              <w:top w:val="nil"/>
              <w:left w:val="nil"/>
              <w:bottom w:val="nil"/>
              <w:right w:val="nil"/>
            </w:tcBorders>
            <w:vAlign w:val="center"/>
          </w:tcPr>
          <w:p w:rsidR="00D967E7" w:rsidRPr="00765C97" w:rsidRDefault="00384B6F" w:rsidP="00D967E7">
            <w:pPr>
              <w:jc w:val="right"/>
              <w:rPr>
                <w:rFonts w:ascii="Arial" w:hAnsi="Arial"/>
                <w:b/>
                <w:sz w:val="20"/>
                <w:lang w:val="pl-PL"/>
              </w:rPr>
            </w:pPr>
            <w:r w:rsidRPr="00765C97">
              <w:rPr>
                <w:rFonts w:ascii="Arial" w:hAnsi="Arial"/>
                <w:b/>
                <w:sz w:val="20"/>
                <w:lang w:val="pl-PL"/>
              </w:rPr>
              <w:t>12 951</w:t>
            </w:r>
          </w:p>
        </w:tc>
        <w:tc>
          <w:tcPr>
            <w:tcW w:w="993" w:type="dxa"/>
            <w:tcBorders>
              <w:top w:val="nil"/>
              <w:left w:val="nil"/>
              <w:bottom w:val="nil"/>
              <w:right w:val="nil"/>
            </w:tcBorders>
            <w:vAlign w:val="center"/>
          </w:tcPr>
          <w:p w:rsidR="00D967E7" w:rsidRPr="00765C97" w:rsidRDefault="00384B6F" w:rsidP="00D967E7">
            <w:pPr>
              <w:jc w:val="right"/>
              <w:rPr>
                <w:rFonts w:ascii="Arial" w:hAnsi="Arial"/>
                <w:b/>
                <w:sz w:val="20"/>
                <w:lang w:val="pl-PL"/>
              </w:rPr>
            </w:pPr>
            <w:r w:rsidRPr="00765C97">
              <w:rPr>
                <w:rFonts w:ascii="Arial" w:hAnsi="Arial"/>
                <w:b/>
                <w:sz w:val="20"/>
                <w:lang w:val="pl-PL"/>
              </w:rPr>
              <w:t>50 422</w:t>
            </w:r>
          </w:p>
        </w:tc>
        <w:tc>
          <w:tcPr>
            <w:tcW w:w="992" w:type="dxa"/>
            <w:tcBorders>
              <w:top w:val="nil"/>
              <w:left w:val="nil"/>
              <w:bottom w:val="nil"/>
              <w:right w:val="nil"/>
            </w:tcBorders>
            <w:vAlign w:val="center"/>
          </w:tcPr>
          <w:p w:rsidR="00D967E7" w:rsidRPr="00765C97" w:rsidRDefault="00384B6F" w:rsidP="00D967E7">
            <w:pPr>
              <w:jc w:val="right"/>
              <w:rPr>
                <w:rFonts w:ascii="Arial" w:hAnsi="Arial"/>
                <w:b/>
                <w:sz w:val="20"/>
                <w:lang w:val="pl-PL"/>
              </w:rPr>
            </w:pPr>
            <w:r w:rsidRPr="00765C97">
              <w:rPr>
                <w:rFonts w:ascii="Arial" w:hAnsi="Arial"/>
                <w:b/>
                <w:sz w:val="20"/>
                <w:lang w:val="pl-PL"/>
              </w:rPr>
              <w:t>87 388</w:t>
            </w:r>
          </w:p>
        </w:tc>
      </w:tr>
      <w:tr w:rsidR="00AB2D8F" w:rsidRPr="00F346A4" w:rsidTr="00C16AA7">
        <w:trPr>
          <w:trHeight w:val="255"/>
        </w:trPr>
        <w:tc>
          <w:tcPr>
            <w:tcW w:w="2088" w:type="dxa"/>
            <w:tcBorders>
              <w:top w:val="nil"/>
              <w:left w:val="nil"/>
              <w:bottom w:val="nil"/>
              <w:right w:val="nil"/>
            </w:tcBorders>
            <w:vAlign w:val="center"/>
          </w:tcPr>
          <w:p w:rsidR="00AB2D8F" w:rsidRPr="00765C97" w:rsidRDefault="00AB2D8F">
            <w:pPr>
              <w:rPr>
                <w:rFonts w:ascii="Arial" w:hAnsi="Arial"/>
                <w:b/>
                <w:sz w:val="20"/>
                <w:lang w:val="pl-PL"/>
              </w:rPr>
            </w:pPr>
            <w:r w:rsidRPr="00765C97">
              <w:rPr>
                <w:rFonts w:ascii="Arial" w:hAnsi="Arial"/>
                <w:sz w:val="20"/>
                <w:lang w:val="pl-PL"/>
              </w:rPr>
              <w:t>Ujęte w skonsolidowanym rachunku zysków i strat:</w:t>
            </w:r>
          </w:p>
        </w:tc>
        <w:tc>
          <w:tcPr>
            <w:tcW w:w="1598" w:type="dxa"/>
            <w:tcBorders>
              <w:top w:val="nil"/>
              <w:left w:val="nil"/>
              <w:bottom w:val="nil"/>
              <w:right w:val="nil"/>
            </w:tcBorders>
            <w:vAlign w:val="center"/>
          </w:tcPr>
          <w:p w:rsidR="00AB2D8F" w:rsidRPr="00765C97" w:rsidRDefault="00AB2D8F" w:rsidP="00AB2D8F">
            <w:pPr>
              <w:jc w:val="right"/>
              <w:rPr>
                <w:rFonts w:ascii="Arial" w:hAnsi="Arial"/>
                <w:sz w:val="20"/>
                <w:lang w:val="pl-PL"/>
              </w:rPr>
            </w:pPr>
          </w:p>
        </w:tc>
        <w:tc>
          <w:tcPr>
            <w:tcW w:w="1134" w:type="dxa"/>
            <w:tcBorders>
              <w:top w:val="nil"/>
              <w:left w:val="nil"/>
              <w:bottom w:val="nil"/>
              <w:right w:val="nil"/>
            </w:tcBorders>
            <w:vAlign w:val="center"/>
          </w:tcPr>
          <w:p w:rsidR="00AB2D8F" w:rsidRPr="00765C97" w:rsidRDefault="00AB2D8F" w:rsidP="00AB2D8F">
            <w:pPr>
              <w:jc w:val="right"/>
              <w:rPr>
                <w:rFonts w:ascii="Arial" w:hAnsi="Arial"/>
                <w:sz w:val="20"/>
                <w:lang w:val="pl-PL"/>
              </w:rPr>
            </w:pPr>
          </w:p>
        </w:tc>
        <w:tc>
          <w:tcPr>
            <w:tcW w:w="850" w:type="dxa"/>
            <w:tcBorders>
              <w:top w:val="nil"/>
              <w:left w:val="nil"/>
              <w:bottom w:val="nil"/>
              <w:right w:val="nil"/>
            </w:tcBorders>
            <w:vAlign w:val="center"/>
          </w:tcPr>
          <w:p w:rsidR="00AB2D8F" w:rsidRPr="00765C97" w:rsidRDefault="00AB2D8F" w:rsidP="00E478BB">
            <w:pPr>
              <w:jc w:val="right"/>
              <w:rPr>
                <w:rFonts w:ascii="Arial" w:hAnsi="Arial"/>
                <w:sz w:val="20"/>
                <w:lang w:val="pl-PL"/>
              </w:rPr>
            </w:pPr>
          </w:p>
        </w:tc>
        <w:tc>
          <w:tcPr>
            <w:tcW w:w="851" w:type="dxa"/>
            <w:tcBorders>
              <w:top w:val="nil"/>
              <w:left w:val="nil"/>
              <w:bottom w:val="nil"/>
              <w:right w:val="nil"/>
            </w:tcBorders>
            <w:vAlign w:val="center"/>
          </w:tcPr>
          <w:p w:rsidR="00AB2D8F" w:rsidRPr="00765C97" w:rsidRDefault="00AB2D8F" w:rsidP="00E478BB">
            <w:pPr>
              <w:jc w:val="right"/>
              <w:rPr>
                <w:rFonts w:ascii="Arial" w:hAnsi="Arial"/>
                <w:sz w:val="20"/>
                <w:lang w:val="pl-PL"/>
              </w:rPr>
            </w:pPr>
          </w:p>
        </w:tc>
        <w:tc>
          <w:tcPr>
            <w:tcW w:w="993" w:type="dxa"/>
            <w:tcBorders>
              <w:top w:val="nil"/>
              <w:left w:val="nil"/>
              <w:bottom w:val="nil"/>
              <w:right w:val="nil"/>
            </w:tcBorders>
            <w:vAlign w:val="center"/>
          </w:tcPr>
          <w:p w:rsidR="00AB2D8F" w:rsidRPr="00765C97" w:rsidRDefault="00AB2D8F" w:rsidP="00D21DD5">
            <w:pPr>
              <w:jc w:val="right"/>
              <w:rPr>
                <w:rFonts w:ascii="Arial" w:hAnsi="Arial"/>
                <w:sz w:val="20"/>
                <w:lang w:val="pl-PL"/>
              </w:rPr>
            </w:pPr>
          </w:p>
        </w:tc>
        <w:tc>
          <w:tcPr>
            <w:tcW w:w="992" w:type="dxa"/>
            <w:tcBorders>
              <w:top w:val="nil"/>
              <w:left w:val="nil"/>
              <w:bottom w:val="nil"/>
              <w:right w:val="nil"/>
            </w:tcBorders>
            <w:vAlign w:val="center"/>
          </w:tcPr>
          <w:p w:rsidR="00AB2D8F" w:rsidRPr="00765C97" w:rsidRDefault="00AB2D8F" w:rsidP="00D21DD5">
            <w:pPr>
              <w:jc w:val="right"/>
              <w:rPr>
                <w:rFonts w:ascii="Arial" w:hAnsi="Arial"/>
                <w:sz w:val="20"/>
                <w:lang w:val="pl-PL"/>
              </w:rPr>
            </w:pPr>
          </w:p>
        </w:tc>
      </w:tr>
      <w:tr w:rsidR="00AB2D8F" w:rsidRPr="00765C97" w:rsidTr="00C16AA7">
        <w:trPr>
          <w:trHeight w:val="255"/>
        </w:trPr>
        <w:tc>
          <w:tcPr>
            <w:tcW w:w="2088" w:type="dxa"/>
            <w:tcBorders>
              <w:top w:val="nil"/>
              <w:left w:val="nil"/>
              <w:bottom w:val="nil"/>
              <w:right w:val="nil"/>
            </w:tcBorders>
            <w:vAlign w:val="center"/>
          </w:tcPr>
          <w:p w:rsidR="00AB2D8F" w:rsidRPr="00765C97" w:rsidRDefault="00AB2D8F">
            <w:pPr>
              <w:rPr>
                <w:rFonts w:ascii="Arial" w:hAnsi="Arial"/>
                <w:i/>
                <w:sz w:val="20"/>
                <w:lang w:val="pl-PL"/>
              </w:rPr>
            </w:pPr>
            <w:r w:rsidRPr="00765C97">
              <w:rPr>
                <w:rFonts w:ascii="Arial" w:hAnsi="Arial"/>
                <w:i/>
                <w:sz w:val="20"/>
                <w:lang w:val="pl-PL"/>
              </w:rPr>
              <w:t>– utworzenie dodatkowych rezerw</w:t>
            </w:r>
          </w:p>
        </w:tc>
        <w:tc>
          <w:tcPr>
            <w:tcW w:w="1598" w:type="dxa"/>
            <w:tcBorders>
              <w:top w:val="nil"/>
              <w:left w:val="nil"/>
              <w:right w:val="nil"/>
            </w:tcBorders>
            <w:vAlign w:val="center"/>
          </w:tcPr>
          <w:p w:rsidR="00AB2D8F" w:rsidRPr="00765C97" w:rsidRDefault="00384B6F" w:rsidP="00CA5E66">
            <w:pPr>
              <w:jc w:val="right"/>
              <w:rPr>
                <w:rFonts w:ascii="Arial" w:hAnsi="Arial"/>
                <w:i/>
                <w:sz w:val="20"/>
                <w:lang w:val="pl-PL"/>
              </w:rPr>
            </w:pPr>
            <w:r w:rsidRPr="00765C97">
              <w:rPr>
                <w:rFonts w:ascii="Arial" w:hAnsi="Arial"/>
                <w:i/>
                <w:sz w:val="20"/>
                <w:lang w:val="pl-PL"/>
              </w:rPr>
              <w:t>8</w:t>
            </w:r>
            <w:r w:rsidR="00530AC2" w:rsidRPr="00765C97">
              <w:rPr>
                <w:rFonts w:ascii="Arial" w:hAnsi="Arial"/>
                <w:i/>
                <w:sz w:val="20"/>
                <w:lang w:val="pl-PL"/>
              </w:rPr>
              <w:t xml:space="preserve"> </w:t>
            </w:r>
            <w:r w:rsidRPr="00765C97">
              <w:rPr>
                <w:rFonts w:ascii="Arial" w:hAnsi="Arial"/>
                <w:i/>
                <w:sz w:val="20"/>
                <w:lang w:val="pl-PL"/>
              </w:rPr>
              <w:t>108</w:t>
            </w:r>
          </w:p>
        </w:tc>
        <w:tc>
          <w:tcPr>
            <w:tcW w:w="1134" w:type="dxa"/>
            <w:tcBorders>
              <w:top w:val="nil"/>
              <w:left w:val="nil"/>
              <w:right w:val="nil"/>
            </w:tcBorders>
            <w:vAlign w:val="center"/>
          </w:tcPr>
          <w:p w:rsidR="00AB2D8F" w:rsidRPr="00765C97" w:rsidRDefault="00384B6F" w:rsidP="00AB2D8F">
            <w:pPr>
              <w:jc w:val="right"/>
              <w:rPr>
                <w:rFonts w:ascii="Arial" w:hAnsi="Arial"/>
                <w:i/>
                <w:sz w:val="20"/>
                <w:lang w:val="pl-PL"/>
              </w:rPr>
            </w:pPr>
            <w:r w:rsidRPr="00765C97">
              <w:rPr>
                <w:rFonts w:ascii="Arial" w:hAnsi="Arial"/>
                <w:i/>
                <w:sz w:val="20"/>
                <w:lang w:val="pl-PL"/>
              </w:rPr>
              <w:t>17 675</w:t>
            </w:r>
          </w:p>
        </w:tc>
        <w:tc>
          <w:tcPr>
            <w:tcW w:w="850" w:type="dxa"/>
            <w:tcBorders>
              <w:top w:val="nil"/>
              <w:left w:val="nil"/>
              <w:right w:val="nil"/>
            </w:tcBorders>
            <w:vAlign w:val="center"/>
          </w:tcPr>
          <w:p w:rsidR="00AB2D8F" w:rsidRPr="00765C97" w:rsidRDefault="009350A1" w:rsidP="00E478BB">
            <w:pPr>
              <w:jc w:val="right"/>
              <w:rPr>
                <w:rFonts w:ascii="Arial" w:hAnsi="Arial"/>
                <w:i/>
                <w:sz w:val="20"/>
                <w:lang w:val="pl-PL"/>
              </w:rPr>
            </w:pPr>
            <w:r w:rsidRPr="00765C97">
              <w:rPr>
                <w:rFonts w:ascii="Arial" w:hAnsi="Arial"/>
                <w:i/>
                <w:sz w:val="20"/>
                <w:lang w:val="pl-PL"/>
              </w:rPr>
              <w:t>4 343</w:t>
            </w:r>
          </w:p>
        </w:tc>
        <w:tc>
          <w:tcPr>
            <w:tcW w:w="851" w:type="dxa"/>
            <w:tcBorders>
              <w:top w:val="nil"/>
              <w:left w:val="nil"/>
              <w:right w:val="nil"/>
            </w:tcBorders>
            <w:vAlign w:val="center"/>
          </w:tcPr>
          <w:p w:rsidR="00AB2D8F" w:rsidRPr="00765C97" w:rsidRDefault="00384B6F" w:rsidP="00E478BB">
            <w:pPr>
              <w:jc w:val="right"/>
              <w:rPr>
                <w:rFonts w:ascii="Arial" w:hAnsi="Arial"/>
                <w:i/>
                <w:sz w:val="20"/>
                <w:lang w:val="pl-PL"/>
              </w:rPr>
            </w:pPr>
            <w:r w:rsidRPr="00765C97">
              <w:rPr>
                <w:rFonts w:ascii="Arial" w:hAnsi="Arial"/>
                <w:i/>
                <w:sz w:val="20"/>
                <w:lang w:val="pl-PL"/>
              </w:rPr>
              <w:t>10 266</w:t>
            </w:r>
          </w:p>
        </w:tc>
        <w:tc>
          <w:tcPr>
            <w:tcW w:w="993" w:type="dxa"/>
            <w:tcBorders>
              <w:top w:val="nil"/>
              <w:left w:val="nil"/>
              <w:right w:val="nil"/>
            </w:tcBorders>
            <w:vAlign w:val="center"/>
          </w:tcPr>
          <w:p w:rsidR="00AB2D8F" w:rsidRPr="00765C97" w:rsidRDefault="00384B6F" w:rsidP="00530AC2">
            <w:pPr>
              <w:jc w:val="right"/>
              <w:rPr>
                <w:rFonts w:ascii="Arial" w:hAnsi="Arial"/>
                <w:i/>
                <w:sz w:val="20"/>
                <w:lang w:val="pl-PL"/>
              </w:rPr>
            </w:pPr>
            <w:r w:rsidRPr="00765C97">
              <w:rPr>
                <w:rFonts w:ascii="Arial" w:hAnsi="Arial"/>
                <w:i/>
                <w:sz w:val="20"/>
                <w:lang w:val="pl-PL"/>
              </w:rPr>
              <w:t>6</w:t>
            </w:r>
            <w:r w:rsidR="00530AC2" w:rsidRPr="00765C97">
              <w:rPr>
                <w:rFonts w:ascii="Arial" w:hAnsi="Arial"/>
                <w:i/>
                <w:sz w:val="20"/>
                <w:lang w:val="pl-PL"/>
              </w:rPr>
              <w:t>9</w:t>
            </w:r>
            <w:r w:rsidRPr="00765C97">
              <w:rPr>
                <w:rFonts w:ascii="Arial" w:hAnsi="Arial"/>
                <w:i/>
                <w:sz w:val="20"/>
                <w:lang w:val="pl-PL"/>
              </w:rPr>
              <w:t> </w:t>
            </w:r>
            <w:r w:rsidR="00530AC2" w:rsidRPr="00765C97">
              <w:rPr>
                <w:rFonts w:ascii="Arial" w:hAnsi="Arial"/>
                <w:i/>
                <w:sz w:val="20"/>
                <w:lang w:val="pl-PL"/>
              </w:rPr>
              <w:t>318</w:t>
            </w:r>
          </w:p>
        </w:tc>
        <w:tc>
          <w:tcPr>
            <w:tcW w:w="992" w:type="dxa"/>
            <w:tcBorders>
              <w:top w:val="nil"/>
              <w:left w:val="nil"/>
              <w:right w:val="nil"/>
            </w:tcBorders>
            <w:vAlign w:val="center"/>
          </w:tcPr>
          <w:p w:rsidR="00AB2D8F" w:rsidRPr="00765C97" w:rsidRDefault="00387474" w:rsidP="00561B55">
            <w:pPr>
              <w:jc w:val="right"/>
              <w:rPr>
                <w:rFonts w:ascii="Arial" w:hAnsi="Arial"/>
                <w:i/>
                <w:sz w:val="20"/>
                <w:lang w:val="pl-PL"/>
              </w:rPr>
            </w:pPr>
            <w:r w:rsidRPr="00765C97">
              <w:rPr>
                <w:rFonts w:ascii="Arial" w:hAnsi="Arial"/>
                <w:i/>
                <w:sz w:val="20"/>
                <w:lang w:val="pl-PL"/>
              </w:rPr>
              <w:t>109 710</w:t>
            </w:r>
          </w:p>
        </w:tc>
      </w:tr>
      <w:tr w:rsidR="00AB2D8F" w:rsidRPr="00765C97" w:rsidTr="00C16AA7">
        <w:trPr>
          <w:trHeight w:val="255"/>
        </w:trPr>
        <w:tc>
          <w:tcPr>
            <w:tcW w:w="2088" w:type="dxa"/>
            <w:tcBorders>
              <w:top w:val="nil"/>
              <w:left w:val="nil"/>
              <w:bottom w:val="nil"/>
              <w:right w:val="nil"/>
            </w:tcBorders>
            <w:vAlign w:val="center"/>
          </w:tcPr>
          <w:p w:rsidR="00AB2D8F" w:rsidRPr="00765C97" w:rsidRDefault="00AB2D8F">
            <w:pPr>
              <w:rPr>
                <w:rFonts w:ascii="Arial" w:hAnsi="Arial"/>
                <w:i/>
                <w:sz w:val="20"/>
                <w:lang w:val="pl-PL"/>
              </w:rPr>
            </w:pPr>
            <w:r w:rsidRPr="00765C97">
              <w:rPr>
                <w:rFonts w:ascii="Arial" w:hAnsi="Arial"/>
                <w:i/>
                <w:sz w:val="20"/>
                <w:lang w:val="pl-PL"/>
              </w:rPr>
              <w:t>- rezerwy wykorzystane w trakcie roku</w:t>
            </w:r>
          </w:p>
        </w:tc>
        <w:tc>
          <w:tcPr>
            <w:tcW w:w="1598" w:type="dxa"/>
            <w:tcBorders>
              <w:top w:val="nil"/>
              <w:left w:val="nil"/>
              <w:right w:val="nil"/>
            </w:tcBorders>
            <w:vAlign w:val="center"/>
          </w:tcPr>
          <w:p w:rsidR="00AB2D8F" w:rsidRPr="00765C97" w:rsidRDefault="00384B6F" w:rsidP="00AB2D8F">
            <w:pPr>
              <w:jc w:val="right"/>
              <w:rPr>
                <w:rFonts w:ascii="Arial" w:hAnsi="Arial"/>
                <w:i/>
                <w:spacing w:val="-2"/>
                <w:sz w:val="20"/>
                <w:lang w:val="pl-PL"/>
              </w:rPr>
            </w:pPr>
            <w:r w:rsidRPr="00765C97">
              <w:rPr>
                <w:rFonts w:ascii="Arial" w:hAnsi="Arial"/>
                <w:i/>
                <w:spacing w:val="-2"/>
                <w:sz w:val="20"/>
                <w:lang w:val="pl-PL"/>
              </w:rPr>
              <w:t>(9 814)</w:t>
            </w:r>
          </w:p>
        </w:tc>
        <w:tc>
          <w:tcPr>
            <w:tcW w:w="1134" w:type="dxa"/>
            <w:tcBorders>
              <w:top w:val="nil"/>
              <w:left w:val="nil"/>
              <w:right w:val="nil"/>
            </w:tcBorders>
            <w:vAlign w:val="center"/>
          </w:tcPr>
          <w:p w:rsidR="00AB2D8F" w:rsidRPr="00765C97" w:rsidRDefault="00384B6F" w:rsidP="00AB2D8F">
            <w:pPr>
              <w:jc w:val="right"/>
              <w:rPr>
                <w:rFonts w:ascii="Arial" w:hAnsi="Arial"/>
                <w:i/>
                <w:spacing w:val="-2"/>
                <w:sz w:val="20"/>
                <w:lang w:val="pl-PL"/>
              </w:rPr>
            </w:pPr>
            <w:r w:rsidRPr="00765C97">
              <w:rPr>
                <w:rFonts w:ascii="Arial" w:hAnsi="Arial"/>
                <w:i/>
                <w:spacing w:val="-2"/>
                <w:sz w:val="20"/>
                <w:lang w:val="pl-PL"/>
              </w:rPr>
              <w:t>(11 865)</w:t>
            </w:r>
          </w:p>
        </w:tc>
        <w:tc>
          <w:tcPr>
            <w:tcW w:w="850" w:type="dxa"/>
            <w:tcBorders>
              <w:top w:val="nil"/>
              <w:left w:val="nil"/>
              <w:right w:val="nil"/>
            </w:tcBorders>
            <w:vAlign w:val="center"/>
          </w:tcPr>
          <w:p w:rsidR="00AB2D8F" w:rsidRPr="00765C97" w:rsidRDefault="00384B6F" w:rsidP="00E478BB">
            <w:pPr>
              <w:jc w:val="right"/>
              <w:rPr>
                <w:rFonts w:ascii="Arial" w:hAnsi="Arial"/>
                <w:i/>
                <w:spacing w:val="-3"/>
                <w:sz w:val="20"/>
                <w:lang w:val="pl-PL"/>
              </w:rPr>
            </w:pPr>
            <w:r w:rsidRPr="00765C97">
              <w:rPr>
                <w:rFonts w:ascii="Arial" w:hAnsi="Arial"/>
                <w:i/>
                <w:spacing w:val="-3"/>
                <w:sz w:val="20"/>
                <w:lang w:val="pl-PL"/>
              </w:rPr>
              <w:t>(</w:t>
            </w:r>
            <w:r w:rsidR="009350A1" w:rsidRPr="00765C97">
              <w:rPr>
                <w:rFonts w:ascii="Arial" w:hAnsi="Arial"/>
                <w:i/>
                <w:spacing w:val="-3"/>
                <w:sz w:val="20"/>
                <w:lang w:val="pl-PL"/>
              </w:rPr>
              <w:t>10 171</w:t>
            </w:r>
            <w:r w:rsidRPr="00765C97">
              <w:rPr>
                <w:rFonts w:ascii="Arial" w:hAnsi="Arial"/>
                <w:i/>
                <w:spacing w:val="-3"/>
                <w:sz w:val="20"/>
                <w:lang w:val="pl-PL"/>
              </w:rPr>
              <w:t>)</w:t>
            </w:r>
          </w:p>
        </w:tc>
        <w:tc>
          <w:tcPr>
            <w:tcW w:w="851" w:type="dxa"/>
            <w:tcBorders>
              <w:top w:val="nil"/>
              <w:left w:val="nil"/>
              <w:right w:val="nil"/>
            </w:tcBorders>
            <w:vAlign w:val="center"/>
          </w:tcPr>
          <w:p w:rsidR="00AB2D8F" w:rsidRPr="00765C97" w:rsidRDefault="00384B6F" w:rsidP="00E478BB">
            <w:pPr>
              <w:jc w:val="right"/>
              <w:rPr>
                <w:rFonts w:ascii="Arial" w:hAnsi="Arial"/>
                <w:i/>
                <w:sz w:val="20"/>
                <w:lang w:val="pl-PL"/>
              </w:rPr>
            </w:pPr>
            <w:r w:rsidRPr="00765C97">
              <w:rPr>
                <w:rFonts w:ascii="Arial" w:hAnsi="Arial"/>
                <w:i/>
                <w:sz w:val="20"/>
                <w:lang w:val="pl-PL"/>
              </w:rPr>
              <w:t>(8 958)</w:t>
            </w:r>
          </w:p>
        </w:tc>
        <w:tc>
          <w:tcPr>
            <w:tcW w:w="993" w:type="dxa"/>
            <w:tcBorders>
              <w:top w:val="nil"/>
              <w:left w:val="nil"/>
              <w:right w:val="nil"/>
            </w:tcBorders>
            <w:vAlign w:val="center"/>
          </w:tcPr>
          <w:p w:rsidR="00AB2D8F" w:rsidRPr="00765C97" w:rsidRDefault="00384B6F" w:rsidP="00384B6F">
            <w:pPr>
              <w:jc w:val="right"/>
              <w:rPr>
                <w:rFonts w:ascii="Arial" w:hAnsi="Arial"/>
                <w:i/>
                <w:sz w:val="20"/>
                <w:lang w:val="pl-PL"/>
              </w:rPr>
            </w:pPr>
            <w:r w:rsidRPr="00765C97">
              <w:rPr>
                <w:rFonts w:ascii="Arial" w:hAnsi="Arial"/>
                <w:i/>
                <w:sz w:val="20"/>
                <w:lang w:val="pl-PL"/>
              </w:rPr>
              <w:t>(6</w:t>
            </w:r>
            <w:r w:rsidR="00530AC2" w:rsidRPr="00765C97">
              <w:rPr>
                <w:rFonts w:ascii="Arial" w:hAnsi="Arial"/>
                <w:i/>
                <w:sz w:val="20"/>
                <w:lang w:val="pl-PL"/>
              </w:rPr>
              <w:t>4</w:t>
            </w:r>
            <w:r w:rsidRPr="00765C97">
              <w:rPr>
                <w:rFonts w:ascii="Arial" w:hAnsi="Arial"/>
                <w:i/>
                <w:sz w:val="20"/>
                <w:lang w:val="pl-PL"/>
              </w:rPr>
              <w:t> </w:t>
            </w:r>
            <w:r w:rsidR="00530AC2" w:rsidRPr="00765C97">
              <w:rPr>
                <w:rFonts w:ascii="Arial" w:hAnsi="Arial"/>
                <w:i/>
                <w:sz w:val="20"/>
                <w:lang w:val="pl-PL"/>
              </w:rPr>
              <w:t>145</w:t>
            </w:r>
            <w:r w:rsidRPr="00765C97">
              <w:rPr>
                <w:rFonts w:ascii="Arial" w:hAnsi="Arial"/>
                <w:i/>
                <w:sz w:val="20"/>
                <w:lang w:val="pl-PL"/>
              </w:rPr>
              <w:t>)</w:t>
            </w:r>
          </w:p>
        </w:tc>
        <w:tc>
          <w:tcPr>
            <w:tcW w:w="992" w:type="dxa"/>
            <w:tcBorders>
              <w:top w:val="nil"/>
              <w:left w:val="nil"/>
              <w:right w:val="nil"/>
            </w:tcBorders>
            <w:vAlign w:val="center"/>
          </w:tcPr>
          <w:p w:rsidR="00AB2D8F" w:rsidRPr="00765C97" w:rsidRDefault="00387474" w:rsidP="00387474">
            <w:pPr>
              <w:jc w:val="right"/>
              <w:rPr>
                <w:rFonts w:ascii="Arial" w:hAnsi="Arial"/>
                <w:i/>
                <w:sz w:val="20"/>
                <w:lang w:val="pl-PL"/>
              </w:rPr>
            </w:pPr>
            <w:r w:rsidRPr="00765C97">
              <w:rPr>
                <w:rFonts w:ascii="Arial" w:hAnsi="Arial"/>
                <w:i/>
                <w:sz w:val="20"/>
                <w:lang w:val="pl-PL"/>
              </w:rPr>
              <w:t>(104 953</w:t>
            </w:r>
            <w:r w:rsidR="00384B6F" w:rsidRPr="00765C97">
              <w:rPr>
                <w:rFonts w:ascii="Arial" w:hAnsi="Arial"/>
                <w:i/>
                <w:sz w:val="20"/>
                <w:lang w:val="pl-PL"/>
              </w:rPr>
              <w:t>)</w:t>
            </w:r>
          </w:p>
        </w:tc>
      </w:tr>
      <w:tr w:rsidR="00AB2D8F" w:rsidRPr="00765C97" w:rsidTr="00C16AA7">
        <w:trPr>
          <w:trHeight w:val="255"/>
        </w:trPr>
        <w:tc>
          <w:tcPr>
            <w:tcW w:w="2088" w:type="dxa"/>
            <w:tcBorders>
              <w:top w:val="nil"/>
              <w:left w:val="nil"/>
              <w:bottom w:val="nil"/>
              <w:right w:val="nil"/>
            </w:tcBorders>
            <w:vAlign w:val="center"/>
          </w:tcPr>
          <w:p w:rsidR="00AB2D8F" w:rsidRPr="00765C97" w:rsidRDefault="00AB2D8F" w:rsidP="007B0865">
            <w:pPr>
              <w:rPr>
                <w:rFonts w:ascii="Arial" w:hAnsi="Arial"/>
                <w:b/>
                <w:sz w:val="20"/>
                <w:lang w:val="pl-PL"/>
              </w:rPr>
            </w:pPr>
            <w:r w:rsidRPr="00765C97">
              <w:rPr>
                <w:rFonts w:ascii="Arial" w:hAnsi="Arial"/>
                <w:b/>
                <w:sz w:val="20"/>
                <w:lang w:val="pl-PL"/>
              </w:rPr>
              <w:t xml:space="preserve">Stan na </w:t>
            </w:r>
          </w:p>
          <w:p w:rsidR="00AB2D8F" w:rsidRPr="00765C97" w:rsidRDefault="00AB2D8F" w:rsidP="007A03FC">
            <w:pPr>
              <w:rPr>
                <w:rFonts w:ascii="Arial" w:hAnsi="Arial"/>
                <w:b/>
                <w:sz w:val="20"/>
                <w:lang w:val="pl-PL"/>
              </w:rPr>
            </w:pPr>
            <w:r w:rsidRPr="00765C97">
              <w:rPr>
                <w:rFonts w:ascii="Arial" w:hAnsi="Arial"/>
                <w:b/>
                <w:sz w:val="20"/>
                <w:lang w:val="pl-PL"/>
              </w:rPr>
              <w:t>31 grudnia 201</w:t>
            </w:r>
            <w:r w:rsidR="007A03FC" w:rsidRPr="00765C97">
              <w:rPr>
                <w:rFonts w:ascii="Arial" w:hAnsi="Arial"/>
                <w:b/>
                <w:sz w:val="20"/>
                <w:lang w:val="pl-PL"/>
              </w:rPr>
              <w:t>2</w:t>
            </w:r>
            <w:r w:rsidRPr="00765C97">
              <w:rPr>
                <w:rFonts w:ascii="Arial" w:hAnsi="Arial"/>
                <w:b/>
                <w:sz w:val="20"/>
                <w:lang w:val="pl-PL"/>
              </w:rPr>
              <w:t xml:space="preserve"> r.</w:t>
            </w:r>
          </w:p>
        </w:tc>
        <w:tc>
          <w:tcPr>
            <w:tcW w:w="1598" w:type="dxa"/>
            <w:tcBorders>
              <w:top w:val="single" w:sz="2" w:space="0" w:color="auto"/>
              <w:left w:val="nil"/>
              <w:bottom w:val="single" w:sz="2" w:space="0" w:color="auto"/>
              <w:right w:val="nil"/>
            </w:tcBorders>
            <w:vAlign w:val="center"/>
          </w:tcPr>
          <w:p w:rsidR="00AB2D8F" w:rsidRPr="00765C97" w:rsidRDefault="00384B6F" w:rsidP="00CA5E66">
            <w:pPr>
              <w:jc w:val="right"/>
              <w:rPr>
                <w:rFonts w:ascii="Arial" w:hAnsi="Arial"/>
                <w:b/>
                <w:sz w:val="20"/>
                <w:lang w:val="pl-PL"/>
              </w:rPr>
            </w:pPr>
            <w:r w:rsidRPr="00765C97">
              <w:rPr>
                <w:rFonts w:ascii="Arial" w:hAnsi="Arial"/>
                <w:b/>
                <w:sz w:val="20"/>
                <w:lang w:val="pl-PL"/>
              </w:rPr>
              <w:t>2 015</w:t>
            </w:r>
          </w:p>
        </w:tc>
        <w:tc>
          <w:tcPr>
            <w:tcW w:w="1134" w:type="dxa"/>
            <w:tcBorders>
              <w:top w:val="single" w:sz="2" w:space="0" w:color="auto"/>
              <w:left w:val="nil"/>
              <w:bottom w:val="single" w:sz="2" w:space="0" w:color="auto"/>
              <w:right w:val="nil"/>
            </w:tcBorders>
            <w:vAlign w:val="center"/>
          </w:tcPr>
          <w:p w:rsidR="00AB2D8F" w:rsidRPr="00765C97" w:rsidRDefault="00384B6F" w:rsidP="00AB2D8F">
            <w:pPr>
              <w:jc w:val="right"/>
              <w:rPr>
                <w:rFonts w:ascii="Arial" w:hAnsi="Arial"/>
                <w:b/>
                <w:sz w:val="20"/>
                <w:lang w:val="pl-PL"/>
              </w:rPr>
            </w:pPr>
            <w:r w:rsidRPr="00765C97">
              <w:rPr>
                <w:rFonts w:ascii="Arial" w:hAnsi="Arial"/>
                <w:b/>
                <w:sz w:val="20"/>
                <w:lang w:val="pl-PL"/>
              </w:rPr>
              <w:t>16 747</w:t>
            </w:r>
          </w:p>
        </w:tc>
        <w:tc>
          <w:tcPr>
            <w:tcW w:w="850" w:type="dxa"/>
            <w:tcBorders>
              <w:top w:val="single" w:sz="2" w:space="0" w:color="auto"/>
              <w:left w:val="nil"/>
              <w:bottom w:val="single" w:sz="2" w:space="0" w:color="auto"/>
              <w:right w:val="nil"/>
            </w:tcBorders>
            <w:vAlign w:val="center"/>
          </w:tcPr>
          <w:p w:rsidR="00AB2D8F" w:rsidRPr="00765C97" w:rsidRDefault="00384B6F" w:rsidP="00157382">
            <w:pPr>
              <w:jc w:val="right"/>
              <w:rPr>
                <w:rFonts w:ascii="Arial" w:hAnsi="Arial"/>
                <w:b/>
                <w:sz w:val="20"/>
                <w:lang w:val="pl-PL"/>
              </w:rPr>
            </w:pPr>
            <w:r w:rsidRPr="00765C97">
              <w:rPr>
                <w:rFonts w:ascii="Arial" w:hAnsi="Arial"/>
                <w:b/>
                <w:sz w:val="20"/>
                <w:lang w:val="pl-PL"/>
              </w:rPr>
              <w:t>3 529</w:t>
            </w:r>
          </w:p>
        </w:tc>
        <w:tc>
          <w:tcPr>
            <w:tcW w:w="851" w:type="dxa"/>
            <w:tcBorders>
              <w:top w:val="single" w:sz="2" w:space="0" w:color="auto"/>
              <w:left w:val="nil"/>
              <w:bottom w:val="single" w:sz="2" w:space="0" w:color="auto"/>
              <w:right w:val="nil"/>
            </w:tcBorders>
            <w:vAlign w:val="center"/>
          </w:tcPr>
          <w:p w:rsidR="00AB2D8F" w:rsidRPr="00765C97" w:rsidRDefault="00384B6F" w:rsidP="00E478BB">
            <w:pPr>
              <w:jc w:val="right"/>
              <w:rPr>
                <w:rFonts w:ascii="Arial" w:hAnsi="Arial"/>
                <w:b/>
                <w:sz w:val="20"/>
                <w:lang w:val="pl-PL"/>
              </w:rPr>
            </w:pPr>
            <w:r w:rsidRPr="00765C97">
              <w:rPr>
                <w:rFonts w:ascii="Arial" w:hAnsi="Arial"/>
                <w:b/>
                <w:sz w:val="20"/>
                <w:lang w:val="pl-PL"/>
              </w:rPr>
              <w:t>14 259</w:t>
            </w:r>
          </w:p>
        </w:tc>
        <w:tc>
          <w:tcPr>
            <w:tcW w:w="993" w:type="dxa"/>
            <w:tcBorders>
              <w:top w:val="single" w:sz="2" w:space="0" w:color="auto"/>
              <w:left w:val="nil"/>
              <w:bottom w:val="single" w:sz="2" w:space="0" w:color="auto"/>
              <w:right w:val="nil"/>
            </w:tcBorders>
            <w:vAlign w:val="center"/>
          </w:tcPr>
          <w:p w:rsidR="00AB2D8F" w:rsidRPr="00765C97" w:rsidRDefault="00384B6F" w:rsidP="00D03F63">
            <w:pPr>
              <w:jc w:val="right"/>
              <w:rPr>
                <w:rFonts w:ascii="Arial" w:hAnsi="Arial"/>
                <w:b/>
                <w:sz w:val="20"/>
                <w:lang w:val="pl-PL"/>
              </w:rPr>
            </w:pPr>
            <w:r w:rsidRPr="00765C97">
              <w:rPr>
                <w:rFonts w:ascii="Arial" w:hAnsi="Arial"/>
                <w:b/>
                <w:sz w:val="20"/>
                <w:lang w:val="pl-PL"/>
              </w:rPr>
              <w:t>55 595</w:t>
            </w:r>
          </w:p>
        </w:tc>
        <w:tc>
          <w:tcPr>
            <w:tcW w:w="992" w:type="dxa"/>
            <w:tcBorders>
              <w:top w:val="single" w:sz="2" w:space="0" w:color="auto"/>
              <w:left w:val="nil"/>
              <w:bottom w:val="single" w:sz="2" w:space="0" w:color="auto"/>
              <w:right w:val="nil"/>
            </w:tcBorders>
            <w:vAlign w:val="center"/>
          </w:tcPr>
          <w:p w:rsidR="00AB2D8F" w:rsidRPr="00765C97" w:rsidRDefault="00384B6F" w:rsidP="00D03F63">
            <w:pPr>
              <w:jc w:val="right"/>
              <w:rPr>
                <w:rFonts w:ascii="Arial" w:hAnsi="Arial"/>
                <w:b/>
                <w:sz w:val="20"/>
                <w:lang w:val="pl-PL"/>
              </w:rPr>
            </w:pPr>
            <w:r w:rsidRPr="00765C97">
              <w:rPr>
                <w:rFonts w:ascii="Arial" w:hAnsi="Arial"/>
                <w:b/>
                <w:sz w:val="20"/>
                <w:lang w:val="pl-PL"/>
              </w:rPr>
              <w:t>92 145</w:t>
            </w:r>
          </w:p>
        </w:tc>
      </w:tr>
    </w:tbl>
    <w:p w:rsidR="00C16AA7" w:rsidRPr="00765C97" w:rsidRDefault="00C16AA7" w:rsidP="00833CBA">
      <w:pPr>
        <w:pStyle w:val="Style1"/>
        <w:adjustRightInd/>
        <w:jc w:val="both"/>
        <w:rPr>
          <w:rFonts w:ascii="Arial" w:hAnsi="Arial"/>
          <w:sz w:val="16"/>
          <w:szCs w:val="16"/>
          <w:lang w:val="pl-PL"/>
        </w:rPr>
      </w:pPr>
    </w:p>
    <w:p w:rsidR="00B24DA9" w:rsidRPr="00765C97" w:rsidRDefault="00B24DA9" w:rsidP="00833CBA">
      <w:pPr>
        <w:pStyle w:val="Style1"/>
        <w:adjustRightInd/>
        <w:jc w:val="both"/>
        <w:rPr>
          <w:rFonts w:ascii="Arial" w:hAnsi="Arial"/>
          <w:lang w:val="pl-PL"/>
        </w:rPr>
      </w:pPr>
      <w:r w:rsidRPr="00765C97">
        <w:rPr>
          <w:rFonts w:ascii="Arial" w:hAnsi="Arial"/>
          <w:lang w:val="pl-PL"/>
        </w:rPr>
        <w:t xml:space="preserve">Wszystkie rezerwy zostały obliczone w oparciu o wiarygodny szacunek dokonany na dzień bilansowy. Koszty okresu bieżącego dotyczą </w:t>
      </w:r>
      <w:r w:rsidR="00D03F63" w:rsidRPr="00765C97">
        <w:rPr>
          <w:rFonts w:ascii="Arial" w:hAnsi="Arial"/>
          <w:lang w:val="pl-PL"/>
        </w:rPr>
        <w:t xml:space="preserve">głównie </w:t>
      </w:r>
      <w:r w:rsidRPr="00765C97">
        <w:rPr>
          <w:rFonts w:ascii="Arial" w:hAnsi="Arial"/>
          <w:lang w:val="pl-PL"/>
        </w:rPr>
        <w:t xml:space="preserve">rezerw utworzonych </w:t>
      </w:r>
      <w:r w:rsidR="00C362CD" w:rsidRPr="00765C97">
        <w:rPr>
          <w:rFonts w:ascii="Arial" w:hAnsi="Arial"/>
          <w:lang w:val="pl-PL"/>
        </w:rPr>
        <w:t>na koszty z tytułu badania sprawozdań finansowych</w:t>
      </w:r>
      <w:r w:rsidR="00F32BA5" w:rsidRPr="00765C97">
        <w:rPr>
          <w:rFonts w:ascii="Arial" w:hAnsi="Arial"/>
          <w:lang w:val="pl-PL"/>
        </w:rPr>
        <w:t>,</w:t>
      </w:r>
      <w:r w:rsidR="00C362CD" w:rsidRPr="00765C97">
        <w:rPr>
          <w:rFonts w:ascii="Arial" w:hAnsi="Arial"/>
          <w:lang w:val="pl-PL"/>
        </w:rPr>
        <w:t xml:space="preserve"> kosztów</w:t>
      </w:r>
      <w:r w:rsidR="00F32BA5" w:rsidRPr="00765C97">
        <w:rPr>
          <w:rFonts w:ascii="Arial" w:hAnsi="Arial"/>
          <w:lang w:val="pl-PL"/>
        </w:rPr>
        <w:t xml:space="preserve"> archiwizacji i innych</w:t>
      </w:r>
      <w:r w:rsidR="00C362CD" w:rsidRPr="00765C97">
        <w:rPr>
          <w:rFonts w:ascii="Arial" w:hAnsi="Arial"/>
          <w:lang w:val="pl-PL"/>
        </w:rPr>
        <w:t xml:space="preserve"> administracyjnych</w:t>
      </w:r>
      <w:r w:rsidR="00F32BA5" w:rsidRPr="00765C97">
        <w:rPr>
          <w:rFonts w:ascii="Arial" w:hAnsi="Arial"/>
          <w:lang w:val="pl-PL"/>
        </w:rPr>
        <w:t xml:space="preserve"> oraz rozlicze</w:t>
      </w:r>
      <w:r w:rsidR="00665077" w:rsidRPr="00765C97">
        <w:rPr>
          <w:rFonts w:ascii="Arial" w:hAnsi="Arial"/>
          <w:lang w:val="pl-PL"/>
        </w:rPr>
        <w:t>ń</w:t>
      </w:r>
      <w:r w:rsidR="00F32BA5" w:rsidRPr="00765C97">
        <w:rPr>
          <w:rFonts w:ascii="Arial" w:hAnsi="Arial"/>
          <w:lang w:val="pl-PL"/>
        </w:rPr>
        <w:t xml:space="preserve"> z tytułu kart Visa</w:t>
      </w:r>
      <w:r w:rsidR="00665077" w:rsidRPr="00765C97">
        <w:rPr>
          <w:rFonts w:ascii="Arial" w:hAnsi="Arial"/>
          <w:lang w:val="pl-PL"/>
        </w:rPr>
        <w:t>.</w:t>
      </w:r>
      <w:r w:rsidRPr="00765C97">
        <w:rPr>
          <w:rFonts w:ascii="Arial" w:hAnsi="Arial"/>
          <w:lang w:val="pl-PL"/>
        </w:rPr>
        <w:t xml:space="preserve"> Rezerwy na koszty kontraktów dotyczą rozpoznania przewidywanych strat na kontraktach.</w:t>
      </w:r>
    </w:p>
    <w:p w:rsidR="00C16AA7" w:rsidRPr="00765C97" w:rsidRDefault="00C16AA7" w:rsidP="00833CBA">
      <w:pPr>
        <w:pStyle w:val="Style1"/>
        <w:adjustRightInd/>
        <w:jc w:val="both"/>
        <w:rPr>
          <w:rFonts w:ascii="Arial" w:hAnsi="Arial"/>
          <w:lang w:val="pl-PL"/>
        </w:rPr>
      </w:pPr>
    </w:p>
    <w:p w:rsidR="001B1779" w:rsidRPr="00765C97" w:rsidRDefault="001B1779" w:rsidP="00833CBA">
      <w:pPr>
        <w:rPr>
          <w:rFonts w:ascii="Arial" w:hAnsi="Arial"/>
          <w:b/>
          <w:sz w:val="20"/>
          <w:lang w:val="pl-PL"/>
        </w:rPr>
      </w:pPr>
    </w:p>
    <w:p w:rsidR="00B24DA9" w:rsidRPr="00765C97" w:rsidRDefault="00B24DA9" w:rsidP="00833CBA">
      <w:pPr>
        <w:rPr>
          <w:rFonts w:ascii="Arial" w:hAnsi="Arial"/>
          <w:b/>
          <w:sz w:val="20"/>
          <w:lang w:val="pl-PL"/>
        </w:rPr>
      </w:pPr>
      <w:r w:rsidRPr="00765C97">
        <w:rPr>
          <w:rFonts w:ascii="Arial" w:hAnsi="Arial"/>
          <w:b/>
          <w:sz w:val="20"/>
          <w:lang w:val="pl-PL"/>
        </w:rPr>
        <w:t>Struktura łącznej kwoty rezerw:</w:t>
      </w:r>
    </w:p>
    <w:tbl>
      <w:tblPr>
        <w:tblW w:w="8523" w:type="dxa"/>
        <w:tblLayout w:type="fixed"/>
        <w:tblCellMar>
          <w:left w:w="0" w:type="dxa"/>
          <w:right w:w="0" w:type="dxa"/>
        </w:tblCellMar>
        <w:tblLook w:val="0000"/>
      </w:tblPr>
      <w:tblGrid>
        <w:gridCol w:w="5103"/>
        <w:gridCol w:w="1710"/>
        <w:gridCol w:w="1710"/>
      </w:tblGrid>
      <w:tr w:rsidR="00B24DA9" w:rsidRPr="00765C97" w:rsidTr="00C16AA7">
        <w:trPr>
          <w:trHeight w:val="255"/>
        </w:trPr>
        <w:tc>
          <w:tcPr>
            <w:tcW w:w="5103" w:type="dxa"/>
            <w:tcBorders>
              <w:top w:val="nil"/>
              <w:left w:val="nil"/>
              <w:bottom w:val="nil"/>
              <w:right w:val="nil"/>
            </w:tcBorders>
            <w:vAlign w:val="center"/>
          </w:tcPr>
          <w:p w:rsidR="00B24DA9" w:rsidRPr="00765C97" w:rsidRDefault="00B24DA9">
            <w:pPr>
              <w:spacing w:before="120"/>
              <w:rPr>
                <w:rFonts w:ascii="Arial" w:hAnsi="Arial"/>
                <w:sz w:val="20"/>
                <w:lang w:val="pl-PL"/>
              </w:rPr>
            </w:pPr>
          </w:p>
        </w:tc>
        <w:tc>
          <w:tcPr>
            <w:tcW w:w="1710" w:type="dxa"/>
            <w:tcBorders>
              <w:top w:val="nil"/>
              <w:left w:val="nil"/>
              <w:bottom w:val="nil"/>
              <w:right w:val="nil"/>
            </w:tcBorders>
            <w:vAlign w:val="center"/>
          </w:tcPr>
          <w:p w:rsidR="00B24DA9" w:rsidRPr="00765C97" w:rsidRDefault="00B24DA9">
            <w:pPr>
              <w:ind w:right="130"/>
              <w:jc w:val="right"/>
              <w:rPr>
                <w:rFonts w:ascii="Arial" w:hAnsi="Arial"/>
                <w:b/>
                <w:sz w:val="20"/>
                <w:lang w:val="pl-PL"/>
              </w:rPr>
            </w:pPr>
            <w:r w:rsidRPr="00765C97">
              <w:rPr>
                <w:rFonts w:ascii="Arial" w:hAnsi="Arial"/>
                <w:b/>
                <w:sz w:val="20"/>
                <w:lang w:val="pl-PL"/>
              </w:rPr>
              <w:t>31 grudnia</w:t>
            </w:r>
          </w:p>
          <w:p w:rsidR="00B24DA9" w:rsidRPr="00765C97" w:rsidRDefault="00B24DA9" w:rsidP="007A03FC">
            <w:pPr>
              <w:ind w:right="130"/>
              <w:jc w:val="right"/>
              <w:rPr>
                <w:rFonts w:ascii="Arial" w:hAnsi="Arial"/>
                <w:b/>
                <w:sz w:val="20"/>
                <w:lang w:val="pl-PL"/>
              </w:rPr>
            </w:pPr>
            <w:r w:rsidRPr="00765C97">
              <w:rPr>
                <w:rFonts w:ascii="Arial" w:hAnsi="Arial"/>
                <w:b/>
                <w:sz w:val="20"/>
                <w:lang w:val="pl-PL"/>
              </w:rPr>
              <w:t>20</w:t>
            </w:r>
            <w:r w:rsidR="007B0865" w:rsidRPr="00765C97">
              <w:rPr>
                <w:rFonts w:ascii="Arial" w:hAnsi="Arial"/>
                <w:b/>
                <w:sz w:val="20"/>
                <w:lang w:val="pl-PL"/>
              </w:rPr>
              <w:t>1</w:t>
            </w:r>
            <w:r w:rsidR="007A03FC" w:rsidRPr="00765C97">
              <w:rPr>
                <w:rFonts w:ascii="Arial" w:hAnsi="Arial"/>
                <w:b/>
                <w:sz w:val="20"/>
                <w:lang w:val="pl-PL"/>
              </w:rPr>
              <w:t>2</w:t>
            </w:r>
            <w:r w:rsidRPr="00765C97">
              <w:rPr>
                <w:rFonts w:ascii="Arial" w:hAnsi="Arial"/>
                <w:b/>
                <w:sz w:val="20"/>
                <w:lang w:val="pl-PL"/>
              </w:rPr>
              <w:t xml:space="preserve"> r.</w:t>
            </w:r>
          </w:p>
        </w:tc>
        <w:tc>
          <w:tcPr>
            <w:tcW w:w="1710" w:type="dxa"/>
            <w:tcBorders>
              <w:top w:val="nil"/>
              <w:left w:val="nil"/>
              <w:bottom w:val="nil"/>
              <w:right w:val="nil"/>
            </w:tcBorders>
            <w:vAlign w:val="center"/>
          </w:tcPr>
          <w:p w:rsidR="00B24DA9" w:rsidRPr="00765C97" w:rsidRDefault="00B24DA9">
            <w:pPr>
              <w:ind w:right="141"/>
              <w:jc w:val="right"/>
              <w:rPr>
                <w:rFonts w:ascii="Arial" w:hAnsi="Arial"/>
                <w:b/>
                <w:sz w:val="20"/>
                <w:lang w:val="pl-PL"/>
              </w:rPr>
            </w:pPr>
            <w:r w:rsidRPr="00765C97">
              <w:rPr>
                <w:rFonts w:ascii="Arial" w:hAnsi="Arial"/>
                <w:b/>
                <w:sz w:val="20"/>
                <w:lang w:val="pl-PL"/>
              </w:rPr>
              <w:t>31 grudnia</w:t>
            </w:r>
          </w:p>
          <w:p w:rsidR="00B24DA9" w:rsidRPr="00765C97" w:rsidRDefault="00B24DA9" w:rsidP="007A03FC">
            <w:pPr>
              <w:ind w:right="141"/>
              <w:jc w:val="right"/>
              <w:rPr>
                <w:rFonts w:ascii="Arial" w:hAnsi="Arial"/>
                <w:b/>
                <w:sz w:val="20"/>
                <w:lang w:val="pl-PL"/>
              </w:rPr>
            </w:pPr>
            <w:r w:rsidRPr="00765C97">
              <w:rPr>
                <w:rFonts w:ascii="Arial" w:hAnsi="Arial"/>
                <w:b/>
                <w:sz w:val="20"/>
                <w:lang w:val="pl-PL"/>
              </w:rPr>
              <w:t>20</w:t>
            </w:r>
            <w:r w:rsidR="00372F12" w:rsidRPr="00765C97">
              <w:rPr>
                <w:rFonts w:ascii="Arial" w:hAnsi="Arial"/>
                <w:b/>
                <w:sz w:val="20"/>
                <w:lang w:val="pl-PL"/>
              </w:rPr>
              <w:t>1</w:t>
            </w:r>
            <w:r w:rsidR="007A03FC" w:rsidRPr="00765C97">
              <w:rPr>
                <w:rFonts w:ascii="Arial" w:hAnsi="Arial"/>
                <w:b/>
                <w:sz w:val="20"/>
                <w:lang w:val="pl-PL"/>
              </w:rPr>
              <w:t>1</w:t>
            </w:r>
            <w:r w:rsidRPr="00765C97">
              <w:rPr>
                <w:rFonts w:ascii="Arial" w:hAnsi="Arial"/>
                <w:b/>
                <w:sz w:val="20"/>
                <w:lang w:val="pl-PL"/>
              </w:rPr>
              <w:t xml:space="preserve"> r.</w:t>
            </w:r>
          </w:p>
        </w:tc>
      </w:tr>
      <w:tr w:rsidR="007A03FC" w:rsidRPr="00765C97" w:rsidTr="00C16AA7">
        <w:trPr>
          <w:trHeight w:val="255"/>
        </w:trPr>
        <w:tc>
          <w:tcPr>
            <w:tcW w:w="5103" w:type="dxa"/>
            <w:tcBorders>
              <w:top w:val="nil"/>
              <w:left w:val="nil"/>
              <w:bottom w:val="nil"/>
              <w:right w:val="nil"/>
            </w:tcBorders>
            <w:vAlign w:val="center"/>
          </w:tcPr>
          <w:p w:rsidR="007A03FC" w:rsidRPr="00765C97" w:rsidRDefault="007A03FC">
            <w:pPr>
              <w:rPr>
                <w:rFonts w:ascii="Arial" w:hAnsi="Arial"/>
                <w:sz w:val="20"/>
                <w:lang w:val="pl-PL"/>
              </w:rPr>
            </w:pPr>
            <w:r w:rsidRPr="00765C97">
              <w:rPr>
                <w:rFonts w:ascii="Arial" w:hAnsi="Arial"/>
                <w:sz w:val="20"/>
                <w:lang w:val="pl-PL"/>
              </w:rPr>
              <w:t>Długoterminowe</w:t>
            </w:r>
          </w:p>
        </w:tc>
        <w:tc>
          <w:tcPr>
            <w:tcW w:w="1710" w:type="dxa"/>
            <w:tcBorders>
              <w:top w:val="nil"/>
              <w:left w:val="nil"/>
              <w:right w:val="nil"/>
            </w:tcBorders>
            <w:vAlign w:val="center"/>
          </w:tcPr>
          <w:p w:rsidR="007A03FC" w:rsidRPr="00765C97" w:rsidRDefault="003B6313">
            <w:pPr>
              <w:ind w:right="130"/>
              <w:jc w:val="right"/>
              <w:rPr>
                <w:rFonts w:ascii="Arial" w:hAnsi="Arial"/>
                <w:sz w:val="20"/>
                <w:lang w:val="pl-PL"/>
              </w:rPr>
            </w:pPr>
            <w:r w:rsidRPr="00765C97">
              <w:rPr>
                <w:rFonts w:ascii="Arial" w:hAnsi="Arial"/>
                <w:sz w:val="20"/>
                <w:lang w:val="pl-PL"/>
              </w:rPr>
              <w:t>-</w:t>
            </w:r>
          </w:p>
        </w:tc>
        <w:tc>
          <w:tcPr>
            <w:tcW w:w="1710" w:type="dxa"/>
            <w:tcBorders>
              <w:top w:val="nil"/>
              <w:left w:val="nil"/>
              <w:right w:val="nil"/>
            </w:tcBorders>
            <w:vAlign w:val="center"/>
          </w:tcPr>
          <w:p w:rsidR="007A03FC" w:rsidRPr="00765C97" w:rsidRDefault="007A03FC" w:rsidP="007A03FC">
            <w:pPr>
              <w:ind w:right="130"/>
              <w:jc w:val="right"/>
              <w:rPr>
                <w:rFonts w:ascii="Arial" w:hAnsi="Arial"/>
                <w:sz w:val="20"/>
                <w:lang w:val="pl-PL"/>
              </w:rPr>
            </w:pPr>
            <w:r w:rsidRPr="00765C97">
              <w:rPr>
                <w:rFonts w:ascii="Arial" w:hAnsi="Arial"/>
                <w:sz w:val="20"/>
                <w:lang w:val="pl-PL"/>
              </w:rPr>
              <w:t>2</w:t>
            </w:r>
          </w:p>
        </w:tc>
      </w:tr>
      <w:tr w:rsidR="007A03FC" w:rsidRPr="00765C97" w:rsidTr="00C16AA7">
        <w:trPr>
          <w:trHeight w:val="255"/>
        </w:trPr>
        <w:tc>
          <w:tcPr>
            <w:tcW w:w="5103" w:type="dxa"/>
            <w:tcBorders>
              <w:top w:val="nil"/>
              <w:left w:val="nil"/>
              <w:bottom w:val="nil"/>
              <w:right w:val="nil"/>
            </w:tcBorders>
            <w:vAlign w:val="center"/>
          </w:tcPr>
          <w:p w:rsidR="007A03FC" w:rsidRPr="00765C97" w:rsidRDefault="007A03FC">
            <w:pPr>
              <w:rPr>
                <w:rFonts w:ascii="Arial" w:hAnsi="Arial"/>
                <w:sz w:val="20"/>
                <w:lang w:val="pl-PL"/>
              </w:rPr>
            </w:pPr>
            <w:r w:rsidRPr="00765C97">
              <w:rPr>
                <w:rFonts w:ascii="Arial" w:hAnsi="Arial"/>
                <w:sz w:val="20"/>
                <w:lang w:val="pl-PL"/>
              </w:rPr>
              <w:t>Krótkoterminowe</w:t>
            </w:r>
          </w:p>
        </w:tc>
        <w:tc>
          <w:tcPr>
            <w:tcW w:w="1710" w:type="dxa"/>
            <w:tcBorders>
              <w:top w:val="nil"/>
              <w:left w:val="nil"/>
              <w:right w:val="nil"/>
            </w:tcBorders>
            <w:vAlign w:val="center"/>
          </w:tcPr>
          <w:p w:rsidR="007A03FC" w:rsidRPr="00765C97" w:rsidRDefault="003B6313" w:rsidP="0092621E">
            <w:pPr>
              <w:ind w:right="130"/>
              <w:jc w:val="right"/>
              <w:rPr>
                <w:rFonts w:ascii="Arial" w:hAnsi="Arial"/>
                <w:sz w:val="20"/>
                <w:lang w:val="pl-PL"/>
              </w:rPr>
            </w:pPr>
            <w:r w:rsidRPr="00765C97">
              <w:rPr>
                <w:rFonts w:ascii="Arial" w:hAnsi="Arial"/>
                <w:sz w:val="20"/>
                <w:lang w:val="pl-PL"/>
              </w:rPr>
              <w:t>92 145</w:t>
            </w:r>
          </w:p>
        </w:tc>
        <w:tc>
          <w:tcPr>
            <w:tcW w:w="1710" w:type="dxa"/>
            <w:tcBorders>
              <w:top w:val="nil"/>
              <w:left w:val="nil"/>
              <w:right w:val="nil"/>
            </w:tcBorders>
            <w:vAlign w:val="center"/>
          </w:tcPr>
          <w:p w:rsidR="007A03FC" w:rsidRPr="00765C97" w:rsidRDefault="007A03FC" w:rsidP="007A03FC">
            <w:pPr>
              <w:ind w:right="130"/>
              <w:jc w:val="right"/>
              <w:rPr>
                <w:rFonts w:ascii="Arial" w:hAnsi="Arial"/>
                <w:sz w:val="20"/>
                <w:lang w:val="pl-PL"/>
              </w:rPr>
            </w:pPr>
            <w:r w:rsidRPr="00765C97">
              <w:rPr>
                <w:rFonts w:ascii="Arial" w:hAnsi="Arial"/>
                <w:sz w:val="20"/>
                <w:lang w:val="pl-PL"/>
              </w:rPr>
              <w:t>87 388</w:t>
            </w:r>
          </w:p>
        </w:tc>
      </w:tr>
    </w:tbl>
    <w:p w:rsidR="00B24DA9" w:rsidRPr="00765C97" w:rsidRDefault="00B24DA9" w:rsidP="00135A9A">
      <w:pPr>
        <w:pStyle w:val="Nagwek3"/>
        <w:numPr>
          <w:ilvl w:val="1"/>
          <w:numId w:val="22"/>
        </w:numPr>
        <w:spacing w:after="240"/>
        <w:ind w:left="709" w:hanging="567"/>
        <w:rPr>
          <w:sz w:val="20"/>
          <w:lang w:val="pl-PL"/>
        </w:rPr>
      </w:pPr>
      <w:bookmarkStart w:id="76" w:name="_Toc353973233"/>
      <w:r w:rsidRPr="00765C97">
        <w:rPr>
          <w:sz w:val="20"/>
          <w:lang w:val="pl-PL"/>
        </w:rPr>
        <w:t>Przychody ze sprzedaży</w:t>
      </w:r>
      <w:bookmarkEnd w:id="76"/>
    </w:p>
    <w:tbl>
      <w:tblPr>
        <w:tblW w:w="8523" w:type="dxa"/>
        <w:tblLayout w:type="fixed"/>
        <w:tblCellMar>
          <w:left w:w="0" w:type="dxa"/>
          <w:right w:w="0" w:type="dxa"/>
        </w:tblCellMar>
        <w:tblLook w:val="0000"/>
      </w:tblPr>
      <w:tblGrid>
        <w:gridCol w:w="5103"/>
        <w:gridCol w:w="1710"/>
        <w:gridCol w:w="1710"/>
      </w:tblGrid>
      <w:tr w:rsidR="00B24DA9" w:rsidRPr="00765C97" w:rsidTr="00C16AA7">
        <w:trPr>
          <w:trHeight w:val="255"/>
        </w:trPr>
        <w:tc>
          <w:tcPr>
            <w:tcW w:w="5103" w:type="dxa"/>
            <w:tcBorders>
              <w:top w:val="nil"/>
              <w:left w:val="nil"/>
              <w:right w:val="nil"/>
            </w:tcBorders>
            <w:vAlign w:val="center"/>
          </w:tcPr>
          <w:p w:rsidR="00B24DA9" w:rsidRPr="00765C97" w:rsidRDefault="00B24DA9">
            <w:pPr>
              <w:rPr>
                <w:rFonts w:ascii="Arial" w:hAnsi="Arial"/>
                <w:sz w:val="20"/>
                <w:lang w:val="pl-PL"/>
              </w:rPr>
            </w:pPr>
          </w:p>
        </w:tc>
        <w:tc>
          <w:tcPr>
            <w:tcW w:w="1710" w:type="dxa"/>
            <w:tcBorders>
              <w:top w:val="nil"/>
              <w:left w:val="nil"/>
              <w:right w:val="nil"/>
            </w:tcBorders>
            <w:vAlign w:val="center"/>
          </w:tcPr>
          <w:p w:rsidR="00B24DA9" w:rsidRPr="00765C97" w:rsidRDefault="00B24DA9" w:rsidP="006924AF">
            <w:pPr>
              <w:ind w:right="181"/>
              <w:jc w:val="right"/>
              <w:rPr>
                <w:rFonts w:ascii="Arial" w:hAnsi="Arial"/>
                <w:b/>
                <w:sz w:val="20"/>
                <w:lang w:val="pl-PL"/>
              </w:rPr>
            </w:pPr>
            <w:r w:rsidRPr="00765C97">
              <w:rPr>
                <w:rFonts w:ascii="Arial" w:hAnsi="Arial"/>
                <w:b/>
                <w:sz w:val="20"/>
                <w:lang w:val="pl-PL"/>
              </w:rPr>
              <w:t>12 miesięcy</w:t>
            </w:r>
          </w:p>
          <w:p w:rsidR="00B24DA9" w:rsidRPr="00765C97" w:rsidRDefault="00B24DA9" w:rsidP="007A03FC">
            <w:pPr>
              <w:ind w:right="181"/>
              <w:jc w:val="right"/>
              <w:rPr>
                <w:rFonts w:ascii="Arial" w:hAnsi="Arial"/>
                <w:b/>
                <w:sz w:val="20"/>
                <w:lang w:val="pl-PL"/>
              </w:rPr>
            </w:pPr>
            <w:r w:rsidRPr="00765C97">
              <w:rPr>
                <w:rFonts w:ascii="Arial" w:hAnsi="Arial"/>
                <w:b/>
                <w:sz w:val="20"/>
                <w:lang w:val="pl-PL"/>
              </w:rPr>
              <w:t>20</w:t>
            </w:r>
            <w:r w:rsidR="003F70E6" w:rsidRPr="00765C97">
              <w:rPr>
                <w:rFonts w:ascii="Arial" w:hAnsi="Arial"/>
                <w:b/>
                <w:sz w:val="20"/>
                <w:lang w:val="pl-PL"/>
              </w:rPr>
              <w:t>1</w:t>
            </w:r>
            <w:r w:rsidR="007A03FC" w:rsidRPr="00765C97">
              <w:rPr>
                <w:rFonts w:ascii="Arial" w:hAnsi="Arial"/>
                <w:b/>
                <w:sz w:val="20"/>
                <w:lang w:val="pl-PL"/>
              </w:rPr>
              <w:t>2</w:t>
            </w:r>
          </w:p>
        </w:tc>
        <w:tc>
          <w:tcPr>
            <w:tcW w:w="1710" w:type="dxa"/>
            <w:tcBorders>
              <w:top w:val="nil"/>
              <w:left w:val="nil"/>
              <w:right w:val="nil"/>
            </w:tcBorders>
            <w:vAlign w:val="center"/>
          </w:tcPr>
          <w:p w:rsidR="00B24DA9" w:rsidRPr="00765C97" w:rsidRDefault="00B24DA9" w:rsidP="006924AF">
            <w:pPr>
              <w:ind w:right="181"/>
              <w:jc w:val="right"/>
              <w:rPr>
                <w:rFonts w:ascii="Arial" w:hAnsi="Arial"/>
                <w:b/>
                <w:sz w:val="20"/>
                <w:lang w:val="pl-PL"/>
              </w:rPr>
            </w:pPr>
            <w:r w:rsidRPr="00765C97">
              <w:rPr>
                <w:rFonts w:ascii="Arial" w:hAnsi="Arial"/>
                <w:b/>
                <w:sz w:val="20"/>
                <w:lang w:val="pl-PL"/>
              </w:rPr>
              <w:t>12 miesięcy</w:t>
            </w:r>
          </w:p>
          <w:p w:rsidR="00B24DA9" w:rsidRPr="00765C97" w:rsidRDefault="00B24DA9" w:rsidP="007A03FC">
            <w:pPr>
              <w:ind w:right="181"/>
              <w:jc w:val="right"/>
              <w:rPr>
                <w:rFonts w:ascii="Arial" w:hAnsi="Arial"/>
                <w:b/>
                <w:sz w:val="20"/>
                <w:lang w:val="pl-PL"/>
              </w:rPr>
            </w:pPr>
            <w:r w:rsidRPr="00765C97">
              <w:rPr>
                <w:rFonts w:ascii="Arial" w:hAnsi="Arial"/>
                <w:b/>
                <w:sz w:val="20"/>
                <w:lang w:val="pl-PL"/>
              </w:rPr>
              <w:t>20</w:t>
            </w:r>
            <w:r w:rsidR="00372F12" w:rsidRPr="00765C97">
              <w:rPr>
                <w:rFonts w:ascii="Arial" w:hAnsi="Arial"/>
                <w:b/>
                <w:sz w:val="20"/>
                <w:lang w:val="pl-PL"/>
              </w:rPr>
              <w:t>1</w:t>
            </w:r>
            <w:r w:rsidR="007A03FC" w:rsidRPr="00765C97">
              <w:rPr>
                <w:rFonts w:ascii="Arial" w:hAnsi="Arial"/>
                <w:b/>
                <w:sz w:val="20"/>
                <w:lang w:val="pl-PL"/>
              </w:rPr>
              <w:t>1</w:t>
            </w:r>
          </w:p>
        </w:tc>
      </w:tr>
      <w:tr w:rsidR="00B24DA9" w:rsidRPr="00F346A4" w:rsidTr="00C16AA7">
        <w:trPr>
          <w:trHeight w:val="255"/>
        </w:trPr>
        <w:tc>
          <w:tcPr>
            <w:tcW w:w="5103" w:type="dxa"/>
            <w:tcBorders>
              <w:top w:val="nil"/>
              <w:left w:val="nil"/>
              <w:right w:val="nil"/>
            </w:tcBorders>
            <w:vAlign w:val="center"/>
          </w:tcPr>
          <w:p w:rsidR="00B24DA9" w:rsidRPr="00765C97" w:rsidRDefault="00B24DA9">
            <w:pPr>
              <w:rPr>
                <w:rFonts w:ascii="Arial" w:hAnsi="Arial"/>
                <w:b/>
                <w:sz w:val="20"/>
                <w:lang w:val="pl-PL"/>
              </w:rPr>
            </w:pPr>
            <w:r w:rsidRPr="00765C97">
              <w:rPr>
                <w:rFonts w:ascii="Arial" w:hAnsi="Arial"/>
                <w:b/>
                <w:sz w:val="20"/>
                <w:lang w:val="pl-PL"/>
              </w:rPr>
              <w:t>Przychody ze sprzedaży produktów i usług</w:t>
            </w:r>
          </w:p>
        </w:tc>
        <w:tc>
          <w:tcPr>
            <w:tcW w:w="1710" w:type="dxa"/>
            <w:tcBorders>
              <w:top w:val="nil"/>
              <w:left w:val="nil"/>
              <w:right w:val="nil"/>
            </w:tcBorders>
            <w:vAlign w:val="center"/>
          </w:tcPr>
          <w:p w:rsidR="00B24DA9" w:rsidRPr="00765C97" w:rsidRDefault="00B24DA9" w:rsidP="006924AF">
            <w:pPr>
              <w:ind w:right="181"/>
              <w:jc w:val="right"/>
              <w:rPr>
                <w:rFonts w:ascii="Arial" w:hAnsi="Arial"/>
                <w:b/>
                <w:sz w:val="20"/>
                <w:lang w:val="pl-PL"/>
              </w:rPr>
            </w:pPr>
          </w:p>
        </w:tc>
        <w:tc>
          <w:tcPr>
            <w:tcW w:w="1710" w:type="dxa"/>
            <w:tcBorders>
              <w:top w:val="nil"/>
              <w:left w:val="nil"/>
              <w:right w:val="nil"/>
            </w:tcBorders>
            <w:vAlign w:val="center"/>
          </w:tcPr>
          <w:p w:rsidR="00B24DA9" w:rsidRPr="00765C97" w:rsidRDefault="00B24DA9" w:rsidP="006924AF">
            <w:pPr>
              <w:ind w:right="181"/>
              <w:jc w:val="right"/>
              <w:rPr>
                <w:rFonts w:ascii="Arial" w:hAnsi="Arial"/>
                <w:b/>
                <w:sz w:val="20"/>
                <w:lang w:val="pl-PL"/>
              </w:rPr>
            </w:pPr>
          </w:p>
        </w:tc>
      </w:tr>
      <w:tr w:rsidR="007A03FC" w:rsidRPr="00765C97" w:rsidTr="00C16AA7">
        <w:trPr>
          <w:trHeight w:val="255"/>
        </w:trPr>
        <w:tc>
          <w:tcPr>
            <w:tcW w:w="5103" w:type="dxa"/>
            <w:tcBorders>
              <w:left w:val="nil"/>
              <w:right w:val="nil"/>
            </w:tcBorders>
            <w:vAlign w:val="center"/>
          </w:tcPr>
          <w:p w:rsidR="007A03FC" w:rsidRPr="00765C97" w:rsidRDefault="007A03FC" w:rsidP="006924AF">
            <w:pPr>
              <w:rPr>
                <w:rFonts w:ascii="Arial" w:hAnsi="Arial"/>
                <w:spacing w:val="-1"/>
                <w:sz w:val="20"/>
                <w:lang w:val="pl-PL"/>
              </w:rPr>
            </w:pPr>
            <w:r w:rsidRPr="00765C97">
              <w:rPr>
                <w:rFonts w:ascii="Arial" w:hAnsi="Arial"/>
                <w:spacing w:val="-1"/>
                <w:sz w:val="20"/>
                <w:lang w:val="pl-PL"/>
              </w:rPr>
              <w:t>Przychody ze sprzedaży usług informatycznych</w:t>
            </w:r>
          </w:p>
        </w:tc>
        <w:tc>
          <w:tcPr>
            <w:tcW w:w="1710" w:type="dxa"/>
            <w:tcBorders>
              <w:left w:val="nil"/>
              <w:right w:val="nil"/>
            </w:tcBorders>
            <w:vAlign w:val="center"/>
          </w:tcPr>
          <w:p w:rsidR="007A03FC" w:rsidRPr="00765C97" w:rsidRDefault="00603ABE" w:rsidP="006924AF">
            <w:pPr>
              <w:ind w:right="181"/>
              <w:jc w:val="right"/>
              <w:rPr>
                <w:rFonts w:ascii="Arial" w:hAnsi="Arial" w:cs="Arial"/>
                <w:sz w:val="20"/>
                <w:szCs w:val="20"/>
                <w:lang w:val="pl-PL"/>
              </w:rPr>
            </w:pPr>
            <w:r w:rsidRPr="00765C97">
              <w:rPr>
                <w:rFonts w:ascii="Arial" w:hAnsi="Arial" w:cs="Arial"/>
                <w:sz w:val="20"/>
                <w:szCs w:val="20"/>
                <w:lang w:val="pl-PL"/>
              </w:rPr>
              <w:t>567 807</w:t>
            </w:r>
          </w:p>
        </w:tc>
        <w:tc>
          <w:tcPr>
            <w:tcW w:w="1710" w:type="dxa"/>
            <w:tcBorders>
              <w:left w:val="nil"/>
              <w:right w:val="nil"/>
            </w:tcBorders>
            <w:vAlign w:val="center"/>
          </w:tcPr>
          <w:p w:rsidR="007A03FC" w:rsidRPr="00765C97" w:rsidRDefault="007A03FC" w:rsidP="007A03FC">
            <w:pPr>
              <w:ind w:right="181"/>
              <w:jc w:val="right"/>
              <w:rPr>
                <w:rFonts w:ascii="Arial" w:hAnsi="Arial" w:cs="Arial"/>
                <w:sz w:val="20"/>
                <w:szCs w:val="20"/>
              </w:rPr>
            </w:pPr>
            <w:r w:rsidRPr="00765C97">
              <w:rPr>
                <w:rFonts w:ascii="Arial" w:hAnsi="Arial" w:cs="Arial"/>
                <w:sz w:val="20"/>
                <w:szCs w:val="20"/>
              </w:rPr>
              <w:t>544 356</w:t>
            </w:r>
          </w:p>
        </w:tc>
      </w:tr>
      <w:tr w:rsidR="007A03FC" w:rsidRPr="00765C97" w:rsidTr="00C16AA7">
        <w:trPr>
          <w:trHeight w:val="255"/>
        </w:trPr>
        <w:tc>
          <w:tcPr>
            <w:tcW w:w="5103" w:type="dxa"/>
            <w:tcBorders>
              <w:left w:val="nil"/>
              <w:right w:val="nil"/>
            </w:tcBorders>
            <w:vAlign w:val="center"/>
          </w:tcPr>
          <w:p w:rsidR="007A03FC" w:rsidRPr="00765C97" w:rsidRDefault="007A03FC" w:rsidP="006924AF">
            <w:pPr>
              <w:rPr>
                <w:rFonts w:ascii="Arial" w:hAnsi="Arial"/>
                <w:sz w:val="20"/>
                <w:lang w:val="pl-PL"/>
              </w:rPr>
            </w:pPr>
            <w:r w:rsidRPr="00765C97">
              <w:rPr>
                <w:rFonts w:ascii="Arial" w:hAnsi="Arial"/>
                <w:sz w:val="20"/>
                <w:lang w:val="pl-PL"/>
              </w:rPr>
              <w:t>Przychody ze sprzedaży licencji i oprogramowania własnego</w:t>
            </w:r>
          </w:p>
        </w:tc>
        <w:tc>
          <w:tcPr>
            <w:tcW w:w="1710" w:type="dxa"/>
            <w:tcBorders>
              <w:left w:val="nil"/>
              <w:right w:val="nil"/>
            </w:tcBorders>
            <w:vAlign w:val="center"/>
          </w:tcPr>
          <w:p w:rsidR="007A03FC" w:rsidRPr="00765C97" w:rsidRDefault="00603ABE" w:rsidP="006924AF">
            <w:pPr>
              <w:ind w:right="181"/>
              <w:jc w:val="right"/>
              <w:rPr>
                <w:rFonts w:ascii="Arial" w:hAnsi="Arial" w:cs="Arial"/>
                <w:sz w:val="20"/>
                <w:szCs w:val="20"/>
                <w:lang w:val="pl-PL"/>
              </w:rPr>
            </w:pPr>
            <w:r w:rsidRPr="00765C97">
              <w:rPr>
                <w:rFonts w:ascii="Arial" w:hAnsi="Arial" w:cs="Arial"/>
                <w:sz w:val="20"/>
                <w:szCs w:val="20"/>
                <w:lang w:val="pl-PL"/>
              </w:rPr>
              <w:t>105 723</w:t>
            </w:r>
          </w:p>
        </w:tc>
        <w:tc>
          <w:tcPr>
            <w:tcW w:w="1710" w:type="dxa"/>
            <w:tcBorders>
              <w:left w:val="nil"/>
              <w:right w:val="nil"/>
            </w:tcBorders>
            <w:vAlign w:val="center"/>
          </w:tcPr>
          <w:p w:rsidR="007A03FC" w:rsidRPr="00765C97" w:rsidRDefault="007A03FC" w:rsidP="007A03FC">
            <w:pPr>
              <w:ind w:right="181"/>
              <w:jc w:val="right"/>
              <w:rPr>
                <w:rFonts w:ascii="Arial" w:hAnsi="Arial" w:cs="Arial"/>
                <w:sz w:val="20"/>
                <w:szCs w:val="20"/>
              </w:rPr>
            </w:pPr>
            <w:r w:rsidRPr="00765C97">
              <w:rPr>
                <w:rFonts w:ascii="Arial" w:hAnsi="Arial" w:cs="Arial"/>
                <w:sz w:val="20"/>
                <w:szCs w:val="20"/>
              </w:rPr>
              <w:t>110 178</w:t>
            </w:r>
          </w:p>
        </w:tc>
      </w:tr>
      <w:tr w:rsidR="007A03FC" w:rsidRPr="00765C97" w:rsidTr="00C16AA7">
        <w:trPr>
          <w:trHeight w:val="255"/>
        </w:trPr>
        <w:tc>
          <w:tcPr>
            <w:tcW w:w="5103" w:type="dxa"/>
            <w:tcBorders>
              <w:left w:val="nil"/>
              <w:right w:val="nil"/>
            </w:tcBorders>
            <w:vAlign w:val="center"/>
          </w:tcPr>
          <w:p w:rsidR="007A03FC" w:rsidRPr="00765C97" w:rsidRDefault="007A03FC" w:rsidP="006924AF">
            <w:pPr>
              <w:rPr>
                <w:rFonts w:ascii="Arial" w:hAnsi="Arial"/>
                <w:sz w:val="20"/>
                <w:lang w:val="pl-PL"/>
              </w:rPr>
            </w:pPr>
            <w:r w:rsidRPr="00765C97">
              <w:rPr>
                <w:rFonts w:ascii="Arial" w:hAnsi="Arial"/>
                <w:sz w:val="20"/>
                <w:lang w:val="pl-PL"/>
              </w:rPr>
              <w:t>Przychody z pozostałej sprzedaży</w:t>
            </w:r>
          </w:p>
        </w:tc>
        <w:tc>
          <w:tcPr>
            <w:tcW w:w="1710" w:type="dxa"/>
            <w:tcBorders>
              <w:left w:val="nil"/>
              <w:right w:val="nil"/>
            </w:tcBorders>
            <w:vAlign w:val="center"/>
          </w:tcPr>
          <w:p w:rsidR="007A03FC" w:rsidRPr="00765C97" w:rsidRDefault="006B25C8" w:rsidP="006924AF">
            <w:pPr>
              <w:ind w:right="181"/>
              <w:jc w:val="right"/>
              <w:rPr>
                <w:rFonts w:ascii="Arial" w:hAnsi="Arial" w:cs="Arial"/>
                <w:sz w:val="20"/>
                <w:szCs w:val="20"/>
              </w:rPr>
            </w:pPr>
            <w:r w:rsidRPr="00765C97">
              <w:rPr>
                <w:rFonts w:ascii="Arial" w:hAnsi="Arial" w:cs="Arial"/>
                <w:sz w:val="20"/>
                <w:szCs w:val="20"/>
              </w:rPr>
              <w:t>922</w:t>
            </w:r>
          </w:p>
        </w:tc>
        <w:tc>
          <w:tcPr>
            <w:tcW w:w="1710" w:type="dxa"/>
            <w:tcBorders>
              <w:left w:val="nil"/>
              <w:right w:val="nil"/>
            </w:tcBorders>
            <w:vAlign w:val="center"/>
          </w:tcPr>
          <w:p w:rsidR="007A03FC" w:rsidRPr="00765C97" w:rsidRDefault="007A03FC" w:rsidP="007A03FC">
            <w:pPr>
              <w:ind w:right="181"/>
              <w:jc w:val="right"/>
              <w:rPr>
                <w:rFonts w:ascii="Arial" w:hAnsi="Arial" w:cs="Arial"/>
                <w:sz w:val="20"/>
                <w:szCs w:val="20"/>
              </w:rPr>
            </w:pPr>
            <w:r w:rsidRPr="00765C97">
              <w:rPr>
                <w:rFonts w:ascii="Arial" w:hAnsi="Arial" w:cs="Arial"/>
                <w:sz w:val="20"/>
                <w:szCs w:val="20"/>
              </w:rPr>
              <w:t>5 571</w:t>
            </w:r>
          </w:p>
        </w:tc>
      </w:tr>
      <w:tr w:rsidR="007A03FC" w:rsidRPr="00765C97" w:rsidTr="00C16AA7">
        <w:trPr>
          <w:trHeight w:val="255"/>
        </w:trPr>
        <w:tc>
          <w:tcPr>
            <w:tcW w:w="5103" w:type="dxa"/>
            <w:tcBorders>
              <w:left w:val="nil"/>
              <w:right w:val="nil"/>
            </w:tcBorders>
            <w:vAlign w:val="center"/>
          </w:tcPr>
          <w:p w:rsidR="007A03FC" w:rsidRPr="00765C97" w:rsidRDefault="007A03FC" w:rsidP="006924AF">
            <w:pPr>
              <w:rPr>
                <w:rFonts w:ascii="Arial" w:hAnsi="Arial"/>
                <w:b/>
                <w:sz w:val="20"/>
                <w:lang w:val="pl-PL"/>
              </w:rPr>
            </w:pPr>
            <w:r w:rsidRPr="00765C97">
              <w:rPr>
                <w:rFonts w:ascii="Arial" w:hAnsi="Arial"/>
                <w:b/>
                <w:sz w:val="20"/>
                <w:lang w:val="pl-PL"/>
              </w:rPr>
              <w:t>Razem</w:t>
            </w:r>
          </w:p>
        </w:tc>
        <w:tc>
          <w:tcPr>
            <w:tcW w:w="1710" w:type="dxa"/>
            <w:tcBorders>
              <w:top w:val="single" w:sz="4" w:space="0" w:color="auto"/>
              <w:left w:val="nil"/>
              <w:bottom w:val="single" w:sz="2" w:space="0" w:color="auto"/>
              <w:right w:val="nil"/>
            </w:tcBorders>
            <w:vAlign w:val="center"/>
          </w:tcPr>
          <w:p w:rsidR="007A03FC" w:rsidRPr="00765C97" w:rsidRDefault="006B25C8" w:rsidP="006924AF">
            <w:pPr>
              <w:ind w:right="181"/>
              <w:jc w:val="right"/>
              <w:rPr>
                <w:rFonts w:ascii="Arial" w:hAnsi="Arial" w:cs="Arial"/>
                <w:b/>
                <w:bCs/>
                <w:sz w:val="20"/>
                <w:szCs w:val="20"/>
              </w:rPr>
            </w:pPr>
            <w:r w:rsidRPr="00765C97">
              <w:rPr>
                <w:rFonts w:ascii="Arial" w:hAnsi="Arial" w:cs="Arial"/>
                <w:b/>
                <w:bCs/>
                <w:sz w:val="20"/>
                <w:szCs w:val="20"/>
              </w:rPr>
              <w:t>674 452</w:t>
            </w:r>
          </w:p>
        </w:tc>
        <w:tc>
          <w:tcPr>
            <w:tcW w:w="1710" w:type="dxa"/>
            <w:tcBorders>
              <w:top w:val="single" w:sz="4" w:space="0" w:color="auto"/>
              <w:left w:val="nil"/>
              <w:bottom w:val="single" w:sz="2" w:space="0" w:color="auto"/>
              <w:right w:val="nil"/>
            </w:tcBorders>
            <w:vAlign w:val="center"/>
          </w:tcPr>
          <w:p w:rsidR="007A03FC" w:rsidRPr="00765C97" w:rsidRDefault="007A03FC" w:rsidP="007A03FC">
            <w:pPr>
              <w:ind w:right="181"/>
              <w:jc w:val="right"/>
              <w:rPr>
                <w:rFonts w:ascii="Arial" w:hAnsi="Arial" w:cs="Arial"/>
                <w:b/>
                <w:bCs/>
                <w:sz w:val="20"/>
                <w:szCs w:val="20"/>
              </w:rPr>
            </w:pPr>
            <w:r w:rsidRPr="00765C97">
              <w:rPr>
                <w:rFonts w:ascii="Arial" w:hAnsi="Arial" w:cs="Arial"/>
                <w:b/>
                <w:bCs/>
                <w:sz w:val="20"/>
                <w:szCs w:val="20"/>
              </w:rPr>
              <w:t>660 105</w:t>
            </w:r>
          </w:p>
        </w:tc>
      </w:tr>
      <w:tr w:rsidR="007A03FC" w:rsidRPr="00F346A4" w:rsidTr="00C16AA7">
        <w:trPr>
          <w:trHeight w:val="255"/>
        </w:trPr>
        <w:tc>
          <w:tcPr>
            <w:tcW w:w="5103" w:type="dxa"/>
            <w:tcBorders>
              <w:left w:val="nil"/>
              <w:right w:val="nil"/>
            </w:tcBorders>
            <w:vAlign w:val="center"/>
          </w:tcPr>
          <w:p w:rsidR="007A03FC" w:rsidRPr="00765C97" w:rsidRDefault="007A03FC" w:rsidP="006924AF">
            <w:pPr>
              <w:rPr>
                <w:rFonts w:ascii="Arial" w:hAnsi="Arial"/>
                <w:b/>
                <w:sz w:val="20"/>
                <w:lang w:val="pl-PL"/>
              </w:rPr>
            </w:pPr>
            <w:r w:rsidRPr="00765C97">
              <w:rPr>
                <w:rFonts w:ascii="Arial" w:hAnsi="Arial"/>
                <w:b/>
                <w:sz w:val="20"/>
                <w:lang w:val="pl-PL"/>
              </w:rPr>
              <w:t>Przychody ze sprzedaży towarów i materiałów</w:t>
            </w:r>
          </w:p>
        </w:tc>
        <w:tc>
          <w:tcPr>
            <w:tcW w:w="1710" w:type="dxa"/>
            <w:tcBorders>
              <w:top w:val="single" w:sz="2" w:space="0" w:color="auto"/>
              <w:left w:val="nil"/>
              <w:right w:val="nil"/>
            </w:tcBorders>
            <w:vAlign w:val="center"/>
          </w:tcPr>
          <w:p w:rsidR="007A03FC" w:rsidRPr="00765C97" w:rsidRDefault="007A03FC" w:rsidP="006924AF">
            <w:pPr>
              <w:ind w:right="181"/>
              <w:jc w:val="right"/>
              <w:rPr>
                <w:rFonts w:ascii="Arial" w:hAnsi="Arial" w:cs="Arial"/>
                <w:b/>
                <w:bCs/>
                <w:sz w:val="20"/>
                <w:szCs w:val="20"/>
                <w:lang w:val="pl-PL"/>
              </w:rPr>
            </w:pPr>
          </w:p>
        </w:tc>
        <w:tc>
          <w:tcPr>
            <w:tcW w:w="1710" w:type="dxa"/>
            <w:tcBorders>
              <w:top w:val="single" w:sz="2" w:space="0" w:color="auto"/>
              <w:left w:val="nil"/>
              <w:right w:val="nil"/>
            </w:tcBorders>
            <w:vAlign w:val="center"/>
          </w:tcPr>
          <w:p w:rsidR="007A03FC" w:rsidRPr="00765C97" w:rsidRDefault="007A03FC" w:rsidP="007A03FC">
            <w:pPr>
              <w:ind w:right="181"/>
              <w:jc w:val="right"/>
              <w:rPr>
                <w:rFonts w:ascii="Arial" w:hAnsi="Arial" w:cs="Arial"/>
                <w:b/>
                <w:bCs/>
                <w:sz w:val="20"/>
                <w:szCs w:val="20"/>
                <w:lang w:val="pl-PL"/>
              </w:rPr>
            </w:pPr>
            <w:r w:rsidRPr="00765C97">
              <w:rPr>
                <w:rFonts w:ascii="Arial" w:hAnsi="Arial" w:cs="Arial"/>
                <w:b/>
                <w:bCs/>
                <w:sz w:val="20"/>
                <w:szCs w:val="20"/>
                <w:lang w:val="pl-PL"/>
              </w:rPr>
              <w:t> </w:t>
            </w:r>
          </w:p>
        </w:tc>
      </w:tr>
      <w:tr w:rsidR="007A03FC" w:rsidRPr="00765C97" w:rsidTr="00C16AA7">
        <w:trPr>
          <w:trHeight w:val="255"/>
        </w:trPr>
        <w:tc>
          <w:tcPr>
            <w:tcW w:w="5103" w:type="dxa"/>
            <w:tcBorders>
              <w:left w:val="nil"/>
              <w:right w:val="nil"/>
            </w:tcBorders>
            <w:vAlign w:val="center"/>
          </w:tcPr>
          <w:p w:rsidR="007A03FC" w:rsidRPr="00765C97" w:rsidRDefault="007A03FC" w:rsidP="006924AF">
            <w:pPr>
              <w:rPr>
                <w:rFonts w:ascii="Arial" w:hAnsi="Arial"/>
                <w:spacing w:val="-1"/>
                <w:sz w:val="20"/>
                <w:lang w:val="pl-PL"/>
              </w:rPr>
            </w:pPr>
            <w:r w:rsidRPr="00765C97">
              <w:rPr>
                <w:rFonts w:ascii="Arial" w:hAnsi="Arial"/>
                <w:spacing w:val="-1"/>
                <w:sz w:val="20"/>
                <w:lang w:val="pl-PL"/>
              </w:rPr>
              <w:t>Przychody ze sprzedaży sprzętu komputerowego</w:t>
            </w:r>
          </w:p>
        </w:tc>
        <w:tc>
          <w:tcPr>
            <w:tcW w:w="1710" w:type="dxa"/>
            <w:tcBorders>
              <w:left w:val="nil"/>
              <w:right w:val="nil"/>
            </w:tcBorders>
            <w:vAlign w:val="center"/>
          </w:tcPr>
          <w:p w:rsidR="007A03FC" w:rsidRPr="00765C97" w:rsidRDefault="00603ABE" w:rsidP="006924AF">
            <w:pPr>
              <w:ind w:right="181"/>
              <w:jc w:val="right"/>
              <w:rPr>
                <w:rFonts w:ascii="Arial" w:hAnsi="Arial" w:cs="Arial"/>
                <w:sz w:val="20"/>
                <w:szCs w:val="20"/>
                <w:lang w:val="pl-PL"/>
              </w:rPr>
            </w:pPr>
            <w:r w:rsidRPr="00765C97">
              <w:rPr>
                <w:rFonts w:ascii="Arial" w:hAnsi="Arial" w:cs="Arial"/>
                <w:sz w:val="20"/>
                <w:szCs w:val="20"/>
                <w:lang w:val="pl-PL"/>
              </w:rPr>
              <w:t>41 287</w:t>
            </w:r>
          </w:p>
        </w:tc>
        <w:tc>
          <w:tcPr>
            <w:tcW w:w="1710" w:type="dxa"/>
            <w:tcBorders>
              <w:left w:val="nil"/>
              <w:right w:val="nil"/>
            </w:tcBorders>
            <w:vAlign w:val="center"/>
          </w:tcPr>
          <w:p w:rsidR="007A03FC" w:rsidRPr="00765C97" w:rsidRDefault="007A03FC" w:rsidP="007A03FC">
            <w:pPr>
              <w:ind w:right="181"/>
              <w:jc w:val="right"/>
              <w:rPr>
                <w:rFonts w:ascii="Arial" w:hAnsi="Arial" w:cs="Arial"/>
                <w:sz w:val="20"/>
                <w:szCs w:val="20"/>
              </w:rPr>
            </w:pPr>
            <w:r w:rsidRPr="00765C97">
              <w:rPr>
                <w:rFonts w:ascii="Arial" w:hAnsi="Arial" w:cs="Arial"/>
                <w:sz w:val="20"/>
                <w:szCs w:val="20"/>
              </w:rPr>
              <w:t>41 678</w:t>
            </w:r>
          </w:p>
        </w:tc>
      </w:tr>
      <w:tr w:rsidR="007A03FC" w:rsidRPr="00765C97" w:rsidTr="00C16AA7">
        <w:trPr>
          <w:trHeight w:val="255"/>
        </w:trPr>
        <w:tc>
          <w:tcPr>
            <w:tcW w:w="5103" w:type="dxa"/>
            <w:tcBorders>
              <w:left w:val="nil"/>
              <w:right w:val="nil"/>
            </w:tcBorders>
            <w:vAlign w:val="center"/>
          </w:tcPr>
          <w:p w:rsidR="007A03FC" w:rsidRPr="00765C97" w:rsidRDefault="007A03FC" w:rsidP="006924AF">
            <w:pPr>
              <w:rPr>
                <w:rFonts w:ascii="Arial" w:hAnsi="Arial"/>
                <w:sz w:val="20"/>
                <w:lang w:val="pl-PL"/>
              </w:rPr>
            </w:pPr>
            <w:r w:rsidRPr="00765C97">
              <w:rPr>
                <w:rFonts w:ascii="Arial" w:hAnsi="Arial"/>
                <w:sz w:val="20"/>
                <w:lang w:val="pl-PL"/>
              </w:rPr>
              <w:t>Przychody ze sprzedaży licencji i oprogramowania obcego</w:t>
            </w:r>
          </w:p>
        </w:tc>
        <w:tc>
          <w:tcPr>
            <w:tcW w:w="1710" w:type="dxa"/>
            <w:tcBorders>
              <w:left w:val="nil"/>
              <w:right w:val="nil"/>
            </w:tcBorders>
            <w:vAlign w:val="center"/>
          </w:tcPr>
          <w:p w:rsidR="007A03FC" w:rsidRPr="00765C97" w:rsidRDefault="00603ABE" w:rsidP="006924AF">
            <w:pPr>
              <w:ind w:right="181"/>
              <w:jc w:val="right"/>
              <w:rPr>
                <w:rFonts w:ascii="Arial" w:hAnsi="Arial" w:cs="Arial"/>
                <w:sz w:val="20"/>
                <w:szCs w:val="20"/>
                <w:lang w:val="pl-PL"/>
              </w:rPr>
            </w:pPr>
            <w:r w:rsidRPr="00765C97">
              <w:rPr>
                <w:rFonts w:ascii="Arial" w:hAnsi="Arial" w:cs="Arial"/>
                <w:sz w:val="20"/>
                <w:szCs w:val="20"/>
                <w:lang w:val="pl-PL"/>
              </w:rPr>
              <w:t>135 560</w:t>
            </w:r>
          </w:p>
        </w:tc>
        <w:tc>
          <w:tcPr>
            <w:tcW w:w="1710" w:type="dxa"/>
            <w:tcBorders>
              <w:left w:val="nil"/>
              <w:right w:val="nil"/>
            </w:tcBorders>
            <w:vAlign w:val="center"/>
          </w:tcPr>
          <w:p w:rsidR="007A03FC" w:rsidRPr="00765C97" w:rsidRDefault="007A03FC" w:rsidP="007A03FC">
            <w:pPr>
              <w:ind w:right="181"/>
              <w:jc w:val="right"/>
              <w:rPr>
                <w:rFonts w:ascii="Arial" w:hAnsi="Arial" w:cs="Arial"/>
                <w:sz w:val="20"/>
                <w:szCs w:val="20"/>
              </w:rPr>
            </w:pPr>
            <w:r w:rsidRPr="00765C97">
              <w:rPr>
                <w:rFonts w:ascii="Arial" w:hAnsi="Arial" w:cs="Arial"/>
                <w:sz w:val="20"/>
                <w:szCs w:val="20"/>
              </w:rPr>
              <w:t>53 986</w:t>
            </w:r>
          </w:p>
        </w:tc>
      </w:tr>
      <w:tr w:rsidR="007A03FC" w:rsidRPr="00765C97" w:rsidTr="00C16AA7">
        <w:trPr>
          <w:trHeight w:val="255"/>
        </w:trPr>
        <w:tc>
          <w:tcPr>
            <w:tcW w:w="5103" w:type="dxa"/>
            <w:tcBorders>
              <w:left w:val="nil"/>
              <w:right w:val="nil"/>
            </w:tcBorders>
            <w:vAlign w:val="center"/>
          </w:tcPr>
          <w:p w:rsidR="007A03FC" w:rsidRPr="00765C97" w:rsidRDefault="007A03FC" w:rsidP="006924AF">
            <w:pPr>
              <w:rPr>
                <w:rFonts w:ascii="Arial" w:hAnsi="Arial"/>
                <w:sz w:val="20"/>
                <w:lang w:val="pl-PL"/>
              </w:rPr>
            </w:pPr>
            <w:r w:rsidRPr="00765C97">
              <w:rPr>
                <w:rFonts w:ascii="Arial" w:hAnsi="Arial"/>
                <w:sz w:val="20"/>
                <w:lang w:val="pl-PL"/>
              </w:rPr>
              <w:t>Przychody z pozostałej sprzedaży</w:t>
            </w:r>
          </w:p>
        </w:tc>
        <w:tc>
          <w:tcPr>
            <w:tcW w:w="1710" w:type="dxa"/>
            <w:tcBorders>
              <w:left w:val="nil"/>
              <w:bottom w:val="single" w:sz="2" w:space="0" w:color="auto"/>
              <w:right w:val="nil"/>
            </w:tcBorders>
            <w:vAlign w:val="center"/>
          </w:tcPr>
          <w:p w:rsidR="007A03FC" w:rsidRPr="00765C97" w:rsidRDefault="006B25C8" w:rsidP="006924AF">
            <w:pPr>
              <w:ind w:right="181"/>
              <w:jc w:val="right"/>
              <w:rPr>
                <w:rFonts w:ascii="Arial" w:hAnsi="Arial" w:cs="Arial"/>
                <w:sz w:val="20"/>
                <w:szCs w:val="20"/>
              </w:rPr>
            </w:pPr>
            <w:r w:rsidRPr="00765C97">
              <w:rPr>
                <w:rFonts w:ascii="Arial" w:hAnsi="Arial" w:cs="Arial"/>
                <w:sz w:val="20"/>
                <w:szCs w:val="20"/>
              </w:rPr>
              <w:t>32 577</w:t>
            </w:r>
          </w:p>
        </w:tc>
        <w:tc>
          <w:tcPr>
            <w:tcW w:w="1710" w:type="dxa"/>
            <w:tcBorders>
              <w:left w:val="nil"/>
              <w:bottom w:val="single" w:sz="2" w:space="0" w:color="auto"/>
              <w:right w:val="nil"/>
            </w:tcBorders>
            <w:vAlign w:val="center"/>
          </w:tcPr>
          <w:p w:rsidR="007A03FC" w:rsidRPr="00765C97" w:rsidRDefault="007A03FC" w:rsidP="007A03FC">
            <w:pPr>
              <w:ind w:right="181"/>
              <w:jc w:val="right"/>
              <w:rPr>
                <w:rFonts w:ascii="Arial" w:hAnsi="Arial" w:cs="Arial"/>
                <w:sz w:val="20"/>
                <w:szCs w:val="20"/>
              </w:rPr>
            </w:pPr>
            <w:r w:rsidRPr="00765C97">
              <w:rPr>
                <w:rFonts w:ascii="Arial" w:hAnsi="Arial" w:cs="Arial"/>
                <w:sz w:val="20"/>
                <w:szCs w:val="20"/>
              </w:rPr>
              <w:t>29 884</w:t>
            </w:r>
          </w:p>
        </w:tc>
      </w:tr>
      <w:tr w:rsidR="007A03FC" w:rsidRPr="00765C97" w:rsidTr="00C16AA7">
        <w:trPr>
          <w:trHeight w:val="255"/>
        </w:trPr>
        <w:tc>
          <w:tcPr>
            <w:tcW w:w="5103" w:type="dxa"/>
            <w:tcBorders>
              <w:left w:val="nil"/>
              <w:right w:val="nil"/>
            </w:tcBorders>
            <w:vAlign w:val="center"/>
          </w:tcPr>
          <w:p w:rsidR="007A03FC" w:rsidRPr="00765C97" w:rsidRDefault="007A03FC" w:rsidP="006924AF">
            <w:pPr>
              <w:rPr>
                <w:rFonts w:ascii="Arial" w:hAnsi="Arial"/>
                <w:b/>
                <w:sz w:val="20"/>
                <w:lang w:val="pl-PL"/>
              </w:rPr>
            </w:pPr>
            <w:r w:rsidRPr="00765C97">
              <w:rPr>
                <w:rFonts w:ascii="Arial" w:hAnsi="Arial"/>
                <w:b/>
                <w:sz w:val="20"/>
                <w:lang w:val="pl-PL"/>
              </w:rPr>
              <w:t>Razem</w:t>
            </w:r>
          </w:p>
        </w:tc>
        <w:tc>
          <w:tcPr>
            <w:tcW w:w="1710" w:type="dxa"/>
            <w:tcBorders>
              <w:top w:val="single" w:sz="2" w:space="0" w:color="auto"/>
              <w:left w:val="nil"/>
              <w:bottom w:val="single" w:sz="2" w:space="0" w:color="auto"/>
              <w:right w:val="nil"/>
            </w:tcBorders>
            <w:vAlign w:val="center"/>
          </w:tcPr>
          <w:p w:rsidR="007A03FC" w:rsidRPr="00765C97" w:rsidRDefault="006B25C8" w:rsidP="006924AF">
            <w:pPr>
              <w:ind w:right="181"/>
              <w:jc w:val="right"/>
              <w:rPr>
                <w:rFonts w:ascii="Arial" w:hAnsi="Arial" w:cs="Arial"/>
                <w:b/>
                <w:bCs/>
                <w:sz w:val="20"/>
                <w:szCs w:val="20"/>
              </w:rPr>
            </w:pPr>
            <w:r w:rsidRPr="00765C97">
              <w:rPr>
                <w:rFonts w:ascii="Arial" w:hAnsi="Arial" w:cs="Arial"/>
                <w:b/>
                <w:bCs/>
                <w:sz w:val="20"/>
                <w:szCs w:val="20"/>
              </w:rPr>
              <w:t>209 424</w:t>
            </w:r>
          </w:p>
        </w:tc>
        <w:tc>
          <w:tcPr>
            <w:tcW w:w="1710" w:type="dxa"/>
            <w:tcBorders>
              <w:top w:val="single" w:sz="2" w:space="0" w:color="auto"/>
              <w:left w:val="nil"/>
              <w:bottom w:val="single" w:sz="2" w:space="0" w:color="auto"/>
              <w:right w:val="nil"/>
            </w:tcBorders>
            <w:vAlign w:val="center"/>
          </w:tcPr>
          <w:p w:rsidR="007A03FC" w:rsidRPr="00765C97" w:rsidRDefault="007A03FC" w:rsidP="007A03FC">
            <w:pPr>
              <w:ind w:right="181"/>
              <w:jc w:val="right"/>
              <w:rPr>
                <w:rFonts w:ascii="Arial" w:hAnsi="Arial" w:cs="Arial"/>
                <w:b/>
                <w:bCs/>
                <w:sz w:val="20"/>
                <w:szCs w:val="20"/>
              </w:rPr>
            </w:pPr>
            <w:r w:rsidRPr="00765C97">
              <w:rPr>
                <w:rFonts w:ascii="Arial" w:hAnsi="Arial" w:cs="Arial"/>
                <w:b/>
                <w:bCs/>
                <w:sz w:val="20"/>
                <w:szCs w:val="20"/>
              </w:rPr>
              <w:t>125 548</w:t>
            </w:r>
          </w:p>
        </w:tc>
      </w:tr>
      <w:tr w:rsidR="007A03FC" w:rsidRPr="00765C97" w:rsidTr="00C16AA7">
        <w:trPr>
          <w:trHeight w:val="255"/>
        </w:trPr>
        <w:tc>
          <w:tcPr>
            <w:tcW w:w="5103" w:type="dxa"/>
            <w:tcBorders>
              <w:left w:val="nil"/>
              <w:right w:val="nil"/>
            </w:tcBorders>
            <w:vAlign w:val="center"/>
          </w:tcPr>
          <w:p w:rsidR="007A03FC" w:rsidRPr="00765C97" w:rsidRDefault="007A03FC" w:rsidP="006924AF">
            <w:pPr>
              <w:rPr>
                <w:rFonts w:ascii="Arial" w:hAnsi="Arial"/>
                <w:b/>
                <w:sz w:val="20"/>
                <w:lang w:val="pl-PL"/>
              </w:rPr>
            </w:pPr>
            <w:r w:rsidRPr="00765C97">
              <w:rPr>
                <w:rFonts w:ascii="Arial" w:hAnsi="Arial"/>
                <w:b/>
                <w:sz w:val="20"/>
                <w:lang w:val="pl-PL"/>
              </w:rPr>
              <w:t>Ogółem przychody ze sprzedaży</w:t>
            </w:r>
          </w:p>
        </w:tc>
        <w:tc>
          <w:tcPr>
            <w:tcW w:w="1710" w:type="dxa"/>
            <w:tcBorders>
              <w:top w:val="single" w:sz="2" w:space="0" w:color="auto"/>
              <w:left w:val="nil"/>
              <w:bottom w:val="single" w:sz="2" w:space="0" w:color="auto"/>
              <w:right w:val="nil"/>
            </w:tcBorders>
            <w:vAlign w:val="center"/>
          </w:tcPr>
          <w:p w:rsidR="007A03FC" w:rsidRPr="00765C97" w:rsidRDefault="00603ABE" w:rsidP="006924AF">
            <w:pPr>
              <w:ind w:right="181"/>
              <w:jc w:val="right"/>
              <w:rPr>
                <w:rFonts w:ascii="Arial" w:hAnsi="Arial" w:cs="Arial"/>
                <w:b/>
                <w:bCs/>
                <w:sz w:val="20"/>
                <w:szCs w:val="20"/>
              </w:rPr>
            </w:pPr>
            <w:r w:rsidRPr="00765C97">
              <w:rPr>
                <w:rFonts w:ascii="Arial" w:hAnsi="Arial" w:cs="Arial"/>
                <w:b/>
                <w:bCs/>
                <w:sz w:val="20"/>
                <w:szCs w:val="20"/>
              </w:rPr>
              <w:t>883 876</w:t>
            </w:r>
          </w:p>
        </w:tc>
        <w:tc>
          <w:tcPr>
            <w:tcW w:w="1710" w:type="dxa"/>
            <w:tcBorders>
              <w:top w:val="single" w:sz="2" w:space="0" w:color="auto"/>
              <w:left w:val="nil"/>
              <w:bottom w:val="single" w:sz="2" w:space="0" w:color="auto"/>
              <w:right w:val="nil"/>
            </w:tcBorders>
            <w:vAlign w:val="center"/>
          </w:tcPr>
          <w:p w:rsidR="007A03FC" w:rsidRPr="00765C97" w:rsidRDefault="007A03FC" w:rsidP="007A03FC">
            <w:pPr>
              <w:ind w:right="181"/>
              <w:jc w:val="right"/>
              <w:rPr>
                <w:rFonts w:ascii="Arial" w:hAnsi="Arial" w:cs="Arial"/>
                <w:b/>
                <w:bCs/>
                <w:sz w:val="20"/>
                <w:szCs w:val="20"/>
              </w:rPr>
            </w:pPr>
            <w:r w:rsidRPr="00765C97">
              <w:rPr>
                <w:rFonts w:ascii="Arial" w:hAnsi="Arial" w:cs="Arial"/>
                <w:b/>
                <w:bCs/>
                <w:sz w:val="20"/>
                <w:szCs w:val="20"/>
              </w:rPr>
              <w:t>785 653</w:t>
            </w:r>
          </w:p>
        </w:tc>
      </w:tr>
    </w:tbl>
    <w:p w:rsidR="00B24DA9" w:rsidRPr="00765C97" w:rsidRDefault="00B24DA9" w:rsidP="00135A9A">
      <w:pPr>
        <w:pStyle w:val="Nagwek3"/>
        <w:numPr>
          <w:ilvl w:val="1"/>
          <w:numId w:val="22"/>
        </w:numPr>
        <w:spacing w:after="240"/>
        <w:ind w:left="709" w:hanging="567"/>
        <w:rPr>
          <w:sz w:val="20"/>
          <w:lang w:val="pl-PL"/>
        </w:rPr>
      </w:pPr>
      <w:bookmarkStart w:id="77" w:name="_Toc353973234"/>
      <w:r w:rsidRPr="00765C97">
        <w:rPr>
          <w:sz w:val="20"/>
          <w:lang w:val="pl-PL"/>
        </w:rPr>
        <w:t>Koszty sprzedanych produktów, usług, towarów i materiałów</w:t>
      </w:r>
      <w:bookmarkEnd w:id="77"/>
    </w:p>
    <w:tbl>
      <w:tblPr>
        <w:tblW w:w="8485" w:type="dxa"/>
        <w:tblLayout w:type="fixed"/>
        <w:tblCellMar>
          <w:left w:w="0" w:type="dxa"/>
          <w:right w:w="0" w:type="dxa"/>
        </w:tblCellMar>
        <w:tblLook w:val="0000"/>
      </w:tblPr>
      <w:tblGrid>
        <w:gridCol w:w="5065"/>
        <w:gridCol w:w="1710"/>
        <w:gridCol w:w="1710"/>
      </w:tblGrid>
      <w:tr w:rsidR="00B24DA9" w:rsidRPr="00765C97" w:rsidTr="00C16AA7">
        <w:trPr>
          <w:trHeight w:val="255"/>
        </w:trPr>
        <w:tc>
          <w:tcPr>
            <w:tcW w:w="5065" w:type="dxa"/>
            <w:tcBorders>
              <w:top w:val="nil"/>
              <w:left w:val="nil"/>
              <w:bottom w:val="nil"/>
              <w:right w:val="nil"/>
            </w:tcBorders>
            <w:vAlign w:val="center"/>
          </w:tcPr>
          <w:p w:rsidR="00B24DA9" w:rsidRPr="00765C97" w:rsidRDefault="00B24DA9">
            <w:pPr>
              <w:spacing w:before="20" w:after="20"/>
              <w:rPr>
                <w:rFonts w:ascii="Arial" w:hAnsi="Arial"/>
                <w:b/>
                <w:sz w:val="20"/>
                <w:lang w:val="pl-PL"/>
              </w:rPr>
            </w:pPr>
            <w:r w:rsidRPr="00765C97">
              <w:rPr>
                <w:rFonts w:ascii="Arial" w:hAnsi="Arial"/>
                <w:b/>
                <w:sz w:val="20"/>
                <w:lang w:val="pl-PL"/>
              </w:rPr>
              <w:t>I/1 Koszty wg rodzaju</w:t>
            </w:r>
          </w:p>
        </w:tc>
        <w:tc>
          <w:tcPr>
            <w:tcW w:w="1710" w:type="dxa"/>
            <w:tcBorders>
              <w:top w:val="nil"/>
              <w:left w:val="nil"/>
              <w:bottom w:val="nil"/>
              <w:right w:val="nil"/>
            </w:tcBorders>
            <w:vAlign w:val="center"/>
          </w:tcPr>
          <w:p w:rsidR="00B24DA9" w:rsidRPr="00765C97" w:rsidRDefault="00B24DA9">
            <w:pPr>
              <w:ind w:right="130"/>
              <w:jc w:val="right"/>
              <w:rPr>
                <w:rFonts w:ascii="Arial" w:hAnsi="Arial"/>
                <w:b/>
                <w:sz w:val="20"/>
                <w:lang w:val="pl-PL"/>
              </w:rPr>
            </w:pPr>
            <w:r w:rsidRPr="00765C97">
              <w:rPr>
                <w:rFonts w:ascii="Arial" w:hAnsi="Arial"/>
                <w:b/>
                <w:sz w:val="20"/>
                <w:lang w:val="pl-PL"/>
              </w:rPr>
              <w:t>12 miesięcy</w:t>
            </w:r>
          </w:p>
          <w:p w:rsidR="00B24DA9" w:rsidRPr="00765C97" w:rsidRDefault="00B24DA9" w:rsidP="007A03FC">
            <w:pPr>
              <w:ind w:right="130"/>
              <w:jc w:val="right"/>
              <w:rPr>
                <w:rFonts w:ascii="Arial" w:hAnsi="Arial"/>
                <w:b/>
                <w:sz w:val="20"/>
                <w:lang w:val="pl-PL"/>
              </w:rPr>
            </w:pPr>
            <w:r w:rsidRPr="00765C97">
              <w:rPr>
                <w:rFonts w:ascii="Arial" w:hAnsi="Arial"/>
                <w:b/>
                <w:sz w:val="20"/>
                <w:lang w:val="pl-PL"/>
              </w:rPr>
              <w:t>20</w:t>
            </w:r>
            <w:r w:rsidR="003F70E6" w:rsidRPr="00765C97">
              <w:rPr>
                <w:rFonts w:ascii="Arial" w:hAnsi="Arial"/>
                <w:b/>
                <w:sz w:val="20"/>
                <w:lang w:val="pl-PL"/>
              </w:rPr>
              <w:t>1</w:t>
            </w:r>
            <w:r w:rsidR="007A03FC" w:rsidRPr="00765C97">
              <w:rPr>
                <w:rFonts w:ascii="Arial" w:hAnsi="Arial"/>
                <w:b/>
                <w:sz w:val="20"/>
                <w:lang w:val="pl-PL"/>
              </w:rPr>
              <w:t>2</w:t>
            </w:r>
          </w:p>
        </w:tc>
        <w:tc>
          <w:tcPr>
            <w:tcW w:w="1710" w:type="dxa"/>
            <w:tcBorders>
              <w:top w:val="nil"/>
              <w:left w:val="nil"/>
              <w:bottom w:val="nil"/>
              <w:right w:val="nil"/>
            </w:tcBorders>
            <w:vAlign w:val="center"/>
          </w:tcPr>
          <w:p w:rsidR="00B24DA9" w:rsidRPr="00765C97" w:rsidRDefault="00B24DA9">
            <w:pPr>
              <w:ind w:right="130"/>
              <w:jc w:val="right"/>
              <w:rPr>
                <w:rFonts w:ascii="Arial" w:hAnsi="Arial"/>
                <w:b/>
                <w:color w:val="000000"/>
                <w:sz w:val="20"/>
                <w:lang w:val="pl-PL"/>
              </w:rPr>
            </w:pPr>
            <w:r w:rsidRPr="00765C97">
              <w:rPr>
                <w:rFonts w:ascii="Arial" w:hAnsi="Arial"/>
                <w:b/>
                <w:color w:val="000000"/>
                <w:sz w:val="20"/>
                <w:lang w:val="pl-PL"/>
              </w:rPr>
              <w:t>12 miesięcy</w:t>
            </w:r>
          </w:p>
          <w:p w:rsidR="00B24DA9" w:rsidRPr="00765C97" w:rsidRDefault="00B24DA9" w:rsidP="007A03FC">
            <w:pPr>
              <w:ind w:right="130"/>
              <w:jc w:val="right"/>
              <w:rPr>
                <w:rFonts w:ascii="Arial" w:hAnsi="Arial"/>
                <w:b/>
                <w:color w:val="000000"/>
                <w:sz w:val="20"/>
                <w:lang w:val="pl-PL"/>
              </w:rPr>
            </w:pPr>
            <w:r w:rsidRPr="00765C97">
              <w:rPr>
                <w:rFonts w:ascii="Arial" w:hAnsi="Arial"/>
                <w:b/>
                <w:color w:val="000000"/>
                <w:sz w:val="20"/>
                <w:lang w:val="pl-PL"/>
              </w:rPr>
              <w:t>20</w:t>
            </w:r>
            <w:r w:rsidR="00372F12" w:rsidRPr="00765C97">
              <w:rPr>
                <w:rFonts w:ascii="Arial" w:hAnsi="Arial"/>
                <w:b/>
                <w:color w:val="000000"/>
                <w:sz w:val="20"/>
                <w:lang w:val="pl-PL"/>
              </w:rPr>
              <w:t>1</w:t>
            </w:r>
            <w:r w:rsidR="007A03FC" w:rsidRPr="00765C97">
              <w:rPr>
                <w:rFonts w:ascii="Arial" w:hAnsi="Arial"/>
                <w:b/>
                <w:color w:val="000000"/>
                <w:sz w:val="20"/>
                <w:lang w:val="pl-PL"/>
              </w:rPr>
              <w:t>1</w:t>
            </w:r>
          </w:p>
        </w:tc>
      </w:tr>
      <w:tr w:rsidR="007A03FC" w:rsidRPr="00765C97" w:rsidTr="00C16AA7">
        <w:trPr>
          <w:trHeight w:val="255"/>
        </w:trPr>
        <w:tc>
          <w:tcPr>
            <w:tcW w:w="5065" w:type="dxa"/>
            <w:tcBorders>
              <w:top w:val="nil"/>
              <w:left w:val="nil"/>
              <w:bottom w:val="nil"/>
              <w:right w:val="nil"/>
            </w:tcBorders>
            <w:vAlign w:val="center"/>
          </w:tcPr>
          <w:p w:rsidR="007A03FC" w:rsidRPr="00765C97" w:rsidRDefault="007A03FC">
            <w:pPr>
              <w:spacing w:before="20" w:after="20"/>
              <w:rPr>
                <w:rFonts w:ascii="Arial" w:hAnsi="Arial"/>
                <w:spacing w:val="-1"/>
                <w:sz w:val="20"/>
                <w:lang w:val="pl-PL"/>
              </w:rPr>
            </w:pPr>
            <w:r w:rsidRPr="00765C97">
              <w:rPr>
                <w:rFonts w:ascii="Arial" w:hAnsi="Arial"/>
                <w:spacing w:val="-1"/>
                <w:sz w:val="20"/>
                <w:lang w:val="pl-PL"/>
              </w:rPr>
              <w:t>Amortyzacja środków trwałych i wartości niematerialnych</w:t>
            </w:r>
          </w:p>
        </w:tc>
        <w:tc>
          <w:tcPr>
            <w:tcW w:w="1710" w:type="dxa"/>
            <w:tcBorders>
              <w:top w:val="nil"/>
              <w:left w:val="nil"/>
              <w:bottom w:val="nil"/>
              <w:right w:val="nil"/>
            </w:tcBorders>
            <w:vAlign w:val="center"/>
          </w:tcPr>
          <w:p w:rsidR="007A03FC" w:rsidRPr="00765C97" w:rsidRDefault="00CF3450" w:rsidP="001F3805">
            <w:pPr>
              <w:spacing w:before="20" w:after="20"/>
              <w:ind w:right="130"/>
              <w:jc w:val="right"/>
              <w:rPr>
                <w:rFonts w:ascii="Arial" w:hAnsi="Arial"/>
                <w:sz w:val="20"/>
                <w:lang w:val="pl-PL"/>
              </w:rPr>
            </w:pPr>
            <w:r w:rsidRPr="00765C97">
              <w:rPr>
                <w:rFonts w:ascii="Arial" w:hAnsi="Arial"/>
                <w:sz w:val="20"/>
                <w:lang w:val="pl-PL"/>
              </w:rPr>
              <w:t>53 326</w:t>
            </w:r>
          </w:p>
        </w:tc>
        <w:tc>
          <w:tcPr>
            <w:tcW w:w="1710" w:type="dxa"/>
            <w:tcBorders>
              <w:top w:val="nil"/>
              <w:left w:val="nil"/>
              <w:bottom w:val="nil"/>
              <w:right w:val="nil"/>
            </w:tcBorders>
            <w:vAlign w:val="center"/>
          </w:tcPr>
          <w:p w:rsidR="007A03FC" w:rsidRPr="00765C97" w:rsidRDefault="007A03FC" w:rsidP="007A03FC">
            <w:pPr>
              <w:spacing w:before="20" w:after="20"/>
              <w:ind w:right="130"/>
              <w:jc w:val="right"/>
              <w:rPr>
                <w:rFonts w:ascii="Arial" w:hAnsi="Arial"/>
                <w:sz w:val="20"/>
                <w:lang w:val="pl-PL"/>
              </w:rPr>
            </w:pPr>
            <w:r w:rsidRPr="00765C97">
              <w:rPr>
                <w:rFonts w:ascii="Arial" w:hAnsi="Arial"/>
                <w:sz w:val="20"/>
                <w:lang w:val="pl-PL"/>
              </w:rPr>
              <w:t>42 044</w:t>
            </w:r>
          </w:p>
        </w:tc>
      </w:tr>
      <w:tr w:rsidR="007A03FC" w:rsidRPr="00765C97" w:rsidTr="00C16AA7">
        <w:trPr>
          <w:trHeight w:val="255"/>
        </w:trPr>
        <w:tc>
          <w:tcPr>
            <w:tcW w:w="5065" w:type="dxa"/>
            <w:tcBorders>
              <w:top w:val="nil"/>
              <w:left w:val="nil"/>
              <w:bottom w:val="nil"/>
              <w:right w:val="nil"/>
            </w:tcBorders>
            <w:vAlign w:val="center"/>
          </w:tcPr>
          <w:p w:rsidR="007A03FC" w:rsidRPr="00765C97" w:rsidRDefault="007A03FC">
            <w:pPr>
              <w:tabs>
                <w:tab w:val="left" w:pos="993"/>
                <w:tab w:val="left" w:pos="1152"/>
              </w:tabs>
              <w:spacing w:before="20" w:after="20"/>
              <w:rPr>
                <w:rFonts w:ascii="Arial" w:hAnsi="Arial"/>
                <w:sz w:val="20"/>
                <w:lang w:val="pl-PL"/>
              </w:rPr>
            </w:pPr>
            <w:r w:rsidRPr="00765C97">
              <w:rPr>
                <w:rFonts w:ascii="Arial" w:hAnsi="Arial"/>
                <w:sz w:val="20"/>
                <w:lang w:val="pl-PL"/>
              </w:rPr>
              <w:t>Koszty świadczeń pracowniczych</w:t>
            </w:r>
          </w:p>
        </w:tc>
        <w:tc>
          <w:tcPr>
            <w:tcW w:w="1710" w:type="dxa"/>
            <w:tcBorders>
              <w:top w:val="nil"/>
              <w:left w:val="nil"/>
              <w:bottom w:val="nil"/>
              <w:right w:val="nil"/>
            </w:tcBorders>
            <w:vAlign w:val="center"/>
          </w:tcPr>
          <w:p w:rsidR="007A03FC" w:rsidRPr="00765C97" w:rsidRDefault="00CF3450" w:rsidP="001F3805">
            <w:pPr>
              <w:spacing w:before="20" w:after="20"/>
              <w:ind w:right="130"/>
              <w:jc w:val="right"/>
              <w:rPr>
                <w:rFonts w:ascii="Arial" w:hAnsi="Arial"/>
                <w:sz w:val="20"/>
                <w:lang w:val="pl-PL"/>
              </w:rPr>
            </w:pPr>
            <w:r w:rsidRPr="00765C97">
              <w:rPr>
                <w:rFonts w:ascii="Arial" w:hAnsi="Arial"/>
                <w:sz w:val="20"/>
                <w:lang w:val="pl-PL"/>
              </w:rPr>
              <w:t>429 396</w:t>
            </w:r>
          </w:p>
        </w:tc>
        <w:tc>
          <w:tcPr>
            <w:tcW w:w="1710" w:type="dxa"/>
            <w:tcBorders>
              <w:top w:val="nil"/>
              <w:left w:val="nil"/>
              <w:bottom w:val="nil"/>
              <w:right w:val="nil"/>
            </w:tcBorders>
            <w:vAlign w:val="center"/>
          </w:tcPr>
          <w:p w:rsidR="007A03FC" w:rsidRPr="00765C97" w:rsidRDefault="007A03FC" w:rsidP="007A03FC">
            <w:pPr>
              <w:spacing w:before="20" w:after="20"/>
              <w:ind w:right="130"/>
              <w:jc w:val="right"/>
              <w:rPr>
                <w:rFonts w:ascii="Arial" w:hAnsi="Arial"/>
                <w:sz w:val="20"/>
                <w:lang w:val="pl-PL"/>
              </w:rPr>
            </w:pPr>
            <w:r w:rsidRPr="00765C97">
              <w:rPr>
                <w:rFonts w:ascii="Arial" w:hAnsi="Arial"/>
                <w:sz w:val="20"/>
                <w:lang w:val="pl-PL"/>
              </w:rPr>
              <w:t>408 285</w:t>
            </w:r>
          </w:p>
        </w:tc>
      </w:tr>
      <w:tr w:rsidR="007A03FC" w:rsidRPr="00765C97" w:rsidTr="00C16AA7">
        <w:trPr>
          <w:trHeight w:val="255"/>
        </w:trPr>
        <w:tc>
          <w:tcPr>
            <w:tcW w:w="5065" w:type="dxa"/>
            <w:tcBorders>
              <w:top w:val="nil"/>
              <w:left w:val="nil"/>
              <w:bottom w:val="nil"/>
              <w:right w:val="nil"/>
            </w:tcBorders>
            <w:vAlign w:val="center"/>
          </w:tcPr>
          <w:p w:rsidR="007A03FC" w:rsidRPr="00765C97" w:rsidRDefault="007A03FC">
            <w:pPr>
              <w:tabs>
                <w:tab w:val="left" w:pos="993"/>
                <w:tab w:val="left" w:pos="1152"/>
              </w:tabs>
              <w:spacing w:before="20" w:after="20"/>
              <w:rPr>
                <w:rFonts w:ascii="Arial" w:hAnsi="Arial"/>
                <w:spacing w:val="-1"/>
                <w:sz w:val="20"/>
                <w:lang w:val="pl-PL"/>
              </w:rPr>
            </w:pPr>
            <w:r w:rsidRPr="00765C97">
              <w:rPr>
                <w:rFonts w:ascii="Arial" w:hAnsi="Arial"/>
                <w:spacing w:val="-1"/>
                <w:sz w:val="20"/>
                <w:lang w:val="pl-PL"/>
              </w:rPr>
              <w:t>Zmiana stanu produktów i produkcji w toku</w:t>
            </w:r>
          </w:p>
        </w:tc>
        <w:tc>
          <w:tcPr>
            <w:tcW w:w="1710" w:type="dxa"/>
            <w:tcBorders>
              <w:top w:val="nil"/>
              <w:left w:val="nil"/>
              <w:bottom w:val="nil"/>
              <w:right w:val="nil"/>
            </w:tcBorders>
            <w:vAlign w:val="center"/>
          </w:tcPr>
          <w:p w:rsidR="007A03FC" w:rsidRPr="00765C97" w:rsidRDefault="00CF3450" w:rsidP="00924571">
            <w:pPr>
              <w:spacing w:before="20" w:after="20"/>
              <w:ind w:right="130"/>
              <w:jc w:val="right"/>
              <w:rPr>
                <w:rFonts w:ascii="Arial" w:hAnsi="Arial"/>
                <w:sz w:val="20"/>
                <w:lang w:val="pl-PL"/>
              </w:rPr>
            </w:pPr>
            <w:r w:rsidRPr="00765C97">
              <w:rPr>
                <w:rFonts w:ascii="Arial" w:hAnsi="Arial"/>
                <w:sz w:val="20"/>
                <w:lang w:val="pl-PL"/>
              </w:rPr>
              <w:t>(16 </w:t>
            </w:r>
            <w:r w:rsidR="00924571" w:rsidRPr="00765C97">
              <w:rPr>
                <w:rFonts w:ascii="Arial" w:hAnsi="Arial"/>
                <w:sz w:val="20"/>
                <w:lang w:val="pl-PL"/>
              </w:rPr>
              <w:t>923</w:t>
            </w:r>
            <w:r w:rsidRPr="00765C97">
              <w:rPr>
                <w:rFonts w:ascii="Arial" w:hAnsi="Arial"/>
                <w:sz w:val="20"/>
                <w:lang w:val="pl-PL"/>
              </w:rPr>
              <w:t>)</w:t>
            </w:r>
          </w:p>
        </w:tc>
        <w:tc>
          <w:tcPr>
            <w:tcW w:w="1710" w:type="dxa"/>
            <w:tcBorders>
              <w:top w:val="nil"/>
              <w:left w:val="nil"/>
              <w:bottom w:val="nil"/>
              <w:right w:val="nil"/>
            </w:tcBorders>
            <w:vAlign w:val="center"/>
          </w:tcPr>
          <w:p w:rsidR="007A03FC" w:rsidRPr="00765C97" w:rsidRDefault="007A03FC" w:rsidP="007A03FC">
            <w:pPr>
              <w:spacing w:before="20" w:after="20"/>
              <w:ind w:right="130"/>
              <w:jc w:val="right"/>
              <w:rPr>
                <w:rFonts w:ascii="Arial" w:hAnsi="Arial"/>
                <w:sz w:val="20"/>
                <w:lang w:val="pl-PL"/>
              </w:rPr>
            </w:pPr>
            <w:r w:rsidRPr="00765C97">
              <w:rPr>
                <w:rFonts w:ascii="Arial" w:hAnsi="Arial"/>
                <w:sz w:val="20"/>
                <w:lang w:val="pl-PL"/>
              </w:rPr>
              <w:t>7 641</w:t>
            </w:r>
          </w:p>
        </w:tc>
      </w:tr>
      <w:tr w:rsidR="007A03FC" w:rsidRPr="00765C97" w:rsidTr="00C16AA7">
        <w:trPr>
          <w:trHeight w:val="255"/>
        </w:trPr>
        <w:tc>
          <w:tcPr>
            <w:tcW w:w="5065" w:type="dxa"/>
            <w:tcBorders>
              <w:top w:val="nil"/>
              <w:left w:val="nil"/>
              <w:bottom w:val="nil"/>
              <w:right w:val="nil"/>
            </w:tcBorders>
            <w:vAlign w:val="center"/>
          </w:tcPr>
          <w:p w:rsidR="007A03FC" w:rsidRPr="00765C97" w:rsidRDefault="007A03FC">
            <w:pPr>
              <w:tabs>
                <w:tab w:val="left" w:pos="993"/>
                <w:tab w:val="left" w:pos="1152"/>
              </w:tabs>
              <w:spacing w:before="20" w:after="20"/>
              <w:rPr>
                <w:rFonts w:ascii="Arial" w:hAnsi="Arial"/>
                <w:sz w:val="20"/>
                <w:lang w:val="pl-PL"/>
              </w:rPr>
            </w:pPr>
            <w:r w:rsidRPr="00765C97">
              <w:rPr>
                <w:rFonts w:ascii="Arial" w:hAnsi="Arial"/>
                <w:sz w:val="20"/>
                <w:lang w:val="pl-PL"/>
              </w:rPr>
              <w:t>Zużycie surowców i materiałów pomocniczych</w:t>
            </w:r>
          </w:p>
        </w:tc>
        <w:tc>
          <w:tcPr>
            <w:tcW w:w="1710" w:type="dxa"/>
            <w:tcBorders>
              <w:top w:val="nil"/>
              <w:left w:val="nil"/>
              <w:bottom w:val="nil"/>
              <w:right w:val="nil"/>
            </w:tcBorders>
            <w:vAlign w:val="center"/>
          </w:tcPr>
          <w:p w:rsidR="007A03FC" w:rsidRPr="00765C97" w:rsidRDefault="00CF3450" w:rsidP="001F3805">
            <w:pPr>
              <w:spacing w:before="20" w:after="20"/>
              <w:ind w:right="130"/>
              <w:jc w:val="right"/>
              <w:rPr>
                <w:rFonts w:ascii="Arial" w:hAnsi="Arial"/>
                <w:sz w:val="20"/>
                <w:lang w:val="pl-PL"/>
              </w:rPr>
            </w:pPr>
            <w:r w:rsidRPr="00765C97">
              <w:rPr>
                <w:rFonts w:ascii="Arial" w:hAnsi="Arial"/>
                <w:sz w:val="20"/>
                <w:lang w:val="pl-PL"/>
              </w:rPr>
              <w:t>17 950</w:t>
            </w:r>
          </w:p>
        </w:tc>
        <w:tc>
          <w:tcPr>
            <w:tcW w:w="1710" w:type="dxa"/>
            <w:tcBorders>
              <w:top w:val="nil"/>
              <w:left w:val="nil"/>
              <w:bottom w:val="nil"/>
              <w:right w:val="nil"/>
            </w:tcBorders>
            <w:vAlign w:val="center"/>
          </w:tcPr>
          <w:p w:rsidR="007A03FC" w:rsidRPr="00765C97" w:rsidRDefault="007A03FC" w:rsidP="007A03FC">
            <w:pPr>
              <w:spacing w:before="20" w:after="20"/>
              <w:ind w:right="130"/>
              <w:jc w:val="right"/>
              <w:rPr>
                <w:rFonts w:ascii="Arial" w:hAnsi="Arial"/>
                <w:sz w:val="20"/>
                <w:lang w:val="pl-PL"/>
              </w:rPr>
            </w:pPr>
            <w:r w:rsidRPr="00765C97">
              <w:rPr>
                <w:rFonts w:ascii="Arial" w:hAnsi="Arial"/>
                <w:sz w:val="20"/>
                <w:lang w:val="pl-PL"/>
              </w:rPr>
              <w:t>19 060</w:t>
            </w:r>
          </w:p>
        </w:tc>
      </w:tr>
      <w:tr w:rsidR="007A03FC" w:rsidRPr="00765C97" w:rsidTr="00C16AA7">
        <w:trPr>
          <w:trHeight w:val="255"/>
        </w:trPr>
        <w:tc>
          <w:tcPr>
            <w:tcW w:w="5065" w:type="dxa"/>
            <w:tcBorders>
              <w:top w:val="nil"/>
              <w:left w:val="nil"/>
              <w:bottom w:val="nil"/>
              <w:right w:val="nil"/>
            </w:tcBorders>
            <w:vAlign w:val="center"/>
          </w:tcPr>
          <w:p w:rsidR="007A03FC" w:rsidRPr="00765C97" w:rsidRDefault="007A03FC">
            <w:pPr>
              <w:tabs>
                <w:tab w:val="left" w:pos="993"/>
                <w:tab w:val="left" w:pos="1152"/>
              </w:tabs>
              <w:spacing w:before="20" w:after="20"/>
              <w:rPr>
                <w:rFonts w:ascii="Arial" w:hAnsi="Arial"/>
                <w:sz w:val="20"/>
                <w:lang w:val="pl-PL"/>
              </w:rPr>
            </w:pPr>
            <w:r w:rsidRPr="00765C97">
              <w:rPr>
                <w:rFonts w:ascii="Arial" w:hAnsi="Arial"/>
                <w:spacing w:val="-4"/>
                <w:sz w:val="20"/>
                <w:lang w:val="pl-PL"/>
              </w:rPr>
              <w:t>Usługi obce</w:t>
            </w:r>
          </w:p>
        </w:tc>
        <w:tc>
          <w:tcPr>
            <w:tcW w:w="1710" w:type="dxa"/>
            <w:tcBorders>
              <w:top w:val="nil"/>
              <w:left w:val="nil"/>
              <w:bottom w:val="nil"/>
              <w:right w:val="nil"/>
            </w:tcBorders>
            <w:vAlign w:val="center"/>
          </w:tcPr>
          <w:p w:rsidR="007A03FC" w:rsidRPr="00765C97" w:rsidRDefault="00CF3450" w:rsidP="00EC050C">
            <w:pPr>
              <w:spacing w:before="20" w:after="20"/>
              <w:ind w:right="130"/>
              <w:jc w:val="right"/>
              <w:rPr>
                <w:rFonts w:ascii="Arial" w:hAnsi="Arial"/>
                <w:sz w:val="20"/>
                <w:lang w:val="pl-PL"/>
              </w:rPr>
            </w:pPr>
            <w:r w:rsidRPr="00765C97">
              <w:rPr>
                <w:rFonts w:ascii="Arial" w:hAnsi="Arial"/>
                <w:sz w:val="20"/>
                <w:lang w:val="pl-PL"/>
              </w:rPr>
              <w:t>95 238</w:t>
            </w:r>
          </w:p>
        </w:tc>
        <w:tc>
          <w:tcPr>
            <w:tcW w:w="1710" w:type="dxa"/>
            <w:tcBorders>
              <w:top w:val="nil"/>
              <w:left w:val="nil"/>
              <w:bottom w:val="nil"/>
              <w:right w:val="nil"/>
            </w:tcBorders>
            <w:vAlign w:val="center"/>
          </w:tcPr>
          <w:p w:rsidR="007A03FC" w:rsidRPr="00765C97" w:rsidRDefault="007A03FC" w:rsidP="007A03FC">
            <w:pPr>
              <w:spacing w:before="20" w:after="20"/>
              <w:ind w:right="130"/>
              <w:jc w:val="right"/>
              <w:rPr>
                <w:rFonts w:ascii="Arial" w:hAnsi="Arial"/>
                <w:sz w:val="20"/>
                <w:lang w:val="pl-PL"/>
              </w:rPr>
            </w:pPr>
            <w:r w:rsidRPr="00765C97">
              <w:rPr>
                <w:rFonts w:ascii="Arial" w:hAnsi="Arial"/>
                <w:sz w:val="20"/>
                <w:lang w:val="pl-PL"/>
              </w:rPr>
              <w:t>104 315</w:t>
            </w:r>
          </w:p>
        </w:tc>
      </w:tr>
      <w:tr w:rsidR="007A03FC" w:rsidRPr="00765C97" w:rsidTr="00C16AA7">
        <w:trPr>
          <w:trHeight w:val="255"/>
        </w:trPr>
        <w:tc>
          <w:tcPr>
            <w:tcW w:w="5065" w:type="dxa"/>
            <w:tcBorders>
              <w:top w:val="nil"/>
              <w:left w:val="nil"/>
              <w:right w:val="nil"/>
            </w:tcBorders>
            <w:vAlign w:val="center"/>
          </w:tcPr>
          <w:p w:rsidR="007A03FC" w:rsidRPr="00765C97" w:rsidRDefault="007A03FC">
            <w:pPr>
              <w:tabs>
                <w:tab w:val="left" w:pos="993"/>
                <w:tab w:val="left" w:pos="1152"/>
              </w:tabs>
              <w:spacing w:before="20" w:after="20"/>
              <w:rPr>
                <w:rFonts w:ascii="Arial" w:hAnsi="Arial"/>
                <w:sz w:val="20"/>
                <w:lang w:val="pl-PL"/>
              </w:rPr>
            </w:pPr>
            <w:r w:rsidRPr="00765C97">
              <w:rPr>
                <w:rFonts w:ascii="Arial" w:hAnsi="Arial"/>
                <w:spacing w:val="-4"/>
                <w:sz w:val="20"/>
                <w:lang w:val="pl-PL"/>
              </w:rPr>
              <w:t>Podatki i opłaty</w:t>
            </w:r>
          </w:p>
        </w:tc>
        <w:tc>
          <w:tcPr>
            <w:tcW w:w="1710" w:type="dxa"/>
            <w:tcBorders>
              <w:top w:val="nil"/>
              <w:left w:val="nil"/>
              <w:bottom w:val="nil"/>
              <w:right w:val="nil"/>
            </w:tcBorders>
            <w:vAlign w:val="center"/>
          </w:tcPr>
          <w:p w:rsidR="007A03FC" w:rsidRPr="00765C97" w:rsidRDefault="00CF3450" w:rsidP="00EC050C">
            <w:pPr>
              <w:spacing w:before="20" w:after="20"/>
              <w:ind w:right="130"/>
              <w:jc w:val="right"/>
              <w:rPr>
                <w:rFonts w:ascii="Arial" w:hAnsi="Arial"/>
                <w:sz w:val="20"/>
                <w:lang w:val="pl-PL"/>
              </w:rPr>
            </w:pPr>
            <w:r w:rsidRPr="00765C97">
              <w:rPr>
                <w:rFonts w:ascii="Arial" w:hAnsi="Arial"/>
                <w:sz w:val="20"/>
                <w:lang w:val="pl-PL"/>
              </w:rPr>
              <w:t>8 500</w:t>
            </w:r>
          </w:p>
        </w:tc>
        <w:tc>
          <w:tcPr>
            <w:tcW w:w="1710" w:type="dxa"/>
            <w:tcBorders>
              <w:top w:val="nil"/>
              <w:left w:val="nil"/>
              <w:bottom w:val="nil"/>
              <w:right w:val="nil"/>
            </w:tcBorders>
            <w:vAlign w:val="center"/>
          </w:tcPr>
          <w:p w:rsidR="007A03FC" w:rsidRPr="00765C97" w:rsidRDefault="007A03FC" w:rsidP="007A03FC">
            <w:pPr>
              <w:spacing w:before="20" w:after="20"/>
              <w:ind w:right="130"/>
              <w:jc w:val="right"/>
              <w:rPr>
                <w:rFonts w:ascii="Arial" w:hAnsi="Arial"/>
                <w:sz w:val="20"/>
                <w:lang w:val="pl-PL"/>
              </w:rPr>
            </w:pPr>
            <w:r w:rsidRPr="00765C97">
              <w:rPr>
                <w:rFonts w:ascii="Arial" w:hAnsi="Arial"/>
                <w:sz w:val="20"/>
                <w:lang w:val="pl-PL"/>
              </w:rPr>
              <w:t>6 929</w:t>
            </w:r>
          </w:p>
        </w:tc>
      </w:tr>
      <w:tr w:rsidR="007A03FC" w:rsidRPr="00765C97" w:rsidTr="00C16AA7">
        <w:trPr>
          <w:trHeight w:val="255"/>
        </w:trPr>
        <w:tc>
          <w:tcPr>
            <w:tcW w:w="5065" w:type="dxa"/>
            <w:tcBorders>
              <w:top w:val="nil"/>
              <w:left w:val="nil"/>
              <w:right w:val="nil"/>
            </w:tcBorders>
            <w:vAlign w:val="center"/>
          </w:tcPr>
          <w:p w:rsidR="007A03FC" w:rsidRPr="00765C97" w:rsidRDefault="007A03FC">
            <w:pPr>
              <w:tabs>
                <w:tab w:val="left" w:pos="993"/>
                <w:tab w:val="left" w:pos="1152"/>
              </w:tabs>
              <w:spacing w:before="20" w:after="20"/>
              <w:rPr>
                <w:rFonts w:ascii="Arial" w:hAnsi="Arial"/>
                <w:sz w:val="20"/>
                <w:lang w:val="pl-PL"/>
              </w:rPr>
            </w:pPr>
            <w:r w:rsidRPr="00765C97">
              <w:rPr>
                <w:rFonts w:ascii="Arial" w:hAnsi="Arial"/>
                <w:sz w:val="20"/>
                <w:lang w:val="pl-PL"/>
              </w:rPr>
              <w:t>Pozostałe koszty</w:t>
            </w:r>
          </w:p>
        </w:tc>
        <w:tc>
          <w:tcPr>
            <w:tcW w:w="1710" w:type="dxa"/>
            <w:tcBorders>
              <w:top w:val="nil"/>
              <w:left w:val="nil"/>
              <w:bottom w:val="single" w:sz="2" w:space="0" w:color="auto"/>
              <w:right w:val="nil"/>
            </w:tcBorders>
            <w:vAlign w:val="center"/>
          </w:tcPr>
          <w:p w:rsidR="007A03FC" w:rsidRPr="00765C97" w:rsidRDefault="00CF3450" w:rsidP="001F3805">
            <w:pPr>
              <w:spacing w:before="20" w:after="20"/>
              <w:ind w:right="130"/>
              <w:jc w:val="right"/>
              <w:rPr>
                <w:rFonts w:ascii="Arial" w:hAnsi="Arial"/>
                <w:sz w:val="20"/>
                <w:lang w:val="pl-PL"/>
              </w:rPr>
            </w:pPr>
            <w:r w:rsidRPr="00765C97">
              <w:rPr>
                <w:rFonts w:ascii="Arial" w:hAnsi="Arial"/>
                <w:sz w:val="20"/>
                <w:lang w:val="pl-PL"/>
              </w:rPr>
              <w:t>39 796</w:t>
            </w:r>
          </w:p>
        </w:tc>
        <w:tc>
          <w:tcPr>
            <w:tcW w:w="1710" w:type="dxa"/>
            <w:tcBorders>
              <w:top w:val="nil"/>
              <w:left w:val="nil"/>
              <w:bottom w:val="single" w:sz="2" w:space="0" w:color="auto"/>
              <w:right w:val="nil"/>
            </w:tcBorders>
            <w:vAlign w:val="center"/>
          </w:tcPr>
          <w:p w:rsidR="007A03FC" w:rsidRPr="00765C97" w:rsidRDefault="007A03FC" w:rsidP="007A03FC">
            <w:pPr>
              <w:spacing w:before="20" w:after="20"/>
              <w:ind w:right="130"/>
              <w:jc w:val="right"/>
              <w:rPr>
                <w:rFonts w:ascii="Arial" w:hAnsi="Arial"/>
                <w:sz w:val="20"/>
                <w:lang w:val="pl-PL"/>
              </w:rPr>
            </w:pPr>
            <w:r w:rsidRPr="00765C97">
              <w:rPr>
                <w:rFonts w:ascii="Arial" w:hAnsi="Arial"/>
                <w:sz w:val="20"/>
                <w:lang w:val="pl-PL"/>
              </w:rPr>
              <w:t>30 599</w:t>
            </w:r>
          </w:p>
        </w:tc>
      </w:tr>
      <w:tr w:rsidR="007A03FC" w:rsidRPr="00765C97" w:rsidTr="00C16AA7">
        <w:trPr>
          <w:trHeight w:val="255"/>
        </w:trPr>
        <w:tc>
          <w:tcPr>
            <w:tcW w:w="5065" w:type="dxa"/>
            <w:tcBorders>
              <w:left w:val="nil"/>
              <w:right w:val="nil"/>
            </w:tcBorders>
            <w:vAlign w:val="center"/>
          </w:tcPr>
          <w:p w:rsidR="007A03FC" w:rsidRPr="00765C97" w:rsidRDefault="007A03FC">
            <w:pPr>
              <w:spacing w:before="20" w:after="20"/>
              <w:rPr>
                <w:rFonts w:ascii="Arial" w:hAnsi="Arial"/>
                <w:b/>
                <w:sz w:val="20"/>
                <w:lang w:val="pl-PL"/>
              </w:rPr>
            </w:pPr>
            <w:r w:rsidRPr="00765C97">
              <w:rPr>
                <w:rFonts w:ascii="Arial" w:hAnsi="Arial"/>
                <w:b/>
                <w:spacing w:val="-1"/>
                <w:sz w:val="20"/>
                <w:lang w:val="pl-PL"/>
              </w:rPr>
              <w:t xml:space="preserve">Koszty sprzedanych produktów, usług, marketingu i dystrybucji oraz </w:t>
            </w:r>
            <w:r w:rsidRPr="00765C97">
              <w:rPr>
                <w:rFonts w:ascii="Arial" w:hAnsi="Arial"/>
                <w:b/>
                <w:sz w:val="20"/>
                <w:lang w:val="pl-PL"/>
              </w:rPr>
              <w:t>koszty ogólnego zarządu, w tym:</w:t>
            </w:r>
          </w:p>
        </w:tc>
        <w:tc>
          <w:tcPr>
            <w:tcW w:w="1710" w:type="dxa"/>
            <w:tcBorders>
              <w:top w:val="single" w:sz="2" w:space="0" w:color="auto"/>
              <w:left w:val="nil"/>
              <w:bottom w:val="single" w:sz="2" w:space="0" w:color="auto"/>
              <w:right w:val="nil"/>
            </w:tcBorders>
            <w:vAlign w:val="center"/>
          </w:tcPr>
          <w:p w:rsidR="007A03FC" w:rsidRPr="00765C97" w:rsidRDefault="00924571" w:rsidP="001F3805">
            <w:pPr>
              <w:spacing w:before="20" w:after="20"/>
              <w:ind w:right="130"/>
              <w:jc w:val="right"/>
              <w:rPr>
                <w:rFonts w:ascii="Arial" w:hAnsi="Arial"/>
                <w:b/>
                <w:sz w:val="20"/>
                <w:lang w:val="pl-PL"/>
              </w:rPr>
            </w:pPr>
            <w:r w:rsidRPr="00765C97">
              <w:rPr>
                <w:rFonts w:ascii="Arial" w:hAnsi="Arial"/>
                <w:b/>
                <w:sz w:val="20"/>
                <w:lang w:val="pl-PL"/>
              </w:rPr>
              <w:t>627 283</w:t>
            </w:r>
          </w:p>
        </w:tc>
        <w:tc>
          <w:tcPr>
            <w:tcW w:w="1710" w:type="dxa"/>
            <w:tcBorders>
              <w:top w:val="single" w:sz="2" w:space="0" w:color="auto"/>
              <w:left w:val="nil"/>
              <w:bottom w:val="single" w:sz="2" w:space="0" w:color="auto"/>
              <w:right w:val="nil"/>
            </w:tcBorders>
            <w:vAlign w:val="center"/>
          </w:tcPr>
          <w:p w:rsidR="007A03FC" w:rsidRPr="00765C97" w:rsidRDefault="007A03FC" w:rsidP="007A03FC">
            <w:pPr>
              <w:spacing w:before="20" w:after="20"/>
              <w:ind w:right="130"/>
              <w:jc w:val="right"/>
              <w:rPr>
                <w:rFonts w:ascii="Arial" w:hAnsi="Arial"/>
                <w:b/>
                <w:sz w:val="20"/>
                <w:lang w:val="pl-PL"/>
              </w:rPr>
            </w:pPr>
            <w:r w:rsidRPr="00765C97">
              <w:rPr>
                <w:rFonts w:ascii="Arial" w:hAnsi="Arial"/>
                <w:b/>
                <w:sz w:val="20"/>
                <w:lang w:val="pl-PL"/>
              </w:rPr>
              <w:t>618 873</w:t>
            </w:r>
          </w:p>
        </w:tc>
      </w:tr>
      <w:tr w:rsidR="007A03FC" w:rsidRPr="00765C97" w:rsidTr="00C16AA7">
        <w:trPr>
          <w:trHeight w:val="255"/>
        </w:trPr>
        <w:tc>
          <w:tcPr>
            <w:tcW w:w="5065" w:type="dxa"/>
            <w:tcBorders>
              <w:left w:val="nil"/>
              <w:bottom w:val="nil"/>
              <w:right w:val="nil"/>
            </w:tcBorders>
            <w:vAlign w:val="center"/>
          </w:tcPr>
          <w:p w:rsidR="007A03FC" w:rsidRPr="00765C97" w:rsidRDefault="007A03FC">
            <w:pPr>
              <w:spacing w:before="20" w:after="20"/>
              <w:rPr>
                <w:rFonts w:ascii="Arial" w:hAnsi="Arial"/>
                <w:i/>
                <w:spacing w:val="2"/>
                <w:sz w:val="18"/>
                <w:szCs w:val="18"/>
                <w:lang w:val="pl-PL"/>
              </w:rPr>
            </w:pPr>
            <w:r w:rsidRPr="00765C97">
              <w:rPr>
                <w:rFonts w:ascii="Arial" w:hAnsi="Arial"/>
                <w:i/>
                <w:spacing w:val="2"/>
                <w:sz w:val="18"/>
                <w:szCs w:val="18"/>
                <w:lang w:val="pl-PL"/>
              </w:rPr>
              <w:t xml:space="preserve">     - koszt wytworzenia</w:t>
            </w:r>
          </w:p>
        </w:tc>
        <w:tc>
          <w:tcPr>
            <w:tcW w:w="1710" w:type="dxa"/>
            <w:tcBorders>
              <w:top w:val="single" w:sz="2" w:space="0" w:color="auto"/>
              <w:left w:val="nil"/>
              <w:bottom w:val="nil"/>
              <w:right w:val="nil"/>
            </w:tcBorders>
            <w:vAlign w:val="center"/>
          </w:tcPr>
          <w:p w:rsidR="007A03FC" w:rsidRPr="00765C97" w:rsidRDefault="00924571" w:rsidP="001F3805">
            <w:pPr>
              <w:spacing w:before="20" w:after="20"/>
              <w:ind w:right="130"/>
              <w:jc w:val="right"/>
              <w:rPr>
                <w:rFonts w:ascii="Arial" w:hAnsi="Arial"/>
                <w:i/>
                <w:sz w:val="18"/>
                <w:szCs w:val="18"/>
                <w:lang w:val="pl-PL"/>
              </w:rPr>
            </w:pPr>
            <w:r w:rsidRPr="00765C97">
              <w:rPr>
                <w:rFonts w:ascii="Arial" w:hAnsi="Arial"/>
                <w:i/>
                <w:sz w:val="18"/>
                <w:szCs w:val="18"/>
                <w:lang w:val="pl-PL"/>
              </w:rPr>
              <w:t>469 432</w:t>
            </w:r>
          </w:p>
        </w:tc>
        <w:tc>
          <w:tcPr>
            <w:tcW w:w="1710" w:type="dxa"/>
            <w:tcBorders>
              <w:top w:val="single" w:sz="2" w:space="0" w:color="auto"/>
              <w:left w:val="nil"/>
              <w:bottom w:val="nil"/>
              <w:right w:val="nil"/>
            </w:tcBorders>
            <w:vAlign w:val="center"/>
          </w:tcPr>
          <w:p w:rsidR="007A03FC" w:rsidRPr="00765C97" w:rsidRDefault="007A03FC" w:rsidP="007A03FC">
            <w:pPr>
              <w:spacing w:before="20" w:after="20"/>
              <w:ind w:right="130"/>
              <w:jc w:val="right"/>
              <w:rPr>
                <w:rFonts w:ascii="Arial" w:hAnsi="Arial"/>
                <w:i/>
                <w:sz w:val="18"/>
                <w:szCs w:val="18"/>
                <w:lang w:val="pl-PL"/>
              </w:rPr>
            </w:pPr>
            <w:r w:rsidRPr="00765C97">
              <w:rPr>
                <w:rFonts w:ascii="Arial" w:hAnsi="Arial"/>
                <w:i/>
                <w:sz w:val="18"/>
                <w:szCs w:val="18"/>
                <w:lang w:val="pl-PL"/>
              </w:rPr>
              <w:t>458 311</w:t>
            </w:r>
          </w:p>
        </w:tc>
      </w:tr>
      <w:tr w:rsidR="007A03FC" w:rsidRPr="00765C97" w:rsidTr="00C16AA7">
        <w:trPr>
          <w:trHeight w:val="255"/>
        </w:trPr>
        <w:tc>
          <w:tcPr>
            <w:tcW w:w="5065" w:type="dxa"/>
            <w:tcBorders>
              <w:left w:val="nil"/>
              <w:bottom w:val="nil"/>
              <w:right w:val="nil"/>
            </w:tcBorders>
            <w:vAlign w:val="center"/>
          </w:tcPr>
          <w:p w:rsidR="007A03FC" w:rsidRPr="00765C97" w:rsidRDefault="007A03FC">
            <w:pPr>
              <w:spacing w:before="20" w:after="20"/>
              <w:rPr>
                <w:rFonts w:ascii="Arial" w:hAnsi="Arial"/>
                <w:i/>
                <w:spacing w:val="2"/>
                <w:sz w:val="18"/>
                <w:szCs w:val="18"/>
                <w:lang w:val="pl-PL"/>
              </w:rPr>
            </w:pPr>
            <w:r w:rsidRPr="00765C97">
              <w:rPr>
                <w:rFonts w:ascii="Arial" w:hAnsi="Arial"/>
                <w:i/>
                <w:spacing w:val="2"/>
                <w:sz w:val="18"/>
                <w:szCs w:val="18"/>
                <w:lang w:val="pl-PL"/>
              </w:rPr>
              <w:t xml:space="preserve">     - koszty sprzedaży</w:t>
            </w:r>
          </w:p>
        </w:tc>
        <w:tc>
          <w:tcPr>
            <w:tcW w:w="1710" w:type="dxa"/>
            <w:tcBorders>
              <w:left w:val="nil"/>
              <w:bottom w:val="nil"/>
              <w:right w:val="nil"/>
            </w:tcBorders>
            <w:vAlign w:val="center"/>
          </w:tcPr>
          <w:p w:rsidR="007A03FC" w:rsidRPr="00765C97" w:rsidRDefault="00CF3450" w:rsidP="001F3805">
            <w:pPr>
              <w:spacing w:before="20" w:after="20"/>
              <w:ind w:right="130"/>
              <w:jc w:val="right"/>
              <w:rPr>
                <w:rFonts w:ascii="Arial" w:hAnsi="Arial"/>
                <w:i/>
                <w:sz w:val="18"/>
                <w:szCs w:val="18"/>
                <w:lang w:val="pl-PL"/>
              </w:rPr>
            </w:pPr>
            <w:r w:rsidRPr="00765C97">
              <w:rPr>
                <w:rFonts w:ascii="Arial" w:hAnsi="Arial"/>
                <w:i/>
                <w:sz w:val="18"/>
                <w:szCs w:val="18"/>
                <w:lang w:val="pl-PL"/>
              </w:rPr>
              <w:t>85 396</w:t>
            </w:r>
          </w:p>
        </w:tc>
        <w:tc>
          <w:tcPr>
            <w:tcW w:w="1710" w:type="dxa"/>
            <w:tcBorders>
              <w:left w:val="nil"/>
              <w:bottom w:val="nil"/>
              <w:right w:val="nil"/>
            </w:tcBorders>
            <w:vAlign w:val="center"/>
          </w:tcPr>
          <w:p w:rsidR="007A03FC" w:rsidRPr="00765C97" w:rsidRDefault="007A03FC" w:rsidP="007A03FC">
            <w:pPr>
              <w:spacing w:before="20" w:after="20"/>
              <w:ind w:right="130"/>
              <w:jc w:val="right"/>
              <w:rPr>
                <w:rFonts w:ascii="Arial" w:hAnsi="Arial"/>
                <w:i/>
                <w:sz w:val="18"/>
                <w:szCs w:val="18"/>
                <w:lang w:val="pl-PL"/>
              </w:rPr>
            </w:pPr>
            <w:r w:rsidRPr="00765C97">
              <w:rPr>
                <w:rFonts w:ascii="Arial" w:hAnsi="Arial"/>
                <w:i/>
                <w:sz w:val="18"/>
                <w:szCs w:val="18"/>
                <w:lang w:val="pl-PL"/>
              </w:rPr>
              <w:t>82 683</w:t>
            </w:r>
          </w:p>
        </w:tc>
      </w:tr>
      <w:tr w:rsidR="007A03FC" w:rsidRPr="00765C97" w:rsidTr="00C16AA7">
        <w:trPr>
          <w:trHeight w:val="255"/>
        </w:trPr>
        <w:tc>
          <w:tcPr>
            <w:tcW w:w="5065" w:type="dxa"/>
            <w:tcBorders>
              <w:left w:val="nil"/>
              <w:right w:val="nil"/>
            </w:tcBorders>
            <w:vAlign w:val="center"/>
          </w:tcPr>
          <w:p w:rsidR="007A03FC" w:rsidRPr="00765C97" w:rsidRDefault="007A03FC">
            <w:pPr>
              <w:spacing w:before="20" w:after="20"/>
              <w:rPr>
                <w:rFonts w:ascii="Arial" w:hAnsi="Arial"/>
                <w:i/>
                <w:spacing w:val="2"/>
                <w:sz w:val="18"/>
                <w:szCs w:val="18"/>
                <w:lang w:val="pl-PL"/>
              </w:rPr>
            </w:pPr>
            <w:r w:rsidRPr="00765C97">
              <w:rPr>
                <w:rFonts w:ascii="Arial" w:hAnsi="Arial"/>
                <w:i/>
                <w:spacing w:val="2"/>
                <w:sz w:val="18"/>
                <w:szCs w:val="18"/>
                <w:lang w:val="pl-PL"/>
              </w:rPr>
              <w:t xml:space="preserve">     - koszty ogólne</w:t>
            </w:r>
          </w:p>
        </w:tc>
        <w:tc>
          <w:tcPr>
            <w:tcW w:w="1710" w:type="dxa"/>
            <w:tcBorders>
              <w:left w:val="nil"/>
              <w:right w:val="nil"/>
            </w:tcBorders>
            <w:vAlign w:val="center"/>
          </w:tcPr>
          <w:p w:rsidR="007A03FC" w:rsidRPr="00765C97" w:rsidRDefault="00CF3450" w:rsidP="001F3805">
            <w:pPr>
              <w:spacing w:before="20" w:after="20"/>
              <w:ind w:right="130"/>
              <w:jc w:val="right"/>
              <w:rPr>
                <w:rFonts w:ascii="Arial" w:hAnsi="Arial"/>
                <w:i/>
                <w:sz w:val="18"/>
                <w:szCs w:val="18"/>
                <w:lang w:val="pl-PL"/>
              </w:rPr>
            </w:pPr>
            <w:r w:rsidRPr="00765C97">
              <w:rPr>
                <w:rFonts w:ascii="Arial" w:hAnsi="Arial"/>
                <w:i/>
                <w:sz w:val="18"/>
                <w:szCs w:val="18"/>
                <w:lang w:val="pl-PL"/>
              </w:rPr>
              <w:t>73 295</w:t>
            </w:r>
          </w:p>
        </w:tc>
        <w:tc>
          <w:tcPr>
            <w:tcW w:w="1710" w:type="dxa"/>
            <w:tcBorders>
              <w:left w:val="nil"/>
              <w:right w:val="nil"/>
            </w:tcBorders>
            <w:vAlign w:val="center"/>
          </w:tcPr>
          <w:p w:rsidR="007A03FC" w:rsidRPr="00765C97" w:rsidRDefault="007A03FC" w:rsidP="007A03FC">
            <w:pPr>
              <w:spacing w:before="20" w:after="20"/>
              <w:ind w:right="130"/>
              <w:jc w:val="right"/>
              <w:rPr>
                <w:rFonts w:ascii="Arial" w:hAnsi="Arial"/>
                <w:i/>
                <w:sz w:val="18"/>
                <w:szCs w:val="18"/>
                <w:lang w:val="pl-PL"/>
              </w:rPr>
            </w:pPr>
            <w:r w:rsidRPr="00765C97">
              <w:rPr>
                <w:rFonts w:ascii="Arial" w:hAnsi="Arial"/>
                <w:i/>
                <w:sz w:val="18"/>
                <w:szCs w:val="18"/>
                <w:lang w:val="pl-PL"/>
              </w:rPr>
              <w:t>74 681</w:t>
            </w:r>
          </w:p>
        </w:tc>
      </w:tr>
      <w:tr w:rsidR="007A03FC" w:rsidRPr="00765C97" w:rsidTr="00C16AA7">
        <w:trPr>
          <w:trHeight w:val="255"/>
        </w:trPr>
        <w:tc>
          <w:tcPr>
            <w:tcW w:w="5065" w:type="dxa"/>
            <w:tcBorders>
              <w:left w:val="nil"/>
              <w:bottom w:val="nil"/>
              <w:right w:val="nil"/>
            </w:tcBorders>
            <w:vAlign w:val="center"/>
          </w:tcPr>
          <w:p w:rsidR="007A03FC" w:rsidRPr="00765C97" w:rsidRDefault="007A03FC">
            <w:pPr>
              <w:spacing w:before="20" w:after="20"/>
              <w:rPr>
                <w:rFonts w:ascii="Arial" w:hAnsi="Arial"/>
                <w:i/>
                <w:color w:val="000000"/>
                <w:spacing w:val="2"/>
                <w:sz w:val="18"/>
                <w:szCs w:val="18"/>
                <w:lang w:val="pl-PL"/>
              </w:rPr>
            </w:pPr>
            <w:r w:rsidRPr="00765C97">
              <w:rPr>
                <w:rFonts w:ascii="Arial" w:hAnsi="Arial"/>
                <w:i/>
                <w:color w:val="000000"/>
                <w:spacing w:val="2"/>
                <w:sz w:val="18"/>
                <w:szCs w:val="18"/>
                <w:lang w:val="pl-PL"/>
              </w:rPr>
              <w:t xml:space="preserve">     - różnice kursowe od zobowiązań</w:t>
            </w:r>
          </w:p>
        </w:tc>
        <w:tc>
          <w:tcPr>
            <w:tcW w:w="1710" w:type="dxa"/>
            <w:tcBorders>
              <w:left w:val="nil"/>
              <w:bottom w:val="single" w:sz="2" w:space="0" w:color="auto"/>
              <w:right w:val="nil"/>
            </w:tcBorders>
            <w:vAlign w:val="center"/>
          </w:tcPr>
          <w:p w:rsidR="007A03FC" w:rsidRPr="00765C97" w:rsidRDefault="00CF3450" w:rsidP="001F3805">
            <w:pPr>
              <w:spacing w:before="20" w:after="20"/>
              <w:ind w:right="130"/>
              <w:jc w:val="right"/>
              <w:rPr>
                <w:rFonts w:ascii="Arial" w:hAnsi="Arial"/>
                <w:i/>
                <w:color w:val="000000"/>
                <w:sz w:val="18"/>
                <w:szCs w:val="18"/>
                <w:lang w:val="pl-PL"/>
              </w:rPr>
            </w:pPr>
            <w:r w:rsidRPr="00765C97">
              <w:rPr>
                <w:rFonts w:ascii="Arial" w:hAnsi="Arial"/>
                <w:i/>
                <w:color w:val="000000"/>
                <w:sz w:val="18"/>
                <w:szCs w:val="18"/>
                <w:lang w:val="pl-PL"/>
              </w:rPr>
              <w:t>(840)</w:t>
            </w:r>
          </w:p>
        </w:tc>
        <w:tc>
          <w:tcPr>
            <w:tcW w:w="1710" w:type="dxa"/>
            <w:tcBorders>
              <w:left w:val="nil"/>
              <w:bottom w:val="single" w:sz="2" w:space="0" w:color="auto"/>
              <w:right w:val="nil"/>
            </w:tcBorders>
            <w:vAlign w:val="center"/>
          </w:tcPr>
          <w:p w:rsidR="007A03FC" w:rsidRPr="00765C97" w:rsidRDefault="007A03FC" w:rsidP="007A03FC">
            <w:pPr>
              <w:spacing w:before="20" w:after="20"/>
              <w:ind w:right="130"/>
              <w:jc w:val="right"/>
              <w:rPr>
                <w:rFonts w:ascii="Arial" w:hAnsi="Arial"/>
                <w:i/>
                <w:color w:val="000000"/>
                <w:sz w:val="18"/>
                <w:szCs w:val="18"/>
                <w:lang w:val="pl-PL"/>
              </w:rPr>
            </w:pPr>
            <w:r w:rsidRPr="00765C97">
              <w:rPr>
                <w:rFonts w:ascii="Arial" w:hAnsi="Arial"/>
                <w:i/>
                <w:color w:val="000000"/>
                <w:sz w:val="18"/>
                <w:szCs w:val="18"/>
                <w:lang w:val="pl-PL"/>
              </w:rPr>
              <w:t>3 198</w:t>
            </w:r>
          </w:p>
        </w:tc>
      </w:tr>
      <w:tr w:rsidR="007A03FC" w:rsidRPr="00765C97" w:rsidTr="00C16AA7">
        <w:trPr>
          <w:trHeight w:val="255"/>
        </w:trPr>
        <w:tc>
          <w:tcPr>
            <w:tcW w:w="5065" w:type="dxa"/>
            <w:tcBorders>
              <w:left w:val="nil"/>
              <w:bottom w:val="nil"/>
              <w:right w:val="nil"/>
            </w:tcBorders>
            <w:vAlign w:val="center"/>
          </w:tcPr>
          <w:p w:rsidR="007A03FC" w:rsidRPr="00765C97" w:rsidRDefault="007A03FC">
            <w:pPr>
              <w:spacing w:before="20" w:after="20"/>
              <w:rPr>
                <w:rFonts w:ascii="Arial" w:hAnsi="Arial"/>
                <w:b/>
                <w:spacing w:val="2"/>
                <w:sz w:val="20"/>
                <w:lang w:val="pl-PL"/>
              </w:rPr>
            </w:pPr>
            <w:r w:rsidRPr="00765C97">
              <w:rPr>
                <w:rFonts w:ascii="Arial" w:hAnsi="Arial"/>
                <w:b/>
                <w:spacing w:val="2"/>
                <w:sz w:val="20"/>
                <w:lang w:val="pl-PL"/>
              </w:rPr>
              <w:t>I/2 Koszt sprzedanych towarów i materiałów</w:t>
            </w:r>
          </w:p>
        </w:tc>
        <w:tc>
          <w:tcPr>
            <w:tcW w:w="1710" w:type="dxa"/>
            <w:tcBorders>
              <w:left w:val="nil"/>
              <w:bottom w:val="single" w:sz="2" w:space="0" w:color="auto"/>
              <w:right w:val="nil"/>
            </w:tcBorders>
            <w:vAlign w:val="center"/>
          </w:tcPr>
          <w:p w:rsidR="007A03FC" w:rsidRPr="00765C97" w:rsidRDefault="00CF3450" w:rsidP="00BA0DE1">
            <w:pPr>
              <w:spacing w:before="20" w:after="20"/>
              <w:ind w:right="130"/>
              <w:jc w:val="right"/>
              <w:rPr>
                <w:rFonts w:ascii="Arial" w:hAnsi="Arial"/>
                <w:b/>
                <w:sz w:val="20"/>
                <w:lang w:val="pl-PL"/>
              </w:rPr>
            </w:pPr>
            <w:r w:rsidRPr="00765C97">
              <w:rPr>
                <w:rFonts w:ascii="Arial" w:hAnsi="Arial"/>
                <w:b/>
                <w:sz w:val="20"/>
                <w:lang w:val="pl-PL"/>
              </w:rPr>
              <w:t>209 36</w:t>
            </w:r>
            <w:r w:rsidR="00BA0DE1" w:rsidRPr="00765C97">
              <w:rPr>
                <w:rFonts w:ascii="Arial" w:hAnsi="Arial"/>
                <w:b/>
                <w:sz w:val="20"/>
                <w:lang w:val="pl-PL"/>
              </w:rPr>
              <w:t>3</w:t>
            </w:r>
          </w:p>
        </w:tc>
        <w:tc>
          <w:tcPr>
            <w:tcW w:w="1710" w:type="dxa"/>
            <w:tcBorders>
              <w:left w:val="nil"/>
              <w:bottom w:val="single" w:sz="2" w:space="0" w:color="auto"/>
              <w:right w:val="nil"/>
            </w:tcBorders>
            <w:vAlign w:val="center"/>
          </w:tcPr>
          <w:p w:rsidR="007A03FC" w:rsidRPr="00765C97" w:rsidRDefault="007A03FC" w:rsidP="007A03FC">
            <w:pPr>
              <w:spacing w:before="20" w:after="20"/>
              <w:ind w:right="130"/>
              <w:jc w:val="right"/>
              <w:rPr>
                <w:rFonts w:ascii="Arial" w:hAnsi="Arial"/>
                <w:b/>
                <w:sz w:val="20"/>
                <w:lang w:val="pl-PL"/>
              </w:rPr>
            </w:pPr>
            <w:r w:rsidRPr="00765C97">
              <w:rPr>
                <w:rFonts w:ascii="Arial" w:hAnsi="Arial"/>
                <w:b/>
                <w:sz w:val="20"/>
                <w:lang w:val="pl-PL"/>
              </w:rPr>
              <w:t>113 669</w:t>
            </w:r>
          </w:p>
        </w:tc>
      </w:tr>
      <w:tr w:rsidR="007A03FC" w:rsidRPr="00765C97" w:rsidTr="00C16AA7">
        <w:trPr>
          <w:trHeight w:val="255"/>
        </w:trPr>
        <w:tc>
          <w:tcPr>
            <w:tcW w:w="5065" w:type="dxa"/>
            <w:tcBorders>
              <w:left w:val="nil"/>
              <w:bottom w:val="nil"/>
              <w:right w:val="nil"/>
            </w:tcBorders>
            <w:vAlign w:val="center"/>
          </w:tcPr>
          <w:p w:rsidR="007A03FC" w:rsidRPr="00765C97" w:rsidRDefault="007A03FC">
            <w:pPr>
              <w:spacing w:before="20" w:after="20"/>
              <w:rPr>
                <w:rFonts w:ascii="Arial" w:hAnsi="Arial"/>
                <w:b/>
                <w:spacing w:val="2"/>
                <w:sz w:val="20"/>
                <w:lang w:val="pl-PL"/>
              </w:rPr>
            </w:pPr>
            <w:r w:rsidRPr="00765C97">
              <w:rPr>
                <w:rFonts w:ascii="Arial" w:hAnsi="Arial"/>
                <w:b/>
                <w:spacing w:val="2"/>
                <w:sz w:val="20"/>
                <w:lang w:val="pl-PL"/>
              </w:rPr>
              <w:t>I/3 Koszty realizacji prac w ramach projektów unijnych</w:t>
            </w:r>
          </w:p>
        </w:tc>
        <w:tc>
          <w:tcPr>
            <w:tcW w:w="1710" w:type="dxa"/>
            <w:tcBorders>
              <w:left w:val="nil"/>
              <w:bottom w:val="single" w:sz="2" w:space="0" w:color="auto"/>
              <w:right w:val="nil"/>
            </w:tcBorders>
            <w:vAlign w:val="center"/>
          </w:tcPr>
          <w:p w:rsidR="007A03FC" w:rsidRPr="00765C97" w:rsidRDefault="000D083A" w:rsidP="001F3805">
            <w:pPr>
              <w:spacing w:before="20" w:after="20"/>
              <w:ind w:right="130"/>
              <w:jc w:val="right"/>
              <w:rPr>
                <w:rFonts w:ascii="Arial" w:hAnsi="Arial"/>
                <w:b/>
                <w:sz w:val="20"/>
                <w:lang w:val="pl-PL"/>
              </w:rPr>
            </w:pPr>
            <w:r w:rsidRPr="00765C97">
              <w:rPr>
                <w:rFonts w:ascii="Arial" w:hAnsi="Arial"/>
                <w:b/>
                <w:sz w:val="20"/>
                <w:lang w:val="pl-PL"/>
              </w:rPr>
              <w:t>10 424</w:t>
            </w:r>
          </w:p>
        </w:tc>
        <w:tc>
          <w:tcPr>
            <w:tcW w:w="1710" w:type="dxa"/>
            <w:tcBorders>
              <w:left w:val="nil"/>
              <w:bottom w:val="single" w:sz="2" w:space="0" w:color="auto"/>
              <w:right w:val="nil"/>
            </w:tcBorders>
            <w:vAlign w:val="center"/>
          </w:tcPr>
          <w:p w:rsidR="007A03FC" w:rsidRPr="00765C97" w:rsidRDefault="007A03FC" w:rsidP="007A03FC">
            <w:pPr>
              <w:spacing w:before="20" w:after="20"/>
              <w:ind w:right="130"/>
              <w:jc w:val="right"/>
              <w:rPr>
                <w:rFonts w:ascii="Arial" w:hAnsi="Arial"/>
                <w:b/>
                <w:sz w:val="20"/>
                <w:lang w:val="pl-PL"/>
              </w:rPr>
            </w:pPr>
            <w:r w:rsidRPr="00765C97">
              <w:rPr>
                <w:rFonts w:ascii="Arial" w:hAnsi="Arial"/>
                <w:b/>
                <w:sz w:val="20"/>
                <w:lang w:val="pl-PL"/>
              </w:rPr>
              <w:t>18 398</w:t>
            </w:r>
          </w:p>
        </w:tc>
      </w:tr>
      <w:tr w:rsidR="007A03FC" w:rsidRPr="00765C97" w:rsidTr="00C16AA7">
        <w:trPr>
          <w:trHeight w:val="255"/>
        </w:trPr>
        <w:tc>
          <w:tcPr>
            <w:tcW w:w="5065" w:type="dxa"/>
            <w:tcBorders>
              <w:left w:val="nil"/>
              <w:bottom w:val="nil"/>
              <w:right w:val="nil"/>
            </w:tcBorders>
            <w:vAlign w:val="center"/>
          </w:tcPr>
          <w:p w:rsidR="007A03FC" w:rsidRPr="00765C97" w:rsidRDefault="007A03FC">
            <w:pPr>
              <w:spacing w:before="20" w:after="20"/>
              <w:rPr>
                <w:rFonts w:ascii="Arial" w:hAnsi="Arial"/>
                <w:b/>
                <w:spacing w:val="2"/>
                <w:sz w:val="20"/>
                <w:lang w:val="pl-PL"/>
              </w:rPr>
            </w:pPr>
            <w:r w:rsidRPr="00765C97">
              <w:rPr>
                <w:rFonts w:ascii="Arial" w:hAnsi="Arial"/>
                <w:b/>
                <w:spacing w:val="2"/>
                <w:sz w:val="20"/>
                <w:lang w:val="pl-PL"/>
              </w:rPr>
              <w:t>I/4 Łączne koszty sprzedanych produktów, usług, marketingu, ogólnego zarządu, towarów i materiałów oraz realizacji prac w ramach projektów unijnych</w:t>
            </w:r>
          </w:p>
        </w:tc>
        <w:tc>
          <w:tcPr>
            <w:tcW w:w="1710" w:type="dxa"/>
            <w:tcBorders>
              <w:left w:val="nil"/>
              <w:right w:val="nil"/>
            </w:tcBorders>
            <w:vAlign w:val="center"/>
          </w:tcPr>
          <w:p w:rsidR="007A03FC" w:rsidRPr="00765C97" w:rsidRDefault="000D083A" w:rsidP="00BA0DE1">
            <w:pPr>
              <w:spacing w:before="20" w:after="20"/>
              <w:ind w:right="130"/>
              <w:jc w:val="right"/>
              <w:rPr>
                <w:rFonts w:ascii="Arial" w:hAnsi="Arial"/>
                <w:b/>
                <w:sz w:val="20"/>
                <w:lang w:val="pl-PL"/>
              </w:rPr>
            </w:pPr>
            <w:r w:rsidRPr="00765C97">
              <w:rPr>
                <w:rFonts w:ascii="Arial" w:hAnsi="Arial"/>
                <w:b/>
                <w:sz w:val="20"/>
                <w:lang w:val="pl-PL"/>
              </w:rPr>
              <w:t xml:space="preserve">847 </w:t>
            </w:r>
            <w:r w:rsidR="00924571" w:rsidRPr="00765C97">
              <w:rPr>
                <w:rFonts w:ascii="Arial" w:hAnsi="Arial"/>
                <w:b/>
                <w:sz w:val="20"/>
                <w:lang w:val="pl-PL"/>
              </w:rPr>
              <w:t>0</w:t>
            </w:r>
            <w:r w:rsidR="00BA0DE1" w:rsidRPr="00765C97">
              <w:rPr>
                <w:rFonts w:ascii="Arial" w:hAnsi="Arial"/>
                <w:b/>
                <w:sz w:val="20"/>
                <w:lang w:val="pl-PL"/>
              </w:rPr>
              <w:t>70</w:t>
            </w:r>
          </w:p>
        </w:tc>
        <w:tc>
          <w:tcPr>
            <w:tcW w:w="1710" w:type="dxa"/>
            <w:tcBorders>
              <w:left w:val="nil"/>
              <w:right w:val="nil"/>
            </w:tcBorders>
            <w:vAlign w:val="center"/>
          </w:tcPr>
          <w:p w:rsidR="007A03FC" w:rsidRPr="00765C97" w:rsidRDefault="007A03FC" w:rsidP="007A03FC">
            <w:pPr>
              <w:spacing w:before="20" w:after="20"/>
              <w:ind w:right="130"/>
              <w:jc w:val="right"/>
              <w:rPr>
                <w:rFonts w:ascii="Arial" w:hAnsi="Arial"/>
                <w:b/>
                <w:sz w:val="20"/>
                <w:lang w:val="pl-PL"/>
              </w:rPr>
            </w:pPr>
            <w:r w:rsidRPr="00765C97">
              <w:rPr>
                <w:rFonts w:ascii="Arial" w:hAnsi="Arial"/>
                <w:b/>
                <w:sz w:val="20"/>
                <w:lang w:val="pl-PL"/>
              </w:rPr>
              <w:t>750 940</w:t>
            </w:r>
          </w:p>
        </w:tc>
      </w:tr>
      <w:tr w:rsidR="003F70E6" w:rsidRPr="00765C97" w:rsidTr="00C16AA7">
        <w:trPr>
          <w:trHeight w:val="255"/>
        </w:trPr>
        <w:tc>
          <w:tcPr>
            <w:tcW w:w="5065" w:type="dxa"/>
            <w:tcBorders>
              <w:left w:val="nil"/>
              <w:right w:val="nil"/>
            </w:tcBorders>
            <w:vAlign w:val="center"/>
          </w:tcPr>
          <w:p w:rsidR="003F70E6" w:rsidRPr="00765C97" w:rsidRDefault="003F70E6">
            <w:pPr>
              <w:spacing w:before="20" w:after="20"/>
              <w:rPr>
                <w:rFonts w:ascii="Arial" w:hAnsi="Arial"/>
                <w:b/>
                <w:spacing w:val="2"/>
                <w:sz w:val="20"/>
                <w:lang w:val="pl-PL"/>
              </w:rPr>
            </w:pPr>
            <w:r w:rsidRPr="00765C97">
              <w:br w:type="page"/>
            </w:r>
            <w:r w:rsidRPr="00765C97">
              <w:rPr>
                <w:rFonts w:ascii="Arial" w:hAnsi="Arial"/>
                <w:b/>
                <w:spacing w:val="2"/>
                <w:sz w:val="20"/>
                <w:lang w:val="pl-PL"/>
              </w:rPr>
              <w:t>II. Koszty świadczeń pracowniczych</w:t>
            </w:r>
          </w:p>
        </w:tc>
        <w:tc>
          <w:tcPr>
            <w:tcW w:w="1710" w:type="dxa"/>
            <w:tcBorders>
              <w:left w:val="nil"/>
              <w:bottom w:val="nil"/>
              <w:right w:val="nil"/>
            </w:tcBorders>
            <w:vAlign w:val="center"/>
          </w:tcPr>
          <w:p w:rsidR="003F70E6" w:rsidRPr="00765C97" w:rsidRDefault="003F70E6">
            <w:pPr>
              <w:ind w:right="130"/>
              <w:jc w:val="right"/>
              <w:rPr>
                <w:rFonts w:ascii="Arial" w:hAnsi="Arial"/>
                <w:b/>
                <w:sz w:val="20"/>
                <w:lang w:val="pl-PL"/>
              </w:rPr>
            </w:pPr>
            <w:r w:rsidRPr="00765C97">
              <w:rPr>
                <w:rFonts w:ascii="Arial" w:hAnsi="Arial"/>
                <w:b/>
                <w:sz w:val="20"/>
                <w:lang w:val="pl-PL"/>
              </w:rPr>
              <w:t>12 miesięcy</w:t>
            </w:r>
          </w:p>
          <w:p w:rsidR="003F70E6" w:rsidRPr="00765C97" w:rsidRDefault="003F70E6" w:rsidP="007A03FC">
            <w:pPr>
              <w:ind w:right="130"/>
              <w:jc w:val="right"/>
              <w:rPr>
                <w:rFonts w:ascii="Arial" w:hAnsi="Arial"/>
                <w:b/>
                <w:sz w:val="20"/>
                <w:lang w:val="pl-PL"/>
              </w:rPr>
            </w:pPr>
            <w:r w:rsidRPr="00765C97">
              <w:rPr>
                <w:rFonts w:ascii="Arial" w:hAnsi="Arial"/>
                <w:b/>
                <w:sz w:val="20"/>
                <w:lang w:val="pl-PL"/>
              </w:rPr>
              <w:t>201</w:t>
            </w:r>
            <w:r w:rsidR="007A03FC" w:rsidRPr="00765C97">
              <w:rPr>
                <w:rFonts w:ascii="Arial" w:hAnsi="Arial"/>
                <w:b/>
                <w:sz w:val="20"/>
                <w:lang w:val="pl-PL"/>
              </w:rPr>
              <w:t>2</w:t>
            </w:r>
          </w:p>
        </w:tc>
        <w:tc>
          <w:tcPr>
            <w:tcW w:w="1710" w:type="dxa"/>
            <w:tcBorders>
              <w:left w:val="nil"/>
              <w:right w:val="nil"/>
            </w:tcBorders>
            <w:vAlign w:val="center"/>
          </w:tcPr>
          <w:p w:rsidR="003F70E6" w:rsidRPr="00765C97" w:rsidRDefault="003F70E6">
            <w:pPr>
              <w:ind w:right="130"/>
              <w:jc w:val="right"/>
              <w:rPr>
                <w:rFonts w:ascii="Arial" w:hAnsi="Arial"/>
                <w:b/>
                <w:sz w:val="20"/>
                <w:lang w:val="pl-PL"/>
              </w:rPr>
            </w:pPr>
            <w:r w:rsidRPr="00765C97">
              <w:rPr>
                <w:rFonts w:ascii="Arial" w:hAnsi="Arial"/>
                <w:b/>
                <w:sz w:val="20"/>
                <w:lang w:val="pl-PL"/>
              </w:rPr>
              <w:t>12 miesięcy</w:t>
            </w:r>
          </w:p>
          <w:p w:rsidR="003F70E6" w:rsidRPr="00765C97" w:rsidRDefault="003F70E6" w:rsidP="007A03FC">
            <w:pPr>
              <w:ind w:right="130"/>
              <w:jc w:val="right"/>
              <w:rPr>
                <w:rFonts w:ascii="Arial" w:hAnsi="Arial"/>
                <w:b/>
                <w:sz w:val="20"/>
                <w:lang w:val="pl-PL"/>
              </w:rPr>
            </w:pPr>
            <w:r w:rsidRPr="00765C97">
              <w:rPr>
                <w:rFonts w:ascii="Arial" w:hAnsi="Arial"/>
                <w:b/>
                <w:sz w:val="20"/>
                <w:lang w:val="pl-PL"/>
              </w:rPr>
              <w:t>20</w:t>
            </w:r>
            <w:r w:rsidR="00372F12" w:rsidRPr="00765C97">
              <w:rPr>
                <w:rFonts w:ascii="Arial" w:hAnsi="Arial"/>
                <w:b/>
                <w:sz w:val="20"/>
                <w:lang w:val="pl-PL"/>
              </w:rPr>
              <w:t>1</w:t>
            </w:r>
            <w:r w:rsidR="007A03FC" w:rsidRPr="00765C97">
              <w:rPr>
                <w:rFonts w:ascii="Arial" w:hAnsi="Arial"/>
                <w:b/>
                <w:sz w:val="20"/>
                <w:lang w:val="pl-PL"/>
              </w:rPr>
              <w:t>1</w:t>
            </w:r>
          </w:p>
        </w:tc>
      </w:tr>
      <w:tr w:rsidR="007A03FC" w:rsidRPr="00765C97" w:rsidTr="00C16AA7">
        <w:trPr>
          <w:trHeight w:val="255"/>
        </w:trPr>
        <w:tc>
          <w:tcPr>
            <w:tcW w:w="5065" w:type="dxa"/>
            <w:tcBorders>
              <w:top w:val="nil"/>
              <w:left w:val="nil"/>
              <w:bottom w:val="nil"/>
              <w:right w:val="nil"/>
            </w:tcBorders>
            <w:vAlign w:val="center"/>
          </w:tcPr>
          <w:p w:rsidR="007A03FC" w:rsidRPr="00765C97" w:rsidRDefault="007A03FC">
            <w:pPr>
              <w:spacing w:before="20" w:after="20"/>
              <w:ind w:left="993" w:hanging="993"/>
              <w:rPr>
                <w:rFonts w:ascii="Arial" w:hAnsi="Arial"/>
                <w:spacing w:val="-1"/>
                <w:sz w:val="20"/>
                <w:lang w:val="pl-PL"/>
              </w:rPr>
            </w:pPr>
            <w:r w:rsidRPr="00765C97">
              <w:rPr>
                <w:rFonts w:ascii="Arial" w:hAnsi="Arial"/>
                <w:spacing w:val="-2"/>
                <w:sz w:val="20"/>
                <w:lang w:val="pl-PL"/>
              </w:rPr>
              <w:t>Koszty wynagrodzeń</w:t>
            </w:r>
          </w:p>
        </w:tc>
        <w:tc>
          <w:tcPr>
            <w:tcW w:w="1710" w:type="dxa"/>
            <w:tcBorders>
              <w:top w:val="nil"/>
              <w:left w:val="nil"/>
              <w:bottom w:val="nil"/>
              <w:right w:val="nil"/>
            </w:tcBorders>
            <w:vAlign w:val="center"/>
          </w:tcPr>
          <w:p w:rsidR="007A03FC" w:rsidRPr="00765C97" w:rsidRDefault="00640AFB">
            <w:pPr>
              <w:spacing w:before="20" w:after="20"/>
              <w:ind w:right="130"/>
              <w:jc w:val="right"/>
              <w:rPr>
                <w:rFonts w:ascii="Arial" w:hAnsi="Arial"/>
                <w:sz w:val="20"/>
                <w:lang w:val="pl-PL"/>
              </w:rPr>
            </w:pPr>
            <w:r w:rsidRPr="00765C97">
              <w:rPr>
                <w:rFonts w:ascii="Arial" w:hAnsi="Arial"/>
                <w:sz w:val="20"/>
                <w:lang w:val="pl-PL"/>
              </w:rPr>
              <w:t>366 466</w:t>
            </w:r>
          </w:p>
        </w:tc>
        <w:tc>
          <w:tcPr>
            <w:tcW w:w="1710" w:type="dxa"/>
            <w:tcBorders>
              <w:top w:val="nil"/>
              <w:left w:val="nil"/>
              <w:bottom w:val="nil"/>
              <w:right w:val="nil"/>
            </w:tcBorders>
            <w:vAlign w:val="center"/>
          </w:tcPr>
          <w:p w:rsidR="007A03FC" w:rsidRPr="00765C97" w:rsidRDefault="007A03FC" w:rsidP="007A03FC">
            <w:pPr>
              <w:spacing w:before="20" w:after="20"/>
              <w:ind w:right="130"/>
              <w:jc w:val="right"/>
              <w:rPr>
                <w:rFonts w:ascii="Arial" w:hAnsi="Arial"/>
                <w:sz w:val="20"/>
                <w:lang w:val="pl-PL"/>
              </w:rPr>
            </w:pPr>
            <w:r w:rsidRPr="00765C97">
              <w:rPr>
                <w:rFonts w:ascii="Arial" w:hAnsi="Arial"/>
                <w:sz w:val="20"/>
                <w:lang w:val="pl-PL"/>
              </w:rPr>
              <w:t>350 970</w:t>
            </w:r>
          </w:p>
        </w:tc>
      </w:tr>
      <w:tr w:rsidR="007A03FC" w:rsidRPr="00765C97" w:rsidTr="00C16AA7">
        <w:trPr>
          <w:trHeight w:val="255"/>
        </w:trPr>
        <w:tc>
          <w:tcPr>
            <w:tcW w:w="5065" w:type="dxa"/>
            <w:tcBorders>
              <w:top w:val="nil"/>
              <w:left w:val="nil"/>
              <w:bottom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Koszty ubezpieczeń społecznych</w:t>
            </w:r>
          </w:p>
        </w:tc>
        <w:tc>
          <w:tcPr>
            <w:tcW w:w="1710" w:type="dxa"/>
            <w:tcBorders>
              <w:top w:val="nil"/>
              <w:left w:val="nil"/>
              <w:bottom w:val="nil"/>
              <w:right w:val="nil"/>
            </w:tcBorders>
            <w:vAlign w:val="center"/>
          </w:tcPr>
          <w:p w:rsidR="007A03FC" w:rsidRPr="00765C97" w:rsidRDefault="00640AFB">
            <w:pPr>
              <w:spacing w:before="20" w:after="20"/>
              <w:ind w:right="130"/>
              <w:jc w:val="right"/>
              <w:rPr>
                <w:rFonts w:ascii="Arial" w:hAnsi="Arial"/>
                <w:sz w:val="20"/>
                <w:lang w:val="pl-PL"/>
              </w:rPr>
            </w:pPr>
            <w:r w:rsidRPr="00765C97">
              <w:rPr>
                <w:rFonts w:ascii="Arial" w:hAnsi="Arial"/>
                <w:sz w:val="20"/>
                <w:lang w:val="pl-PL"/>
              </w:rPr>
              <w:t>56 953</w:t>
            </w:r>
          </w:p>
        </w:tc>
        <w:tc>
          <w:tcPr>
            <w:tcW w:w="1710" w:type="dxa"/>
            <w:tcBorders>
              <w:top w:val="nil"/>
              <w:left w:val="nil"/>
              <w:bottom w:val="nil"/>
              <w:right w:val="nil"/>
            </w:tcBorders>
            <w:vAlign w:val="center"/>
          </w:tcPr>
          <w:p w:rsidR="007A03FC" w:rsidRPr="00765C97" w:rsidRDefault="007A03FC" w:rsidP="007A03FC">
            <w:pPr>
              <w:spacing w:before="20" w:after="20"/>
              <w:ind w:right="130"/>
              <w:jc w:val="right"/>
              <w:rPr>
                <w:rFonts w:ascii="Arial" w:hAnsi="Arial"/>
                <w:sz w:val="20"/>
                <w:lang w:val="pl-PL"/>
              </w:rPr>
            </w:pPr>
            <w:r w:rsidRPr="00765C97">
              <w:rPr>
                <w:rFonts w:ascii="Arial" w:hAnsi="Arial"/>
                <w:sz w:val="20"/>
                <w:lang w:val="pl-PL"/>
              </w:rPr>
              <w:t>51 848</w:t>
            </w:r>
          </w:p>
        </w:tc>
      </w:tr>
      <w:tr w:rsidR="007A03FC" w:rsidRPr="00765C97" w:rsidTr="00C16AA7">
        <w:trPr>
          <w:trHeight w:val="255"/>
        </w:trPr>
        <w:tc>
          <w:tcPr>
            <w:tcW w:w="5065" w:type="dxa"/>
            <w:tcBorders>
              <w:left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Zakładowy Fundusz Świadczeń Socjalnych</w:t>
            </w:r>
          </w:p>
        </w:tc>
        <w:tc>
          <w:tcPr>
            <w:tcW w:w="1710" w:type="dxa"/>
            <w:tcBorders>
              <w:left w:val="nil"/>
              <w:right w:val="nil"/>
            </w:tcBorders>
            <w:vAlign w:val="center"/>
          </w:tcPr>
          <w:p w:rsidR="007A03FC" w:rsidRPr="00765C97" w:rsidRDefault="00640AFB" w:rsidP="00640AFB">
            <w:pPr>
              <w:spacing w:before="20" w:after="20"/>
              <w:ind w:right="130"/>
              <w:jc w:val="right"/>
              <w:rPr>
                <w:rFonts w:ascii="Arial" w:hAnsi="Arial"/>
                <w:sz w:val="20"/>
                <w:lang w:val="pl-PL"/>
              </w:rPr>
            </w:pPr>
            <w:r w:rsidRPr="00765C97">
              <w:rPr>
                <w:rFonts w:ascii="Arial" w:hAnsi="Arial"/>
                <w:sz w:val="20"/>
                <w:lang w:val="pl-PL"/>
              </w:rPr>
              <w:t>1 882</w:t>
            </w:r>
          </w:p>
        </w:tc>
        <w:tc>
          <w:tcPr>
            <w:tcW w:w="1710" w:type="dxa"/>
            <w:tcBorders>
              <w:left w:val="nil"/>
              <w:right w:val="nil"/>
            </w:tcBorders>
            <w:vAlign w:val="center"/>
          </w:tcPr>
          <w:p w:rsidR="007A03FC" w:rsidRPr="00765C97" w:rsidRDefault="007A03FC" w:rsidP="007A03FC">
            <w:pPr>
              <w:spacing w:before="20" w:after="20"/>
              <w:ind w:right="130"/>
              <w:jc w:val="right"/>
              <w:rPr>
                <w:rFonts w:ascii="Arial" w:hAnsi="Arial"/>
                <w:sz w:val="20"/>
                <w:lang w:val="pl-PL"/>
              </w:rPr>
            </w:pPr>
            <w:r w:rsidRPr="00765C97">
              <w:rPr>
                <w:rFonts w:ascii="Arial" w:hAnsi="Arial"/>
                <w:sz w:val="20"/>
                <w:lang w:val="pl-PL"/>
              </w:rPr>
              <w:t>1 966</w:t>
            </w:r>
          </w:p>
        </w:tc>
      </w:tr>
      <w:tr w:rsidR="007A03FC" w:rsidRPr="00765C97" w:rsidTr="00C16AA7">
        <w:trPr>
          <w:trHeight w:val="255"/>
        </w:trPr>
        <w:tc>
          <w:tcPr>
            <w:tcW w:w="5065" w:type="dxa"/>
            <w:tcBorders>
              <w:left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Szkolenia</w:t>
            </w:r>
          </w:p>
        </w:tc>
        <w:tc>
          <w:tcPr>
            <w:tcW w:w="1710" w:type="dxa"/>
            <w:tcBorders>
              <w:left w:val="nil"/>
              <w:right w:val="nil"/>
            </w:tcBorders>
            <w:vAlign w:val="center"/>
          </w:tcPr>
          <w:p w:rsidR="007A03FC" w:rsidRPr="00765C97" w:rsidRDefault="00640AFB">
            <w:pPr>
              <w:spacing w:before="20" w:after="20"/>
              <w:ind w:right="130"/>
              <w:jc w:val="right"/>
              <w:rPr>
                <w:rFonts w:ascii="Arial" w:hAnsi="Arial"/>
                <w:sz w:val="20"/>
                <w:lang w:val="pl-PL"/>
              </w:rPr>
            </w:pPr>
            <w:r w:rsidRPr="00765C97">
              <w:rPr>
                <w:rFonts w:ascii="Arial" w:hAnsi="Arial"/>
                <w:sz w:val="20"/>
                <w:lang w:val="pl-PL"/>
              </w:rPr>
              <w:t>993</w:t>
            </w:r>
          </w:p>
        </w:tc>
        <w:tc>
          <w:tcPr>
            <w:tcW w:w="1710" w:type="dxa"/>
            <w:tcBorders>
              <w:left w:val="nil"/>
              <w:right w:val="nil"/>
            </w:tcBorders>
            <w:vAlign w:val="center"/>
          </w:tcPr>
          <w:p w:rsidR="007A03FC" w:rsidRPr="00765C97" w:rsidRDefault="007A03FC" w:rsidP="007A03FC">
            <w:pPr>
              <w:spacing w:before="20" w:after="20"/>
              <w:ind w:right="130"/>
              <w:jc w:val="right"/>
              <w:rPr>
                <w:rFonts w:ascii="Arial" w:hAnsi="Arial"/>
                <w:sz w:val="20"/>
                <w:lang w:val="pl-PL"/>
              </w:rPr>
            </w:pPr>
            <w:r w:rsidRPr="00765C97">
              <w:rPr>
                <w:rFonts w:ascii="Arial" w:hAnsi="Arial"/>
                <w:sz w:val="20"/>
                <w:lang w:val="pl-PL"/>
              </w:rPr>
              <w:t>930</w:t>
            </w:r>
          </w:p>
        </w:tc>
      </w:tr>
      <w:tr w:rsidR="007A03FC" w:rsidRPr="00765C97" w:rsidTr="00C16AA7">
        <w:trPr>
          <w:trHeight w:val="255"/>
        </w:trPr>
        <w:tc>
          <w:tcPr>
            <w:tcW w:w="5065" w:type="dxa"/>
            <w:tcBorders>
              <w:left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Koszty BHP</w:t>
            </w:r>
          </w:p>
        </w:tc>
        <w:tc>
          <w:tcPr>
            <w:tcW w:w="1710" w:type="dxa"/>
            <w:tcBorders>
              <w:left w:val="nil"/>
              <w:right w:val="nil"/>
            </w:tcBorders>
            <w:vAlign w:val="center"/>
          </w:tcPr>
          <w:p w:rsidR="007A03FC" w:rsidRPr="00765C97" w:rsidRDefault="00640AFB">
            <w:pPr>
              <w:spacing w:before="20" w:after="20"/>
              <w:ind w:right="130"/>
              <w:jc w:val="right"/>
              <w:rPr>
                <w:rFonts w:ascii="Arial" w:hAnsi="Arial"/>
                <w:sz w:val="20"/>
                <w:lang w:val="pl-PL"/>
              </w:rPr>
            </w:pPr>
            <w:r w:rsidRPr="00765C97">
              <w:rPr>
                <w:rFonts w:ascii="Arial" w:hAnsi="Arial"/>
                <w:sz w:val="20"/>
                <w:lang w:val="pl-PL"/>
              </w:rPr>
              <w:t>442</w:t>
            </w:r>
          </w:p>
        </w:tc>
        <w:tc>
          <w:tcPr>
            <w:tcW w:w="1710" w:type="dxa"/>
            <w:tcBorders>
              <w:left w:val="nil"/>
              <w:right w:val="nil"/>
            </w:tcBorders>
            <w:vAlign w:val="center"/>
          </w:tcPr>
          <w:p w:rsidR="007A03FC" w:rsidRPr="00765C97" w:rsidRDefault="007A03FC" w:rsidP="007A03FC">
            <w:pPr>
              <w:spacing w:before="20" w:after="20"/>
              <w:ind w:right="130"/>
              <w:jc w:val="right"/>
              <w:rPr>
                <w:rFonts w:ascii="Arial" w:hAnsi="Arial"/>
                <w:sz w:val="20"/>
                <w:lang w:val="pl-PL"/>
              </w:rPr>
            </w:pPr>
            <w:r w:rsidRPr="00765C97">
              <w:rPr>
                <w:rFonts w:ascii="Arial" w:hAnsi="Arial"/>
                <w:sz w:val="20"/>
                <w:lang w:val="pl-PL"/>
              </w:rPr>
              <w:t>328</w:t>
            </w:r>
          </w:p>
        </w:tc>
      </w:tr>
      <w:tr w:rsidR="007A03FC" w:rsidRPr="00765C97" w:rsidTr="00C16AA7">
        <w:trPr>
          <w:trHeight w:val="255"/>
        </w:trPr>
        <w:tc>
          <w:tcPr>
            <w:tcW w:w="5065" w:type="dxa"/>
            <w:tcBorders>
              <w:left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Pozostałe</w:t>
            </w:r>
          </w:p>
        </w:tc>
        <w:tc>
          <w:tcPr>
            <w:tcW w:w="1710" w:type="dxa"/>
            <w:tcBorders>
              <w:left w:val="nil"/>
              <w:bottom w:val="single" w:sz="2" w:space="0" w:color="auto"/>
              <w:right w:val="nil"/>
            </w:tcBorders>
            <w:vAlign w:val="center"/>
          </w:tcPr>
          <w:p w:rsidR="007A03FC" w:rsidRPr="00765C97" w:rsidRDefault="00640AFB">
            <w:pPr>
              <w:spacing w:before="20" w:after="20"/>
              <w:ind w:right="130"/>
              <w:jc w:val="right"/>
              <w:rPr>
                <w:rFonts w:ascii="Arial" w:hAnsi="Arial"/>
                <w:sz w:val="20"/>
                <w:lang w:val="pl-PL"/>
              </w:rPr>
            </w:pPr>
            <w:r w:rsidRPr="00765C97">
              <w:rPr>
                <w:rFonts w:ascii="Arial" w:hAnsi="Arial"/>
                <w:sz w:val="20"/>
                <w:lang w:val="pl-PL"/>
              </w:rPr>
              <w:t>2 660</w:t>
            </w:r>
          </w:p>
        </w:tc>
        <w:tc>
          <w:tcPr>
            <w:tcW w:w="1710" w:type="dxa"/>
            <w:tcBorders>
              <w:left w:val="nil"/>
              <w:bottom w:val="single" w:sz="2" w:space="0" w:color="auto"/>
              <w:right w:val="nil"/>
            </w:tcBorders>
            <w:vAlign w:val="center"/>
          </w:tcPr>
          <w:p w:rsidR="007A03FC" w:rsidRPr="00765C97" w:rsidRDefault="007A03FC" w:rsidP="007A03FC">
            <w:pPr>
              <w:spacing w:before="20" w:after="20"/>
              <w:ind w:right="130"/>
              <w:jc w:val="right"/>
              <w:rPr>
                <w:rFonts w:ascii="Arial" w:hAnsi="Arial"/>
                <w:sz w:val="20"/>
                <w:lang w:val="pl-PL"/>
              </w:rPr>
            </w:pPr>
            <w:r w:rsidRPr="00765C97">
              <w:rPr>
                <w:rFonts w:ascii="Arial" w:hAnsi="Arial"/>
                <w:sz w:val="20"/>
                <w:lang w:val="pl-PL"/>
              </w:rPr>
              <w:t>2 243</w:t>
            </w:r>
          </w:p>
        </w:tc>
      </w:tr>
      <w:tr w:rsidR="007A03FC" w:rsidRPr="00765C97" w:rsidTr="00C16AA7">
        <w:trPr>
          <w:trHeight w:val="255"/>
        </w:trPr>
        <w:tc>
          <w:tcPr>
            <w:tcW w:w="5065" w:type="dxa"/>
            <w:tcBorders>
              <w:left w:val="nil"/>
              <w:right w:val="nil"/>
            </w:tcBorders>
            <w:vAlign w:val="center"/>
          </w:tcPr>
          <w:p w:rsidR="007A03FC" w:rsidRPr="00765C97" w:rsidRDefault="007A03FC">
            <w:pPr>
              <w:spacing w:before="20" w:after="20"/>
              <w:rPr>
                <w:rFonts w:ascii="Arial" w:hAnsi="Arial"/>
                <w:b/>
                <w:sz w:val="20"/>
                <w:lang w:val="pl-PL"/>
              </w:rPr>
            </w:pPr>
            <w:r w:rsidRPr="00765C97">
              <w:rPr>
                <w:rFonts w:ascii="Arial" w:hAnsi="Arial"/>
                <w:b/>
                <w:sz w:val="20"/>
                <w:lang w:val="pl-PL"/>
              </w:rPr>
              <w:t>Razem</w:t>
            </w:r>
          </w:p>
        </w:tc>
        <w:tc>
          <w:tcPr>
            <w:tcW w:w="1710" w:type="dxa"/>
            <w:tcBorders>
              <w:top w:val="single" w:sz="2" w:space="0" w:color="auto"/>
              <w:left w:val="nil"/>
              <w:bottom w:val="single" w:sz="2" w:space="0" w:color="auto"/>
              <w:right w:val="nil"/>
            </w:tcBorders>
            <w:vAlign w:val="center"/>
          </w:tcPr>
          <w:p w:rsidR="007A03FC" w:rsidRPr="00765C97" w:rsidRDefault="00640AFB">
            <w:pPr>
              <w:spacing w:before="20" w:after="20"/>
              <w:ind w:right="130"/>
              <w:jc w:val="right"/>
              <w:rPr>
                <w:rFonts w:ascii="Arial" w:hAnsi="Arial"/>
                <w:b/>
                <w:sz w:val="20"/>
                <w:lang w:val="pl-PL"/>
              </w:rPr>
            </w:pPr>
            <w:r w:rsidRPr="00765C97">
              <w:rPr>
                <w:rFonts w:ascii="Arial" w:hAnsi="Arial"/>
                <w:b/>
                <w:sz w:val="20"/>
                <w:lang w:val="pl-PL"/>
              </w:rPr>
              <w:t>429 396</w:t>
            </w:r>
          </w:p>
        </w:tc>
        <w:tc>
          <w:tcPr>
            <w:tcW w:w="1710" w:type="dxa"/>
            <w:tcBorders>
              <w:top w:val="single" w:sz="2" w:space="0" w:color="auto"/>
              <w:left w:val="nil"/>
              <w:bottom w:val="single" w:sz="2" w:space="0" w:color="auto"/>
              <w:right w:val="nil"/>
            </w:tcBorders>
            <w:vAlign w:val="center"/>
          </w:tcPr>
          <w:p w:rsidR="007A03FC" w:rsidRPr="00765C97" w:rsidRDefault="007A03FC" w:rsidP="007A03FC">
            <w:pPr>
              <w:spacing w:before="20" w:after="20"/>
              <w:ind w:right="130"/>
              <w:jc w:val="right"/>
              <w:rPr>
                <w:rFonts w:ascii="Arial" w:hAnsi="Arial"/>
                <w:b/>
                <w:sz w:val="20"/>
                <w:lang w:val="pl-PL"/>
              </w:rPr>
            </w:pPr>
            <w:r w:rsidRPr="00765C97">
              <w:rPr>
                <w:rFonts w:ascii="Arial" w:hAnsi="Arial"/>
                <w:b/>
                <w:sz w:val="20"/>
                <w:lang w:val="pl-PL"/>
              </w:rPr>
              <w:t>408 285</w:t>
            </w:r>
          </w:p>
        </w:tc>
      </w:tr>
    </w:tbl>
    <w:p w:rsidR="00B24DA9" w:rsidRPr="00765C97" w:rsidRDefault="00B24DA9" w:rsidP="00135A9A">
      <w:pPr>
        <w:pStyle w:val="Nagwek3"/>
        <w:numPr>
          <w:ilvl w:val="1"/>
          <w:numId w:val="22"/>
        </w:numPr>
        <w:spacing w:after="240"/>
        <w:ind w:left="709" w:hanging="567"/>
        <w:rPr>
          <w:sz w:val="20"/>
          <w:lang w:val="pl-PL"/>
        </w:rPr>
      </w:pPr>
      <w:bookmarkStart w:id="78" w:name="_Toc353973235"/>
      <w:r w:rsidRPr="00765C97">
        <w:rPr>
          <w:sz w:val="20"/>
          <w:lang w:val="pl-PL"/>
        </w:rPr>
        <w:t>Pozostałe przychody operacyjne</w:t>
      </w:r>
      <w:bookmarkEnd w:id="78"/>
    </w:p>
    <w:tbl>
      <w:tblPr>
        <w:tblW w:w="8523" w:type="dxa"/>
        <w:tblLayout w:type="fixed"/>
        <w:tblCellMar>
          <w:left w:w="0" w:type="dxa"/>
          <w:right w:w="0" w:type="dxa"/>
        </w:tblCellMar>
        <w:tblLook w:val="0000"/>
      </w:tblPr>
      <w:tblGrid>
        <w:gridCol w:w="5103"/>
        <w:gridCol w:w="1710"/>
        <w:gridCol w:w="1710"/>
      </w:tblGrid>
      <w:tr w:rsidR="00B24DA9" w:rsidRPr="00765C97" w:rsidTr="00DD37CC">
        <w:trPr>
          <w:trHeight w:val="255"/>
        </w:trPr>
        <w:tc>
          <w:tcPr>
            <w:tcW w:w="5103" w:type="dxa"/>
            <w:tcBorders>
              <w:top w:val="nil"/>
              <w:left w:val="nil"/>
              <w:bottom w:val="nil"/>
              <w:right w:val="nil"/>
            </w:tcBorders>
            <w:vAlign w:val="center"/>
          </w:tcPr>
          <w:p w:rsidR="00B24DA9" w:rsidRPr="00765C97" w:rsidRDefault="00B24DA9">
            <w:pPr>
              <w:rPr>
                <w:rFonts w:ascii="Arial" w:hAnsi="Arial"/>
                <w:b/>
                <w:sz w:val="20"/>
                <w:lang w:val="pl-PL"/>
              </w:rPr>
            </w:pPr>
            <w:bookmarkStart w:id="79" w:name="_Toc114460697"/>
            <w:bookmarkStart w:id="80" w:name="_Toc115093965"/>
            <w:bookmarkStart w:id="81" w:name="_Toc115094344"/>
            <w:bookmarkStart w:id="82" w:name="_Toc115094518"/>
            <w:r w:rsidRPr="00765C97">
              <w:rPr>
                <w:rFonts w:ascii="Arial" w:hAnsi="Arial"/>
                <w:b/>
                <w:sz w:val="20"/>
                <w:lang w:val="pl-PL"/>
              </w:rPr>
              <w:t>Pozostałe przychody operacyjne i zyski</w:t>
            </w:r>
            <w:bookmarkEnd w:id="79"/>
            <w:bookmarkEnd w:id="80"/>
            <w:bookmarkEnd w:id="81"/>
            <w:bookmarkEnd w:id="82"/>
          </w:p>
        </w:tc>
        <w:tc>
          <w:tcPr>
            <w:tcW w:w="1710" w:type="dxa"/>
            <w:tcBorders>
              <w:top w:val="nil"/>
              <w:left w:val="nil"/>
              <w:bottom w:val="nil"/>
              <w:right w:val="nil"/>
            </w:tcBorders>
            <w:vAlign w:val="center"/>
          </w:tcPr>
          <w:p w:rsidR="00B24DA9" w:rsidRPr="00765C97" w:rsidRDefault="00B24DA9">
            <w:pPr>
              <w:ind w:right="180"/>
              <w:jc w:val="right"/>
              <w:rPr>
                <w:rFonts w:ascii="Arial" w:hAnsi="Arial"/>
                <w:b/>
                <w:sz w:val="20"/>
                <w:lang w:val="pl-PL"/>
              </w:rPr>
            </w:pPr>
            <w:r w:rsidRPr="00765C97">
              <w:rPr>
                <w:rFonts w:ascii="Arial" w:hAnsi="Arial"/>
                <w:b/>
                <w:sz w:val="20"/>
                <w:lang w:val="pl-PL"/>
              </w:rPr>
              <w:t>12 miesięcy</w:t>
            </w:r>
          </w:p>
          <w:p w:rsidR="00B24DA9" w:rsidRPr="00765C97" w:rsidRDefault="00B24DA9" w:rsidP="007A03FC">
            <w:pPr>
              <w:ind w:right="180"/>
              <w:jc w:val="right"/>
              <w:rPr>
                <w:rFonts w:ascii="Arial" w:hAnsi="Arial"/>
                <w:b/>
                <w:sz w:val="20"/>
                <w:lang w:val="pl-PL"/>
              </w:rPr>
            </w:pPr>
            <w:r w:rsidRPr="00765C97">
              <w:rPr>
                <w:rFonts w:ascii="Arial" w:hAnsi="Arial"/>
                <w:b/>
                <w:sz w:val="20"/>
                <w:lang w:val="pl-PL"/>
              </w:rPr>
              <w:t>20</w:t>
            </w:r>
            <w:r w:rsidR="003F70E6" w:rsidRPr="00765C97">
              <w:rPr>
                <w:rFonts w:ascii="Arial" w:hAnsi="Arial"/>
                <w:b/>
                <w:sz w:val="20"/>
                <w:lang w:val="pl-PL"/>
              </w:rPr>
              <w:t>1</w:t>
            </w:r>
            <w:r w:rsidR="007A03FC" w:rsidRPr="00765C97">
              <w:rPr>
                <w:rFonts w:ascii="Arial" w:hAnsi="Arial"/>
                <w:b/>
                <w:sz w:val="20"/>
                <w:lang w:val="pl-PL"/>
              </w:rPr>
              <w:t>2</w:t>
            </w:r>
          </w:p>
        </w:tc>
        <w:tc>
          <w:tcPr>
            <w:tcW w:w="1710" w:type="dxa"/>
            <w:tcBorders>
              <w:top w:val="nil"/>
              <w:left w:val="nil"/>
              <w:bottom w:val="nil"/>
              <w:right w:val="nil"/>
            </w:tcBorders>
            <w:vAlign w:val="center"/>
          </w:tcPr>
          <w:p w:rsidR="00B24DA9" w:rsidRPr="00765C97" w:rsidRDefault="00B24DA9">
            <w:pPr>
              <w:ind w:right="180"/>
              <w:jc w:val="right"/>
              <w:rPr>
                <w:rFonts w:ascii="Arial" w:hAnsi="Arial"/>
                <w:b/>
                <w:sz w:val="20"/>
                <w:lang w:val="pl-PL"/>
              </w:rPr>
            </w:pPr>
            <w:r w:rsidRPr="00765C97">
              <w:rPr>
                <w:rFonts w:ascii="Arial" w:hAnsi="Arial"/>
                <w:b/>
                <w:sz w:val="20"/>
                <w:lang w:val="pl-PL"/>
              </w:rPr>
              <w:t>12 miesięcy</w:t>
            </w:r>
          </w:p>
          <w:p w:rsidR="00B24DA9" w:rsidRPr="00765C97" w:rsidRDefault="00B24DA9" w:rsidP="007A03FC">
            <w:pPr>
              <w:ind w:right="180"/>
              <w:jc w:val="right"/>
              <w:rPr>
                <w:rFonts w:ascii="Arial" w:hAnsi="Arial"/>
                <w:b/>
                <w:sz w:val="20"/>
                <w:lang w:val="pl-PL"/>
              </w:rPr>
            </w:pPr>
            <w:r w:rsidRPr="00765C97">
              <w:rPr>
                <w:rFonts w:ascii="Arial" w:hAnsi="Arial"/>
                <w:b/>
                <w:sz w:val="20"/>
                <w:lang w:val="pl-PL"/>
              </w:rPr>
              <w:t>20</w:t>
            </w:r>
            <w:r w:rsidR="00372F12" w:rsidRPr="00765C97">
              <w:rPr>
                <w:rFonts w:ascii="Arial" w:hAnsi="Arial"/>
                <w:b/>
                <w:sz w:val="20"/>
                <w:lang w:val="pl-PL"/>
              </w:rPr>
              <w:t>1</w:t>
            </w:r>
            <w:r w:rsidR="007A03FC" w:rsidRPr="00765C97">
              <w:rPr>
                <w:rFonts w:ascii="Arial" w:hAnsi="Arial"/>
                <w:b/>
                <w:sz w:val="20"/>
                <w:lang w:val="pl-PL"/>
              </w:rPr>
              <w:t>1</w:t>
            </w:r>
          </w:p>
        </w:tc>
      </w:tr>
      <w:tr w:rsidR="007A03FC" w:rsidRPr="00765C97" w:rsidTr="00DD37CC">
        <w:trPr>
          <w:trHeight w:val="255"/>
        </w:trPr>
        <w:tc>
          <w:tcPr>
            <w:tcW w:w="5103" w:type="dxa"/>
            <w:tcBorders>
              <w:top w:val="nil"/>
              <w:left w:val="nil"/>
              <w:bottom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Otrzymane odszkodowania komunikacyjne</w:t>
            </w:r>
          </w:p>
        </w:tc>
        <w:tc>
          <w:tcPr>
            <w:tcW w:w="1710" w:type="dxa"/>
            <w:tcBorders>
              <w:top w:val="nil"/>
              <w:left w:val="nil"/>
              <w:bottom w:val="nil"/>
              <w:right w:val="nil"/>
            </w:tcBorders>
            <w:vAlign w:val="center"/>
          </w:tcPr>
          <w:p w:rsidR="007A03FC" w:rsidRPr="00765C97" w:rsidRDefault="00AF278D">
            <w:pPr>
              <w:spacing w:before="20" w:after="20"/>
              <w:ind w:right="180"/>
              <w:jc w:val="right"/>
              <w:rPr>
                <w:rFonts w:ascii="Arial" w:hAnsi="Arial"/>
                <w:spacing w:val="-2"/>
                <w:sz w:val="20"/>
                <w:lang w:val="pl-PL"/>
              </w:rPr>
            </w:pPr>
            <w:r w:rsidRPr="00765C97">
              <w:rPr>
                <w:rFonts w:ascii="Arial" w:hAnsi="Arial"/>
                <w:spacing w:val="-2"/>
                <w:sz w:val="20"/>
                <w:lang w:val="pl-PL"/>
              </w:rPr>
              <w:t>123</w:t>
            </w:r>
          </w:p>
        </w:tc>
        <w:tc>
          <w:tcPr>
            <w:tcW w:w="1710" w:type="dxa"/>
            <w:tcBorders>
              <w:top w:val="nil"/>
              <w:left w:val="nil"/>
              <w:bottom w:val="nil"/>
              <w:right w:val="nil"/>
            </w:tcBorders>
            <w:vAlign w:val="center"/>
          </w:tcPr>
          <w:p w:rsidR="007A03FC" w:rsidRPr="00765C97" w:rsidRDefault="007A03FC" w:rsidP="007A03FC">
            <w:pPr>
              <w:spacing w:before="20" w:after="20"/>
              <w:ind w:right="180"/>
              <w:jc w:val="right"/>
              <w:rPr>
                <w:rFonts w:ascii="Arial" w:hAnsi="Arial"/>
                <w:spacing w:val="-2"/>
                <w:sz w:val="20"/>
                <w:lang w:val="pl-PL"/>
              </w:rPr>
            </w:pPr>
            <w:r w:rsidRPr="00765C97">
              <w:rPr>
                <w:rFonts w:ascii="Arial" w:hAnsi="Arial"/>
                <w:spacing w:val="-2"/>
                <w:sz w:val="20"/>
                <w:lang w:val="pl-PL"/>
              </w:rPr>
              <w:t>198</w:t>
            </w:r>
          </w:p>
        </w:tc>
      </w:tr>
      <w:tr w:rsidR="007A03FC" w:rsidRPr="00765C97" w:rsidTr="00DD37CC">
        <w:trPr>
          <w:trHeight w:val="255"/>
        </w:trPr>
        <w:tc>
          <w:tcPr>
            <w:tcW w:w="5103" w:type="dxa"/>
            <w:tcBorders>
              <w:top w:val="nil"/>
              <w:left w:val="nil"/>
              <w:bottom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Przedawnione zobowiązania</w:t>
            </w:r>
          </w:p>
        </w:tc>
        <w:tc>
          <w:tcPr>
            <w:tcW w:w="1710" w:type="dxa"/>
            <w:tcBorders>
              <w:top w:val="nil"/>
              <w:left w:val="nil"/>
              <w:bottom w:val="nil"/>
              <w:right w:val="nil"/>
            </w:tcBorders>
            <w:vAlign w:val="center"/>
          </w:tcPr>
          <w:p w:rsidR="007A03FC" w:rsidRPr="00765C97" w:rsidRDefault="00AF278D">
            <w:pPr>
              <w:spacing w:before="20" w:after="20"/>
              <w:ind w:right="180"/>
              <w:jc w:val="right"/>
              <w:rPr>
                <w:rFonts w:ascii="Arial" w:hAnsi="Arial"/>
                <w:sz w:val="20"/>
                <w:lang w:val="pl-PL"/>
              </w:rPr>
            </w:pPr>
            <w:r w:rsidRPr="00765C97">
              <w:rPr>
                <w:rFonts w:ascii="Arial" w:hAnsi="Arial"/>
                <w:sz w:val="20"/>
                <w:lang w:val="pl-PL"/>
              </w:rPr>
              <w:t>66</w:t>
            </w:r>
          </w:p>
        </w:tc>
        <w:tc>
          <w:tcPr>
            <w:tcW w:w="1710" w:type="dxa"/>
            <w:tcBorders>
              <w:top w:val="nil"/>
              <w:left w:val="nil"/>
              <w:bottom w:val="nil"/>
              <w:right w:val="nil"/>
            </w:tcBorders>
            <w:vAlign w:val="center"/>
          </w:tcPr>
          <w:p w:rsidR="007A03FC" w:rsidRPr="00765C97" w:rsidRDefault="007A03FC" w:rsidP="007A03FC">
            <w:pPr>
              <w:spacing w:before="20" w:after="20"/>
              <w:ind w:right="180"/>
              <w:jc w:val="right"/>
              <w:rPr>
                <w:rFonts w:ascii="Arial" w:hAnsi="Arial"/>
                <w:sz w:val="20"/>
                <w:lang w:val="pl-PL"/>
              </w:rPr>
            </w:pPr>
            <w:r w:rsidRPr="00765C97">
              <w:rPr>
                <w:rFonts w:ascii="Arial" w:hAnsi="Arial"/>
                <w:sz w:val="20"/>
                <w:lang w:val="pl-PL"/>
              </w:rPr>
              <w:t>-</w:t>
            </w:r>
          </w:p>
        </w:tc>
      </w:tr>
      <w:tr w:rsidR="007A03FC" w:rsidRPr="00765C97" w:rsidTr="00DD37CC">
        <w:trPr>
          <w:trHeight w:val="255"/>
        </w:trPr>
        <w:tc>
          <w:tcPr>
            <w:tcW w:w="5103" w:type="dxa"/>
            <w:tcBorders>
              <w:top w:val="nil"/>
              <w:left w:val="nil"/>
              <w:bottom w:val="nil"/>
              <w:right w:val="nil"/>
            </w:tcBorders>
            <w:vAlign w:val="center"/>
          </w:tcPr>
          <w:p w:rsidR="007A03FC" w:rsidRPr="00765C97" w:rsidRDefault="007A03FC">
            <w:pPr>
              <w:spacing w:before="20" w:after="20"/>
              <w:ind w:left="141" w:hanging="141"/>
              <w:rPr>
                <w:rFonts w:ascii="Arial" w:hAnsi="Arial"/>
                <w:sz w:val="20"/>
                <w:lang w:val="pl-PL"/>
              </w:rPr>
            </w:pPr>
            <w:r w:rsidRPr="00765C97">
              <w:rPr>
                <w:rFonts w:ascii="Arial" w:hAnsi="Arial"/>
                <w:sz w:val="20"/>
                <w:lang w:val="pl-PL"/>
              </w:rPr>
              <w:t>Rozwiązanie odpisów aktualizujących należności</w:t>
            </w:r>
          </w:p>
        </w:tc>
        <w:tc>
          <w:tcPr>
            <w:tcW w:w="1710" w:type="dxa"/>
            <w:tcBorders>
              <w:top w:val="nil"/>
              <w:left w:val="nil"/>
              <w:bottom w:val="nil"/>
              <w:right w:val="nil"/>
            </w:tcBorders>
            <w:vAlign w:val="center"/>
          </w:tcPr>
          <w:p w:rsidR="007A03FC" w:rsidRPr="00765C97" w:rsidRDefault="00AF278D">
            <w:pPr>
              <w:spacing w:before="20" w:after="20"/>
              <w:ind w:right="180"/>
              <w:jc w:val="right"/>
              <w:rPr>
                <w:rFonts w:ascii="Arial" w:hAnsi="Arial"/>
                <w:spacing w:val="-4"/>
                <w:sz w:val="20"/>
                <w:lang w:val="pl-PL"/>
              </w:rPr>
            </w:pPr>
            <w:r w:rsidRPr="00765C97">
              <w:rPr>
                <w:rFonts w:ascii="Arial" w:hAnsi="Arial"/>
                <w:spacing w:val="-4"/>
                <w:sz w:val="20"/>
                <w:lang w:val="pl-PL"/>
              </w:rPr>
              <w:t>10 767</w:t>
            </w:r>
          </w:p>
        </w:tc>
        <w:tc>
          <w:tcPr>
            <w:tcW w:w="1710" w:type="dxa"/>
            <w:tcBorders>
              <w:top w:val="nil"/>
              <w:left w:val="nil"/>
              <w:bottom w:val="nil"/>
              <w:right w:val="nil"/>
            </w:tcBorders>
            <w:vAlign w:val="center"/>
          </w:tcPr>
          <w:p w:rsidR="007A03FC" w:rsidRPr="00765C97" w:rsidRDefault="007A03FC" w:rsidP="007A03FC">
            <w:pPr>
              <w:spacing w:before="20" w:after="20"/>
              <w:ind w:right="180"/>
              <w:jc w:val="right"/>
              <w:rPr>
                <w:rFonts w:ascii="Arial" w:hAnsi="Arial"/>
                <w:spacing w:val="-4"/>
                <w:sz w:val="20"/>
                <w:lang w:val="pl-PL"/>
              </w:rPr>
            </w:pPr>
            <w:r w:rsidRPr="00765C97">
              <w:rPr>
                <w:rFonts w:ascii="Arial" w:hAnsi="Arial"/>
                <w:spacing w:val="-4"/>
                <w:sz w:val="20"/>
                <w:lang w:val="pl-PL"/>
              </w:rPr>
              <w:t>13 011</w:t>
            </w:r>
          </w:p>
        </w:tc>
      </w:tr>
      <w:tr w:rsidR="007A03FC" w:rsidRPr="00765C97" w:rsidTr="00DD37CC">
        <w:trPr>
          <w:trHeight w:val="255"/>
        </w:trPr>
        <w:tc>
          <w:tcPr>
            <w:tcW w:w="5103" w:type="dxa"/>
            <w:tcBorders>
              <w:top w:val="nil"/>
              <w:left w:val="nil"/>
              <w:bottom w:val="nil"/>
              <w:right w:val="nil"/>
            </w:tcBorders>
            <w:vAlign w:val="center"/>
          </w:tcPr>
          <w:p w:rsidR="007A03FC" w:rsidRPr="00765C97" w:rsidRDefault="007A03FC">
            <w:pPr>
              <w:spacing w:before="20" w:after="20"/>
              <w:ind w:left="141" w:hanging="141"/>
              <w:rPr>
                <w:rFonts w:ascii="Arial" w:hAnsi="Arial"/>
                <w:sz w:val="20"/>
                <w:lang w:val="pl-PL"/>
              </w:rPr>
            </w:pPr>
            <w:r w:rsidRPr="00765C97">
              <w:rPr>
                <w:rFonts w:ascii="Arial" w:hAnsi="Arial"/>
                <w:sz w:val="20"/>
                <w:lang w:val="pl-PL"/>
              </w:rPr>
              <w:t>Otrzymane kary umowne</w:t>
            </w:r>
          </w:p>
        </w:tc>
        <w:tc>
          <w:tcPr>
            <w:tcW w:w="1710" w:type="dxa"/>
            <w:tcBorders>
              <w:top w:val="nil"/>
              <w:left w:val="nil"/>
              <w:bottom w:val="nil"/>
              <w:right w:val="nil"/>
            </w:tcBorders>
            <w:vAlign w:val="center"/>
          </w:tcPr>
          <w:p w:rsidR="007A03FC" w:rsidRPr="00765C97" w:rsidRDefault="00AF278D">
            <w:pPr>
              <w:spacing w:before="20" w:after="20"/>
              <w:ind w:right="180"/>
              <w:jc w:val="right"/>
              <w:rPr>
                <w:rFonts w:ascii="Arial" w:hAnsi="Arial"/>
                <w:spacing w:val="-4"/>
                <w:sz w:val="20"/>
                <w:lang w:val="pl-PL"/>
              </w:rPr>
            </w:pPr>
            <w:r w:rsidRPr="00765C97">
              <w:rPr>
                <w:rFonts w:ascii="Arial" w:hAnsi="Arial"/>
                <w:spacing w:val="-4"/>
                <w:sz w:val="20"/>
                <w:lang w:val="pl-PL"/>
              </w:rPr>
              <w:t>19</w:t>
            </w:r>
          </w:p>
        </w:tc>
        <w:tc>
          <w:tcPr>
            <w:tcW w:w="1710" w:type="dxa"/>
            <w:tcBorders>
              <w:top w:val="nil"/>
              <w:left w:val="nil"/>
              <w:bottom w:val="nil"/>
              <w:right w:val="nil"/>
            </w:tcBorders>
            <w:vAlign w:val="center"/>
          </w:tcPr>
          <w:p w:rsidR="007A03FC" w:rsidRPr="00765C97" w:rsidRDefault="007A03FC" w:rsidP="007A03FC">
            <w:pPr>
              <w:spacing w:before="20" w:after="20"/>
              <w:ind w:right="180"/>
              <w:jc w:val="right"/>
              <w:rPr>
                <w:rFonts w:ascii="Arial" w:hAnsi="Arial"/>
                <w:spacing w:val="-4"/>
                <w:sz w:val="20"/>
                <w:lang w:val="pl-PL"/>
              </w:rPr>
            </w:pPr>
            <w:r w:rsidRPr="00765C97">
              <w:rPr>
                <w:rFonts w:ascii="Arial" w:hAnsi="Arial"/>
                <w:spacing w:val="-4"/>
                <w:sz w:val="20"/>
                <w:lang w:val="pl-PL"/>
              </w:rPr>
              <w:t>17</w:t>
            </w:r>
          </w:p>
        </w:tc>
      </w:tr>
      <w:tr w:rsidR="007A03FC" w:rsidRPr="00765C97" w:rsidTr="00DD37CC">
        <w:trPr>
          <w:trHeight w:val="255"/>
        </w:trPr>
        <w:tc>
          <w:tcPr>
            <w:tcW w:w="5103" w:type="dxa"/>
            <w:tcBorders>
              <w:top w:val="nil"/>
              <w:left w:val="nil"/>
              <w:bottom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Zysk ze zbycia niefinansowych aktywów trwałych</w:t>
            </w:r>
          </w:p>
        </w:tc>
        <w:tc>
          <w:tcPr>
            <w:tcW w:w="1710" w:type="dxa"/>
            <w:tcBorders>
              <w:top w:val="nil"/>
              <w:left w:val="nil"/>
              <w:right w:val="nil"/>
            </w:tcBorders>
            <w:vAlign w:val="center"/>
          </w:tcPr>
          <w:p w:rsidR="007A03FC" w:rsidRPr="00765C97" w:rsidRDefault="00AF278D">
            <w:pPr>
              <w:spacing w:before="20" w:after="20"/>
              <w:ind w:right="180"/>
              <w:jc w:val="right"/>
              <w:rPr>
                <w:rFonts w:ascii="Arial" w:hAnsi="Arial"/>
                <w:spacing w:val="-4"/>
                <w:sz w:val="20"/>
                <w:lang w:val="pl-PL"/>
              </w:rPr>
            </w:pPr>
            <w:r w:rsidRPr="00765C97">
              <w:rPr>
                <w:rFonts w:ascii="Arial" w:hAnsi="Arial"/>
                <w:spacing w:val="-4"/>
                <w:sz w:val="20"/>
                <w:lang w:val="pl-PL"/>
              </w:rPr>
              <w:t>137</w:t>
            </w:r>
          </w:p>
        </w:tc>
        <w:tc>
          <w:tcPr>
            <w:tcW w:w="1710" w:type="dxa"/>
            <w:tcBorders>
              <w:top w:val="nil"/>
              <w:left w:val="nil"/>
              <w:right w:val="nil"/>
            </w:tcBorders>
            <w:vAlign w:val="center"/>
          </w:tcPr>
          <w:p w:rsidR="007A03FC" w:rsidRPr="00765C97" w:rsidRDefault="00AF278D" w:rsidP="007A03FC">
            <w:pPr>
              <w:spacing w:before="20" w:after="20"/>
              <w:ind w:right="180"/>
              <w:jc w:val="right"/>
              <w:rPr>
                <w:rFonts w:ascii="Arial" w:hAnsi="Arial"/>
                <w:spacing w:val="-4"/>
                <w:sz w:val="20"/>
                <w:lang w:val="pl-PL"/>
              </w:rPr>
            </w:pPr>
            <w:r w:rsidRPr="00765C97">
              <w:rPr>
                <w:rFonts w:ascii="Arial" w:hAnsi="Arial"/>
                <w:spacing w:val="-4"/>
                <w:sz w:val="20"/>
                <w:lang w:val="pl-PL"/>
              </w:rPr>
              <w:t>6 940</w:t>
            </w:r>
          </w:p>
        </w:tc>
      </w:tr>
      <w:tr w:rsidR="007A03FC" w:rsidRPr="00765C97" w:rsidTr="00DD37CC">
        <w:trPr>
          <w:trHeight w:val="255"/>
        </w:trPr>
        <w:tc>
          <w:tcPr>
            <w:tcW w:w="5103" w:type="dxa"/>
            <w:tcBorders>
              <w:top w:val="nil"/>
              <w:left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Zwrot podatku VAT</w:t>
            </w:r>
          </w:p>
        </w:tc>
        <w:tc>
          <w:tcPr>
            <w:tcW w:w="1710" w:type="dxa"/>
            <w:tcBorders>
              <w:top w:val="nil"/>
              <w:left w:val="nil"/>
              <w:right w:val="nil"/>
            </w:tcBorders>
            <w:vAlign w:val="center"/>
          </w:tcPr>
          <w:p w:rsidR="007A03FC" w:rsidRPr="00765C97" w:rsidRDefault="00AF278D">
            <w:pPr>
              <w:spacing w:before="20" w:after="20"/>
              <w:ind w:right="180"/>
              <w:jc w:val="right"/>
              <w:rPr>
                <w:rFonts w:ascii="Arial" w:hAnsi="Arial"/>
                <w:sz w:val="20"/>
                <w:lang w:val="pl-PL"/>
              </w:rPr>
            </w:pPr>
            <w:r w:rsidRPr="00765C97">
              <w:rPr>
                <w:rFonts w:ascii="Arial" w:hAnsi="Arial"/>
                <w:sz w:val="20"/>
                <w:lang w:val="pl-PL"/>
              </w:rPr>
              <w:t>321</w:t>
            </w:r>
          </w:p>
        </w:tc>
        <w:tc>
          <w:tcPr>
            <w:tcW w:w="1710" w:type="dxa"/>
            <w:tcBorders>
              <w:top w:val="nil"/>
              <w:left w:val="nil"/>
              <w:right w:val="nil"/>
            </w:tcBorders>
            <w:vAlign w:val="center"/>
          </w:tcPr>
          <w:p w:rsidR="007A03FC" w:rsidRPr="00765C97" w:rsidRDefault="007A03FC" w:rsidP="007A03FC">
            <w:pPr>
              <w:spacing w:before="20" w:after="20"/>
              <w:ind w:right="180"/>
              <w:jc w:val="right"/>
              <w:rPr>
                <w:rFonts w:ascii="Arial" w:hAnsi="Arial"/>
                <w:sz w:val="20"/>
                <w:lang w:val="pl-PL"/>
              </w:rPr>
            </w:pPr>
            <w:r w:rsidRPr="00765C97">
              <w:rPr>
                <w:rFonts w:ascii="Arial" w:hAnsi="Arial"/>
                <w:sz w:val="20"/>
                <w:lang w:val="pl-PL"/>
              </w:rPr>
              <w:t>-</w:t>
            </w:r>
          </w:p>
        </w:tc>
      </w:tr>
      <w:tr w:rsidR="007A03FC" w:rsidRPr="00765C97" w:rsidTr="00DD37CC">
        <w:trPr>
          <w:trHeight w:val="255"/>
        </w:trPr>
        <w:tc>
          <w:tcPr>
            <w:tcW w:w="5103" w:type="dxa"/>
            <w:tcBorders>
              <w:top w:val="nil"/>
              <w:left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Dotacje</w:t>
            </w:r>
          </w:p>
        </w:tc>
        <w:tc>
          <w:tcPr>
            <w:tcW w:w="1710" w:type="dxa"/>
            <w:tcBorders>
              <w:left w:val="nil"/>
              <w:right w:val="nil"/>
            </w:tcBorders>
            <w:vAlign w:val="center"/>
          </w:tcPr>
          <w:p w:rsidR="007A03FC" w:rsidRPr="00765C97" w:rsidRDefault="00AF278D" w:rsidP="00540217">
            <w:pPr>
              <w:spacing w:before="20" w:after="20"/>
              <w:ind w:right="180"/>
              <w:jc w:val="right"/>
              <w:rPr>
                <w:rFonts w:ascii="Arial" w:hAnsi="Arial"/>
                <w:sz w:val="20"/>
                <w:lang w:val="pl-PL"/>
              </w:rPr>
            </w:pPr>
            <w:r w:rsidRPr="00765C97">
              <w:rPr>
                <w:rFonts w:ascii="Arial" w:hAnsi="Arial"/>
                <w:sz w:val="20"/>
                <w:lang w:val="pl-PL"/>
              </w:rPr>
              <w:t>202</w:t>
            </w:r>
          </w:p>
        </w:tc>
        <w:tc>
          <w:tcPr>
            <w:tcW w:w="1710" w:type="dxa"/>
            <w:tcBorders>
              <w:left w:val="nil"/>
              <w:right w:val="nil"/>
            </w:tcBorders>
            <w:vAlign w:val="center"/>
          </w:tcPr>
          <w:p w:rsidR="007A03FC" w:rsidRPr="00765C97" w:rsidRDefault="007A03FC" w:rsidP="007A03FC">
            <w:pPr>
              <w:spacing w:before="20" w:after="20"/>
              <w:ind w:right="180"/>
              <w:jc w:val="right"/>
              <w:rPr>
                <w:rFonts w:ascii="Arial" w:hAnsi="Arial"/>
                <w:sz w:val="20"/>
                <w:lang w:val="pl-PL"/>
              </w:rPr>
            </w:pPr>
            <w:r w:rsidRPr="00765C97">
              <w:rPr>
                <w:rFonts w:ascii="Arial" w:hAnsi="Arial"/>
                <w:sz w:val="20"/>
                <w:lang w:val="pl-PL"/>
              </w:rPr>
              <w:t>221</w:t>
            </w:r>
          </w:p>
        </w:tc>
      </w:tr>
      <w:tr w:rsidR="007A03FC" w:rsidRPr="00765C97" w:rsidTr="00DD37CC">
        <w:trPr>
          <w:trHeight w:val="255"/>
        </w:trPr>
        <w:tc>
          <w:tcPr>
            <w:tcW w:w="5103" w:type="dxa"/>
            <w:tcBorders>
              <w:left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Inne</w:t>
            </w:r>
          </w:p>
        </w:tc>
        <w:tc>
          <w:tcPr>
            <w:tcW w:w="1710" w:type="dxa"/>
            <w:tcBorders>
              <w:left w:val="nil"/>
              <w:bottom w:val="single" w:sz="2" w:space="0" w:color="auto"/>
              <w:right w:val="nil"/>
            </w:tcBorders>
            <w:vAlign w:val="center"/>
          </w:tcPr>
          <w:p w:rsidR="007A03FC" w:rsidRPr="00765C97" w:rsidRDefault="00AF278D" w:rsidP="00050CA4">
            <w:pPr>
              <w:spacing w:before="20" w:after="20"/>
              <w:ind w:right="180"/>
              <w:jc w:val="right"/>
              <w:rPr>
                <w:rFonts w:ascii="Arial" w:hAnsi="Arial"/>
                <w:sz w:val="20"/>
                <w:lang w:val="pl-PL"/>
              </w:rPr>
            </w:pPr>
            <w:r w:rsidRPr="00765C97">
              <w:rPr>
                <w:rFonts w:ascii="Arial" w:hAnsi="Arial"/>
                <w:sz w:val="20"/>
                <w:lang w:val="pl-PL"/>
              </w:rPr>
              <w:t>4 664</w:t>
            </w:r>
          </w:p>
        </w:tc>
        <w:tc>
          <w:tcPr>
            <w:tcW w:w="1710" w:type="dxa"/>
            <w:tcBorders>
              <w:left w:val="nil"/>
              <w:bottom w:val="single" w:sz="2" w:space="0" w:color="auto"/>
              <w:right w:val="nil"/>
            </w:tcBorders>
            <w:vAlign w:val="center"/>
          </w:tcPr>
          <w:p w:rsidR="007A03FC" w:rsidRPr="00765C97" w:rsidRDefault="007A03FC" w:rsidP="007A03FC">
            <w:pPr>
              <w:spacing w:before="20" w:after="20"/>
              <w:ind w:right="180"/>
              <w:jc w:val="right"/>
              <w:rPr>
                <w:rFonts w:ascii="Arial" w:hAnsi="Arial"/>
                <w:sz w:val="20"/>
                <w:lang w:val="pl-PL"/>
              </w:rPr>
            </w:pPr>
            <w:r w:rsidRPr="00765C97">
              <w:rPr>
                <w:rFonts w:ascii="Arial" w:hAnsi="Arial"/>
                <w:sz w:val="20"/>
                <w:lang w:val="pl-PL"/>
              </w:rPr>
              <w:t>2 583</w:t>
            </w:r>
          </w:p>
        </w:tc>
      </w:tr>
      <w:tr w:rsidR="007A03FC" w:rsidRPr="00765C97" w:rsidTr="00DD37CC">
        <w:trPr>
          <w:trHeight w:val="255"/>
        </w:trPr>
        <w:tc>
          <w:tcPr>
            <w:tcW w:w="5103" w:type="dxa"/>
            <w:tcBorders>
              <w:left w:val="nil"/>
              <w:right w:val="nil"/>
            </w:tcBorders>
            <w:vAlign w:val="center"/>
          </w:tcPr>
          <w:p w:rsidR="007A03FC" w:rsidRPr="00765C97" w:rsidRDefault="007A03FC">
            <w:pPr>
              <w:spacing w:before="20" w:after="20"/>
              <w:rPr>
                <w:rFonts w:ascii="Arial" w:hAnsi="Arial"/>
                <w:b/>
                <w:sz w:val="20"/>
                <w:lang w:val="pl-PL"/>
              </w:rPr>
            </w:pPr>
            <w:r w:rsidRPr="00765C97">
              <w:rPr>
                <w:rFonts w:ascii="Arial" w:hAnsi="Arial"/>
                <w:b/>
                <w:sz w:val="20"/>
                <w:lang w:val="pl-PL"/>
              </w:rPr>
              <w:t>Razem</w:t>
            </w:r>
          </w:p>
        </w:tc>
        <w:tc>
          <w:tcPr>
            <w:tcW w:w="1710" w:type="dxa"/>
            <w:tcBorders>
              <w:top w:val="single" w:sz="2" w:space="0" w:color="auto"/>
              <w:left w:val="nil"/>
              <w:bottom w:val="single" w:sz="2" w:space="0" w:color="auto"/>
              <w:right w:val="nil"/>
            </w:tcBorders>
            <w:vAlign w:val="center"/>
          </w:tcPr>
          <w:p w:rsidR="007A03FC" w:rsidRPr="00765C97" w:rsidRDefault="00AF278D" w:rsidP="00F02FCF">
            <w:pPr>
              <w:spacing w:before="20" w:after="20"/>
              <w:ind w:right="180"/>
              <w:jc w:val="right"/>
              <w:rPr>
                <w:rFonts w:ascii="Arial" w:hAnsi="Arial"/>
                <w:b/>
                <w:sz w:val="20"/>
                <w:lang w:val="pl-PL"/>
              </w:rPr>
            </w:pPr>
            <w:r w:rsidRPr="00765C97">
              <w:rPr>
                <w:rFonts w:ascii="Arial" w:hAnsi="Arial"/>
                <w:b/>
                <w:sz w:val="20"/>
                <w:lang w:val="pl-PL"/>
              </w:rPr>
              <w:t>16 299</w:t>
            </w:r>
          </w:p>
        </w:tc>
        <w:tc>
          <w:tcPr>
            <w:tcW w:w="1710" w:type="dxa"/>
            <w:tcBorders>
              <w:top w:val="single" w:sz="2" w:space="0" w:color="auto"/>
              <w:left w:val="nil"/>
              <w:bottom w:val="single" w:sz="2" w:space="0" w:color="auto"/>
              <w:right w:val="nil"/>
            </w:tcBorders>
            <w:vAlign w:val="center"/>
          </w:tcPr>
          <w:p w:rsidR="007A03FC" w:rsidRPr="00765C97" w:rsidRDefault="007A03FC" w:rsidP="007A03FC">
            <w:pPr>
              <w:spacing w:before="20" w:after="20"/>
              <w:ind w:right="180"/>
              <w:jc w:val="right"/>
              <w:rPr>
                <w:rFonts w:ascii="Arial" w:hAnsi="Arial"/>
                <w:b/>
                <w:sz w:val="20"/>
                <w:lang w:val="pl-PL"/>
              </w:rPr>
            </w:pPr>
            <w:r w:rsidRPr="00765C97">
              <w:rPr>
                <w:rFonts w:ascii="Arial" w:hAnsi="Arial"/>
                <w:b/>
                <w:sz w:val="20"/>
                <w:lang w:val="pl-PL"/>
              </w:rPr>
              <w:t>22 970</w:t>
            </w:r>
          </w:p>
        </w:tc>
      </w:tr>
    </w:tbl>
    <w:p w:rsidR="00B24DA9" w:rsidRPr="00765C97" w:rsidRDefault="00B24DA9" w:rsidP="00135A9A">
      <w:pPr>
        <w:pStyle w:val="Nagwek3"/>
        <w:numPr>
          <w:ilvl w:val="1"/>
          <w:numId w:val="22"/>
        </w:numPr>
        <w:spacing w:after="240"/>
        <w:ind w:left="709" w:hanging="567"/>
        <w:rPr>
          <w:sz w:val="20"/>
          <w:lang w:val="pl-PL"/>
        </w:rPr>
      </w:pPr>
      <w:bookmarkStart w:id="83" w:name="_Toc353973236"/>
      <w:r w:rsidRPr="00765C97">
        <w:rPr>
          <w:sz w:val="20"/>
          <w:lang w:val="pl-PL"/>
        </w:rPr>
        <w:t>Pozostałe koszty operacyjne</w:t>
      </w:r>
      <w:bookmarkEnd w:id="83"/>
    </w:p>
    <w:tbl>
      <w:tblPr>
        <w:tblW w:w="8523" w:type="dxa"/>
        <w:tblLayout w:type="fixed"/>
        <w:tblCellMar>
          <w:left w:w="0" w:type="dxa"/>
          <w:right w:w="0" w:type="dxa"/>
        </w:tblCellMar>
        <w:tblLook w:val="0000"/>
      </w:tblPr>
      <w:tblGrid>
        <w:gridCol w:w="5103"/>
        <w:gridCol w:w="1710"/>
        <w:gridCol w:w="1710"/>
      </w:tblGrid>
      <w:tr w:rsidR="00B24DA9" w:rsidRPr="00765C97" w:rsidTr="00DD37CC">
        <w:trPr>
          <w:trHeight w:val="255"/>
        </w:trPr>
        <w:tc>
          <w:tcPr>
            <w:tcW w:w="5103" w:type="dxa"/>
            <w:tcBorders>
              <w:top w:val="nil"/>
              <w:left w:val="nil"/>
              <w:bottom w:val="nil"/>
              <w:right w:val="nil"/>
            </w:tcBorders>
            <w:vAlign w:val="center"/>
          </w:tcPr>
          <w:p w:rsidR="00B24DA9" w:rsidRPr="00765C97" w:rsidRDefault="00B24DA9">
            <w:pPr>
              <w:spacing w:before="20" w:after="20"/>
              <w:rPr>
                <w:rFonts w:ascii="Arial" w:hAnsi="Arial"/>
                <w:b/>
                <w:sz w:val="20"/>
                <w:lang w:val="pl-PL"/>
              </w:rPr>
            </w:pPr>
            <w:r w:rsidRPr="00765C97">
              <w:rPr>
                <w:rFonts w:ascii="Arial" w:hAnsi="Arial"/>
                <w:b/>
                <w:sz w:val="20"/>
                <w:lang w:val="pl-PL"/>
              </w:rPr>
              <w:t>Pozostałe koszty operacyjne i straty</w:t>
            </w:r>
          </w:p>
        </w:tc>
        <w:tc>
          <w:tcPr>
            <w:tcW w:w="1710" w:type="dxa"/>
            <w:tcBorders>
              <w:top w:val="nil"/>
              <w:left w:val="nil"/>
              <w:bottom w:val="nil"/>
              <w:right w:val="nil"/>
            </w:tcBorders>
            <w:vAlign w:val="center"/>
          </w:tcPr>
          <w:p w:rsidR="00B24DA9" w:rsidRPr="00765C97" w:rsidRDefault="00B24DA9">
            <w:pPr>
              <w:ind w:right="130"/>
              <w:jc w:val="right"/>
              <w:rPr>
                <w:rFonts w:ascii="Arial" w:hAnsi="Arial"/>
                <w:b/>
                <w:sz w:val="20"/>
                <w:lang w:val="pl-PL"/>
              </w:rPr>
            </w:pPr>
            <w:r w:rsidRPr="00765C97">
              <w:rPr>
                <w:rFonts w:ascii="Arial" w:hAnsi="Arial"/>
                <w:b/>
                <w:sz w:val="20"/>
                <w:lang w:val="pl-PL"/>
              </w:rPr>
              <w:t>12 miesięcy</w:t>
            </w:r>
          </w:p>
          <w:p w:rsidR="00B24DA9" w:rsidRPr="00765C97" w:rsidRDefault="00B24DA9" w:rsidP="007A03FC">
            <w:pPr>
              <w:ind w:right="130"/>
              <w:jc w:val="right"/>
              <w:rPr>
                <w:rFonts w:ascii="Arial" w:hAnsi="Arial"/>
                <w:b/>
                <w:sz w:val="20"/>
                <w:lang w:val="pl-PL"/>
              </w:rPr>
            </w:pPr>
            <w:r w:rsidRPr="00765C97">
              <w:rPr>
                <w:rFonts w:ascii="Arial" w:hAnsi="Arial"/>
                <w:b/>
                <w:sz w:val="20"/>
                <w:lang w:val="pl-PL"/>
              </w:rPr>
              <w:t>20</w:t>
            </w:r>
            <w:r w:rsidR="003F70E6" w:rsidRPr="00765C97">
              <w:rPr>
                <w:rFonts w:ascii="Arial" w:hAnsi="Arial"/>
                <w:b/>
                <w:sz w:val="20"/>
                <w:lang w:val="pl-PL"/>
              </w:rPr>
              <w:t>1</w:t>
            </w:r>
            <w:r w:rsidR="007A03FC" w:rsidRPr="00765C97">
              <w:rPr>
                <w:rFonts w:ascii="Arial" w:hAnsi="Arial"/>
                <w:b/>
                <w:sz w:val="20"/>
                <w:lang w:val="pl-PL"/>
              </w:rPr>
              <w:t>2</w:t>
            </w:r>
          </w:p>
        </w:tc>
        <w:tc>
          <w:tcPr>
            <w:tcW w:w="1710" w:type="dxa"/>
            <w:tcBorders>
              <w:top w:val="nil"/>
              <w:left w:val="nil"/>
              <w:bottom w:val="nil"/>
              <w:right w:val="nil"/>
            </w:tcBorders>
            <w:vAlign w:val="center"/>
          </w:tcPr>
          <w:p w:rsidR="00B24DA9" w:rsidRPr="00765C97" w:rsidRDefault="00B24DA9">
            <w:pPr>
              <w:ind w:right="141"/>
              <w:jc w:val="right"/>
              <w:rPr>
                <w:rFonts w:ascii="Arial" w:hAnsi="Arial"/>
                <w:b/>
                <w:sz w:val="20"/>
                <w:lang w:val="pl-PL"/>
              </w:rPr>
            </w:pPr>
            <w:r w:rsidRPr="00765C97">
              <w:rPr>
                <w:rFonts w:ascii="Arial" w:hAnsi="Arial"/>
                <w:b/>
                <w:sz w:val="20"/>
                <w:lang w:val="pl-PL"/>
              </w:rPr>
              <w:t>12 miesięcy</w:t>
            </w:r>
          </w:p>
          <w:p w:rsidR="00B24DA9" w:rsidRPr="00765C97" w:rsidRDefault="00B24DA9" w:rsidP="007A03FC">
            <w:pPr>
              <w:ind w:right="141"/>
              <w:jc w:val="right"/>
              <w:rPr>
                <w:rFonts w:ascii="Arial" w:hAnsi="Arial"/>
                <w:b/>
                <w:sz w:val="20"/>
                <w:lang w:val="pl-PL"/>
              </w:rPr>
            </w:pPr>
            <w:r w:rsidRPr="00765C97">
              <w:rPr>
                <w:rFonts w:ascii="Arial" w:hAnsi="Arial"/>
                <w:b/>
                <w:sz w:val="20"/>
                <w:lang w:val="pl-PL"/>
              </w:rPr>
              <w:t>20</w:t>
            </w:r>
            <w:r w:rsidR="00372F12" w:rsidRPr="00765C97">
              <w:rPr>
                <w:rFonts w:ascii="Arial" w:hAnsi="Arial"/>
                <w:b/>
                <w:sz w:val="20"/>
                <w:lang w:val="pl-PL"/>
              </w:rPr>
              <w:t>1</w:t>
            </w:r>
            <w:r w:rsidR="007A03FC" w:rsidRPr="00765C97">
              <w:rPr>
                <w:rFonts w:ascii="Arial" w:hAnsi="Arial"/>
                <w:b/>
                <w:sz w:val="20"/>
                <w:lang w:val="pl-PL"/>
              </w:rPr>
              <w:t>1</w:t>
            </w:r>
          </w:p>
        </w:tc>
      </w:tr>
      <w:tr w:rsidR="007A03FC" w:rsidRPr="00765C97" w:rsidTr="00DD37CC">
        <w:trPr>
          <w:trHeight w:val="255"/>
        </w:trPr>
        <w:tc>
          <w:tcPr>
            <w:tcW w:w="5103" w:type="dxa"/>
            <w:tcBorders>
              <w:top w:val="nil"/>
              <w:left w:val="nil"/>
              <w:bottom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 xml:space="preserve">Odpis aktualizujący wartość </w:t>
            </w:r>
            <w:r w:rsidRPr="00765C97">
              <w:rPr>
                <w:rFonts w:ascii="Arial" w:hAnsi="Arial"/>
                <w:color w:val="000000"/>
                <w:sz w:val="20"/>
                <w:lang w:val="pl-PL"/>
              </w:rPr>
              <w:t xml:space="preserve">aktywów </w:t>
            </w:r>
            <w:r w:rsidRPr="00765C97">
              <w:rPr>
                <w:rFonts w:ascii="Arial" w:hAnsi="Arial"/>
                <w:sz w:val="20"/>
                <w:lang w:val="pl-PL"/>
              </w:rPr>
              <w:t>(utrata wartości)</w:t>
            </w:r>
          </w:p>
        </w:tc>
        <w:tc>
          <w:tcPr>
            <w:tcW w:w="1710" w:type="dxa"/>
            <w:tcBorders>
              <w:top w:val="nil"/>
              <w:left w:val="nil"/>
              <w:bottom w:val="nil"/>
              <w:right w:val="nil"/>
            </w:tcBorders>
            <w:vAlign w:val="center"/>
          </w:tcPr>
          <w:p w:rsidR="007A03FC" w:rsidRPr="00765C97" w:rsidRDefault="00AF278D">
            <w:pPr>
              <w:spacing w:before="20" w:after="20"/>
              <w:ind w:right="180"/>
              <w:jc w:val="right"/>
              <w:rPr>
                <w:rFonts w:ascii="Arial" w:hAnsi="Arial"/>
                <w:color w:val="000000"/>
                <w:sz w:val="20"/>
                <w:lang w:val="pl-PL"/>
              </w:rPr>
            </w:pPr>
            <w:r w:rsidRPr="00765C97">
              <w:rPr>
                <w:rFonts w:ascii="Arial" w:hAnsi="Arial"/>
                <w:color w:val="000000"/>
                <w:sz w:val="20"/>
                <w:lang w:val="pl-PL"/>
              </w:rPr>
              <w:t>0</w:t>
            </w:r>
          </w:p>
        </w:tc>
        <w:tc>
          <w:tcPr>
            <w:tcW w:w="1710" w:type="dxa"/>
            <w:tcBorders>
              <w:top w:val="nil"/>
              <w:left w:val="nil"/>
              <w:bottom w:val="nil"/>
              <w:right w:val="nil"/>
            </w:tcBorders>
            <w:vAlign w:val="center"/>
          </w:tcPr>
          <w:p w:rsidR="007A03FC" w:rsidRPr="00765C97" w:rsidRDefault="007A03FC" w:rsidP="007A03FC">
            <w:pPr>
              <w:spacing w:before="20" w:after="20"/>
              <w:ind w:right="180"/>
              <w:jc w:val="right"/>
              <w:rPr>
                <w:rFonts w:ascii="Arial" w:hAnsi="Arial"/>
                <w:color w:val="000000"/>
                <w:sz w:val="20"/>
                <w:lang w:val="pl-PL"/>
              </w:rPr>
            </w:pPr>
            <w:r w:rsidRPr="00765C97">
              <w:rPr>
                <w:rFonts w:ascii="Arial" w:hAnsi="Arial"/>
                <w:color w:val="000000"/>
                <w:sz w:val="20"/>
                <w:lang w:val="pl-PL"/>
              </w:rPr>
              <w:t>2 565</w:t>
            </w:r>
          </w:p>
        </w:tc>
      </w:tr>
      <w:tr w:rsidR="007A03FC" w:rsidRPr="00765C97" w:rsidTr="00DD37CC">
        <w:trPr>
          <w:trHeight w:val="255"/>
        </w:trPr>
        <w:tc>
          <w:tcPr>
            <w:tcW w:w="5103" w:type="dxa"/>
            <w:tcBorders>
              <w:top w:val="nil"/>
              <w:left w:val="nil"/>
              <w:bottom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Składki członkowskie</w:t>
            </w:r>
          </w:p>
        </w:tc>
        <w:tc>
          <w:tcPr>
            <w:tcW w:w="1710" w:type="dxa"/>
            <w:tcBorders>
              <w:top w:val="nil"/>
              <w:left w:val="nil"/>
              <w:bottom w:val="nil"/>
              <w:right w:val="nil"/>
            </w:tcBorders>
            <w:vAlign w:val="center"/>
          </w:tcPr>
          <w:p w:rsidR="007A03FC" w:rsidRPr="00765C97" w:rsidRDefault="00AF278D">
            <w:pPr>
              <w:spacing w:before="20" w:after="20"/>
              <w:ind w:right="180"/>
              <w:jc w:val="right"/>
              <w:rPr>
                <w:rFonts w:ascii="Arial" w:hAnsi="Arial"/>
                <w:sz w:val="20"/>
                <w:lang w:val="pl-PL"/>
              </w:rPr>
            </w:pPr>
            <w:r w:rsidRPr="00765C97">
              <w:rPr>
                <w:rFonts w:ascii="Arial" w:hAnsi="Arial"/>
                <w:sz w:val="20"/>
                <w:lang w:val="pl-PL"/>
              </w:rPr>
              <w:t>517</w:t>
            </w:r>
          </w:p>
        </w:tc>
        <w:tc>
          <w:tcPr>
            <w:tcW w:w="1710" w:type="dxa"/>
            <w:tcBorders>
              <w:top w:val="nil"/>
              <w:left w:val="nil"/>
              <w:bottom w:val="nil"/>
              <w:right w:val="nil"/>
            </w:tcBorders>
            <w:vAlign w:val="center"/>
          </w:tcPr>
          <w:p w:rsidR="007A03FC" w:rsidRPr="00765C97" w:rsidRDefault="007A03FC" w:rsidP="007A03FC">
            <w:pPr>
              <w:spacing w:before="20" w:after="20"/>
              <w:ind w:right="180"/>
              <w:jc w:val="right"/>
              <w:rPr>
                <w:rFonts w:ascii="Arial" w:hAnsi="Arial"/>
                <w:sz w:val="20"/>
                <w:lang w:val="pl-PL"/>
              </w:rPr>
            </w:pPr>
            <w:r w:rsidRPr="00765C97">
              <w:rPr>
                <w:rFonts w:ascii="Arial" w:hAnsi="Arial"/>
                <w:sz w:val="20"/>
                <w:lang w:val="pl-PL"/>
              </w:rPr>
              <w:t>344</w:t>
            </w:r>
          </w:p>
        </w:tc>
      </w:tr>
      <w:tr w:rsidR="007A03FC" w:rsidRPr="00765C97" w:rsidTr="00DD37CC">
        <w:trPr>
          <w:trHeight w:val="255"/>
        </w:trPr>
        <w:tc>
          <w:tcPr>
            <w:tcW w:w="5103" w:type="dxa"/>
            <w:tcBorders>
              <w:top w:val="nil"/>
              <w:left w:val="nil"/>
              <w:bottom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Darowizny</w:t>
            </w:r>
          </w:p>
        </w:tc>
        <w:tc>
          <w:tcPr>
            <w:tcW w:w="1710" w:type="dxa"/>
            <w:tcBorders>
              <w:top w:val="nil"/>
              <w:left w:val="nil"/>
              <w:right w:val="nil"/>
            </w:tcBorders>
            <w:vAlign w:val="center"/>
          </w:tcPr>
          <w:p w:rsidR="007A03FC" w:rsidRPr="00765C97" w:rsidRDefault="00AF278D">
            <w:pPr>
              <w:spacing w:before="20" w:after="20"/>
              <w:ind w:right="180"/>
              <w:jc w:val="right"/>
              <w:rPr>
                <w:rFonts w:ascii="Arial" w:hAnsi="Arial"/>
                <w:sz w:val="20"/>
                <w:lang w:val="pl-PL"/>
              </w:rPr>
            </w:pPr>
            <w:r w:rsidRPr="00765C97">
              <w:rPr>
                <w:rFonts w:ascii="Arial" w:hAnsi="Arial"/>
                <w:sz w:val="20"/>
                <w:lang w:val="pl-PL"/>
              </w:rPr>
              <w:t>147</w:t>
            </w:r>
          </w:p>
        </w:tc>
        <w:tc>
          <w:tcPr>
            <w:tcW w:w="1710" w:type="dxa"/>
            <w:tcBorders>
              <w:top w:val="nil"/>
              <w:left w:val="nil"/>
              <w:right w:val="nil"/>
            </w:tcBorders>
            <w:vAlign w:val="center"/>
          </w:tcPr>
          <w:p w:rsidR="007A03FC" w:rsidRPr="00765C97" w:rsidRDefault="007A03FC" w:rsidP="007A03FC">
            <w:pPr>
              <w:spacing w:before="20" w:after="20"/>
              <w:ind w:right="180"/>
              <w:jc w:val="right"/>
              <w:rPr>
                <w:rFonts w:ascii="Arial" w:hAnsi="Arial"/>
                <w:sz w:val="20"/>
                <w:lang w:val="pl-PL"/>
              </w:rPr>
            </w:pPr>
            <w:r w:rsidRPr="00765C97">
              <w:rPr>
                <w:rFonts w:ascii="Arial" w:hAnsi="Arial"/>
                <w:sz w:val="20"/>
                <w:lang w:val="pl-PL"/>
              </w:rPr>
              <w:t>80</w:t>
            </w:r>
          </w:p>
        </w:tc>
      </w:tr>
      <w:tr w:rsidR="007A03FC" w:rsidRPr="00765C97" w:rsidTr="00DD37CC">
        <w:trPr>
          <w:trHeight w:val="255"/>
        </w:trPr>
        <w:tc>
          <w:tcPr>
            <w:tcW w:w="5103" w:type="dxa"/>
            <w:tcBorders>
              <w:top w:val="nil"/>
              <w:left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Strata ze zbycia i likwidacji aktywów trwałych</w:t>
            </w:r>
          </w:p>
        </w:tc>
        <w:tc>
          <w:tcPr>
            <w:tcW w:w="1710" w:type="dxa"/>
            <w:tcBorders>
              <w:top w:val="nil"/>
              <w:left w:val="nil"/>
              <w:right w:val="nil"/>
            </w:tcBorders>
            <w:vAlign w:val="center"/>
          </w:tcPr>
          <w:p w:rsidR="007A03FC" w:rsidRPr="00765C97" w:rsidRDefault="00AF278D">
            <w:pPr>
              <w:spacing w:before="20" w:after="20"/>
              <w:ind w:right="180"/>
              <w:jc w:val="right"/>
              <w:rPr>
                <w:rFonts w:ascii="Arial" w:hAnsi="Arial"/>
                <w:sz w:val="20"/>
                <w:lang w:val="pl-PL"/>
              </w:rPr>
            </w:pPr>
            <w:r w:rsidRPr="00765C97">
              <w:rPr>
                <w:rFonts w:ascii="Arial" w:hAnsi="Arial"/>
                <w:sz w:val="20"/>
                <w:lang w:val="pl-PL"/>
              </w:rPr>
              <w:t>827</w:t>
            </w:r>
          </w:p>
        </w:tc>
        <w:tc>
          <w:tcPr>
            <w:tcW w:w="1710" w:type="dxa"/>
            <w:tcBorders>
              <w:top w:val="nil"/>
              <w:left w:val="nil"/>
              <w:right w:val="nil"/>
            </w:tcBorders>
            <w:vAlign w:val="center"/>
          </w:tcPr>
          <w:p w:rsidR="007A03FC" w:rsidRPr="00765C97" w:rsidRDefault="007A03FC" w:rsidP="007A03FC">
            <w:pPr>
              <w:spacing w:before="20" w:after="20"/>
              <w:ind w:right="180"/>
              <w:jc w:val="right"/>
              <w:rPr>
                <w:rFonts w:ascii="Arial" w:hAnsi="Arial"/>
                <w:sz w:val="20"/>
                <w:lang w:val="pl-PL"/>
              </w:rPr>
            </w:pPr>
            <w:r w:rsidRPr="00765C97">
              <w:rPr>
                <w:rFonts w:ascii="Arial" w:hAnsi="Arial"/>
                <w:sz w:val="20"/>
                <w:lang w:val="pl-PL"/>
              </w:rPr>
              <w:t>254</w:t>
            </w:r>
          </w:p>
        </w:tc>
      </w:tr>
      <w:tr w:rsidR="007A03FC" w:rsidRPr="00765C97" w:rsidTr="00DD37CC">
        <w:trPr>
          <w:trHeight w:val="255"/>
        </w:trPr>
        <w:tc>
          <w:tcPr>
            <w:tcW w:w="5103" w:type="dxa"/>
            <w:tcBorders>
              <w:left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Odpis aktualizujący wartość należności</w:t>
            </w:r>
          </w:p>
        </w:tc>
        <w:tc>
          <w:tcPr>
            <w:tcW w:w="1710" w:type="dxa"/>
            <w:tcBorders>
              <w:left w:val="nil"/>
              <w:right w:val="nil"/>
            </w:tcBorders>
            <w:vAlign w:val="center"/>
          </w:tcPr>
          <w:p w:rsidR="007A03FC" w:rsidRPr="00765C97" w:rsidRDefault="00AF278D">
            <w:pPr>
              <w:spacing w:before="20" w:after="20"/>
              <w:ind w:right="180"/>
              <w:jc w:val="right"/>
              <w:rPr>
                <w:rFonts w:ascii="Arial" w:hAnsi="Arial"/>
                <w:sz w:val="20"/>
                <w:lang w:val="pl-PL"/>
              </w:rPr>
            </w:pPr>
            <w:r w:rsidRPr="00765C97">
              <w:rPr>
                <w:rFonts w:ascii="Arial" w:hAnsi="Arial"/>
                <w:sz w:val="20"/>
                <w:lang w:val="pl-PL"/>
              </w:rPr>
              <w:t>13 132</w:t>
            </w:r>
          </w:p>
        </w:tc>
        <w:tc>
          <w:tcPr>
            <w:tcW w:w="1710" w:type="dxa"/>
            <w:tcBorders>
              <w:left w:val="nil"/>
              <w:right w:val="nil"/>
            </w:tcBorders>
            <w:vAlign w:val="center"/>
          </w:tcPr>
          <w:p w:rsidR="007A03FC" w:rsidRPr="00765C97" w:rsidRDefault="007A03FC" w:rsidP="007A03FC">
            <w:pPr>
              <w:spacing w:before="20" w:after="20"/>
              <w:ind w:right="180"/>
              <w:jc w:val="right"/>
              <w:rPr>
                <w:rFonts w:ascii="Arial" w:hAnsi="Arial"/>
                <w:sz w:val="20"/>
                <w:lang w:val="pl-PL"/>
              </w:rPr>
            </w:pPr>
            <w:r w:rsidRPr="00765C97">
              <w:rPr>
                <w:rFonts w:ascii="Arial" w:hAnsi="Arial"/>
                <w:sz w:val="20"/>
                <w:lang w:val="pl-PL"/>
              </w:rPr>
              <w:t>14 978</w:t>
            </w:r>
          </w:p>
        </w:tc>
      </w:tr>
      <w:tr w:rsidR="007A03FC" w:rsidRPr="00765C97" w:rsidTr="00DD37CC">
        <w:trPr>
          <w:trHeight w:val="255"/>
        </w:trPr>
        <w:tc>
          <w:tcPr>
            <w:tcW w:w="5103" w:type="dxa"/>
            <w:tcBorders>
              <w:left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Odszkodowania</w:t>
            </w:r>
          </w:p>
        </w:tc>
        <w:tc>
          <w:tcPr>
            <w:tcW w:w="1710" w:type="dxa"/>
            <w:tcBorders>
              <w:left w:val="nil"/>
              <w:right w:val="nil"/>
            </w:tcBorders>
            <w:vAlign w:val="center"/>
          </w:tcPr>
          <w:p w:rsidR="007A03FC" w:rsidRPr="00765C97" w:rsidRDefault="00AF278D">
            <w:pPr>
              <w:spacing w:before="20" w:after="20"/>
              <w:ind w:right="180"/>
              <w:jc w:val="right"/>
              <w:rPr>
                <w:rFonts w:ascii="Arial" w:hAnsi="Arial"/>
                <w:sz w:val="20"/>
                <w:lang w:val="pl-PL"/>
              </w:rPr>
            </w:pPr>
            <w:r w:rsidRPr="00765C97">
              <w:rPr>
                <w:rFonts w:ascii="Arial" w:hAnsi="Arial"/>
                <w:sz w:val="20"/>
                <w:lang w:val="pl-PL"/>
              </w:rPr>
              <w:t>30</w:t>
            </w:r>
          </w:p>
        </w:tc>
        <w:tc>
          <w:tcPr>
            <w:tcW w:w="1710" w:type="dxa"/>
            <w:tcBorders>
              <w:left w:val="nil"/>
              <w:right w:val="nil"/>
            </w:tcBorders>
            <w:vAlign w:val="center"/>
          </w:tcPr>
          <w:p w:rsidR="007A03FC" w:rsidRPr="00765C97" w:rsidRDefault="007A03FC" w:rsidP="007A03FC">
            <w:pPr>
              <w:spacing w:before="20" w:after="20"/>
              <w:ind w:right="180"/>
              <w:jc w:val="right"/>
              <w:rPr>
                <w:rFonts w:ascii="Arial" w:hAnsi="Arial"/>
                <w:sz w:val="20"/>
                <w:lang w:val="pl-PL"/>
              </w:rPr>
            </w:pPr>
            <w:r w:rsidRPr="00765C97">
              <w:rPr>
                <w:rFonts w:ascii="Arial" w:hAnsi="Arial"/>
                <w:sz w:val="20"/>
                <w:lang w:val="pl-PL"/>
              </w:rPr>
              <w:t>-</w:t>
            </w:r>
          </w:p>
        </w:tc>
      </w:tr>
      <w:tr w:rsidR="007A03FC" w:rsidRPr="00765C97" w:rsidTr="00DD37CC">
        <w:trPr>
          <w:trHeight w:val="255"/>
        </w:trPr>
        <w:tc>
          <w:tcPr>
            <w:tcW w:w="5103" w:type="dxa"/>
            <w:tcBorders>
              <w:left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Inne</w:t>
            </w:r>
          </w:p>
        </w:tc>
        <w:tc>
          <w:tcPr>
            <w:tcW w:w="1710" w:type="dxa"/>
            <w:tcBorders>
              <w:left w:val="nil"/>
              <w:bottom w:val="single" w:sz="4" w:space="0" w:color="auto"/>
              <w:right w:val="nil"/>
            </w:tcBorders>
            <w:vAlign w:val="center"/>
          </w:tcPr>
          <w:p w:rsidR="007A03FC" w:rsidRPr="00765C97" w:rsidRDefault="00AF278D">
            <w:pPr>
              <w:spacing w:before="20" w:after="20"/>
              <w:ind w:right="180"/>
              <w:jc w:val="right"/>
              <w:rPr>
                <w:rFonts w:ascii="Arial" w:hAnsi="Arial"/>
                <w:sz w:val="20"/>
                <w:lang w:val="pl-PL"/>
              </w:rPr>
            </w:pPr>
            <w:r w:rsidRPr="00765C97">
              <w:rPr>
                <w:rFonts w:ascii="Arial" w:hAnsi="Arial"/>
                <w:sz w:val="20"/>
                <w:lang w:val="pl-PL"/>
              </w:rPr>
              <w:t>7 685</w:t>
            </w:r>
          </w:p>
        </w:tc>
        <w:tc>
          <w:tcPr>
            <w:tcW w:w="1710" w:type="dxa"/>
            <w:tcBorders>
              <w:left w:val="nil"/>
              <w:bottom w:val="single" w:sz="4" w:space="0" w:color="auto"/>
              <w:right w:val="nil"/>
            </w:tcBorders>
            <w:vAlign w:val="center"/>
          </w:tcPr>
          <w:p w:rsidR="007A03FC" w:rsidRPr="00765C97" w:rsidRDefault="007A03FC" w:rsidP="007A03FC">
            <w:pPr>
              <w:spacing w:before="20" w:after="20"/>
              <w:ind w:right="180"/>
              <w:jc w:val="right"/>
              <w:rPr>
                <w:rFonts w:ascii="Arial" w:hAnsi="Arial"/>
                <w:sz w:val="20"/>
                <w:lang w:val="pl-PL"/>
              </w:rPr>
            </w:pPr>
            <w:r w:rsidRPr="00765C97">
              <w:rPr>
                <w:rFonts w:ascii="Arial" w:hAnsi="Arial"/>
                <w:sz w:val="20"/>
                <w:lang w:val="pl-PL"/>
              </w:rPr>
              <w:t>679</w:t>
            </w:r>
          </w:p>
        </w:tc>
      </w:tr>
      <w:tr w:rsidR="007A03FC" w:rsidRPr="00765C97" w:rsidTr="00DD37CC">
        <w:trPr>
          <w:trHeight w:val="255"/>
        </w:trPr>
        <w:tc>
          <w:tcPr>
            <w:tcW w:w="5103" w:type="dxa"/>
            <w:tcBorders>
              <w:left w:val="nil"/>
              <w:right w:val="nil"/>
            </w:tcBorders>
            <w:vAlign w:val="center"/>
          </w:tcPr>
          <w:p w:rsidR="007A03FC" w:rsidRPr="00765C97" w:rsidRDefault="007A03FC">
            <w:pPr>
              <w:spacing w:before="20" w:after="20"/>
              <w:rPr>
                <w:rFonts w:ascii="Arial" w:hAnsi="Arial"/>
                <w:b/>
                <w:sz w:val="20"/>
                <w:lang w:val="pl-PL"/>
              </w:rPr>
            </w:pPr>
            <w:r w:rsidRPr="00765C97">
              <w:rPr>
                <w:rFonts w:ascii="Arial" w:hAnsi="Arial"/>
                <w:b/>
                <w:sz w:val="20"/>
                <w:lang w:val="pl-PL"/>
              </w:rPr>
              <w:t>Razem</w:t>
            </w:r>
          </w:p>
        </w:tc>
        <w:tc>
          <w:tcPr>
            <w:tcW w:w="1710" w:type="dxa"/>
            <w:tcBorders>
              <w:top w:val="single" w:sz="4" w:space="0" w:color="auto"/>
              <w:left w:val="nil"/>
              <w:bottom w:val="single" w:sz="2" w:space="0" w:color="auto"/>
              <w:right w:val="nil"/>
            </w:tcBorders>
            <w:vAlign w:val="center"/>
          </w:tcPr>
          <w:p w:rsidR="007A03FC" w:rsidRPr="00765C97" w:rsidRDefault="00AF278D">
            <w:pPr>
              <w:spacing w:before="20" w:after="20"/>
              <w:ind w:right="180"/>
              <w:jc w:val="right"/>
              <w:rPr>
                <w:rFonts w:ascii="Arial" w:hAnsi="Arial"/>
                <w:b/>
                <w:sz w:val="20"/>
                <w:lang w:val="pl-PL"/>
              </w:rPr>
            </w:pPr>
            <w:r w:rsidRPr="00765C97">
              <w:rPr>
                <w:rFonts w:ascii="Arial" w:hAnsi="Arial"/>
                <w:b/>
                <w:sz w:val="20"/>
                <w:lang w:val="pl-PL"/>
              </w:rPr>
              <w:t>22 338</w:t>
            </w:r>
          </w:p>
        </w:tc>
        <w:tc>
          <w:tcPr>
            <w:tcW w:w="1710" w:type="dxa"/>
            <w:tcBorders>
              <w:top w:val="single" w:sz="4" w:space="0" w:color="auto"/>
              <w:left w:val="nil"/>
              <w:bottom w:val="single" w:sz="2" w:space="0" w:color="auto"/>
              <w:right w:val="nil"/>
            </w:tcBorders>
            <w:vAlign w:val="center"/>
          </w:tcPr>
          <w:p w:rsidR="007A03FC" w:rsidRPr="00765C97" w:rsidRDefault="007A03FC" w:rsidP="007A03FC">
            <w:pPr>
              <w:spacing w:before="20" w:after="20"/>
              <w:ind w:right="180"/>
              <w:jc w:val="right"/>
              <w:rPr>
                <w:rFonts w:ascii="Arial" w:hAnsi="Arial"/>
                <w:b/>
                <w:sz w:val="20"/>
                <w:lang w:val="pl-PL"/>
              </w:rPr>
            </w:pPr>
            <w:r w:rsidRPr="00765C97">
              <w:rPr>
                <w:rFonts w:ascii="Arial" w:hAnsi="Arial"/>
                <w:b/>
                <w:sz w:val="20"/>
                <w:lang w:val="pl-PL"/>
              </w:rPr>
              <w:t>18 900</w:t>
            </w:r>
          </w:p>
        </w:tc>
      </w:tr>
    </w:tbl>
    <w:p w:rsidR="00B24DA9" w:rsidRPr="00765C97" w:rsidRDefault="00B24DA9" w:rsidP="00135A9A">
      <w:pPr>
        <w:pStyle w:val="Nagwek3"/>
        <w:keepNext w:val="0"/>
        <w:numPr>
          <w:ilvl w:val="1"/>
          <w:numId w:val="22"/>
        </w:numPr>
        <w:spacing w:after="240"/>
        <w:ind w:left="709" w:hanging="567"/>
        <w:rPr>
          <w:sz w:val="20"/>
          <w:lang w:val="pl-PL"/>
        </w:rPr>
      </w:pPr>
      <w:bookmarkStart w:id="84" w:name="_Toc353973237"/>
      <w:r w:rsidRPr="00765C97">
        <w:rPr>
          <w:sz w:val="20"/>
          <w:lang w:val="pl-PL"/>
        </w:rPr>
        <w:t>Koszty finansowe – netto</w:t>
      </w:r>
      <w:bookmarkEnd w:id="84"/>
      <w:r w:rsidRPr="00765C97">
        <w:rPr>
          <w:sz w:val="20"/>
          <w:lang w:val="pl-PL"/>
        </w:rPr>
        <w:t xml:space="preserve"> </w:t>
      </w:r>
    </w:p>
    <w:tbl>
      <w:tblPr>
        <w:tblW w:w="8523" w:type="dxa"/>
        <w:tblLayout w:type="fixed"/>
        <w:tblCellMar>
          <w:left w:w="0" w:type="dxa"/>
          <w:right w:w="0" w:type="dxa"/>
        </w:tblCellMar>
        <w:tblLook w:val="0000"/>
      </w:tblPr>
      <w:tblGrid>
        <w:gridCol w:w="5103"/>
        <w:gridCol w:w="1710"/>
        <w:gridCol w:w="1710"/>
      </w:tblGrid>
      <w:tr w:rsidR="00B24DA9" w:rsidRPr="00765C97" w:rsidTr="00DD37CC">
        <w:trPr>
          <w:trHeight w:val="255"/>
        </w:trPr>
        <w:tc>
          <w:tcPr>
            <w:tcW w:w="5103" w:type="dxa"/>
            <w:tcBorders>
              <w:top w:val="nil"/>
              <w:left w:val="nil"/>
              <w:bottom w:val="nil"/>
              <w:right w:val="nil"/>
            </w:tcBorders>
          </w:tcPr>
          <w:p w:rsidR="00B24DA9" w:rsidRPr="00765C97" w:rsidRDefault="00B24DA9">
            <w:pPr>
              <w:rPr>
                <w:rFonts w:ascii="Arial" w:hAnsi="Arial"/>
                <w:b/>
                <w:sz w:val="20"/>
                <w:lang w:val="pl-PL"/>
              </w:rPr>
            </w:pPr>
          </w:p>
        </w:tc>
        <w:tc>
          <w:tcPr>
            <w:tcW w:w="1710" w:type="dxa"/>
            <w:tcBorders>
              <w:top w:val="nil"/>
              <w:left w:val="nil"/>
              <w:bottom w:val="nil"/>
              <w:right w:val="nil"/>
            </w:tcBorders>
            <w:vAlign w:val="center"/>
          </w:tcPr>
          <w:p w:rsidR="00B24DA9" w:rsidRPr="00765C97" w:rsidRDefault="00B24DA9">
            <w:pPr>
              <w:ind w:right="130"/>
              <w:jc w:val="right"/>
              <w:rPr>
                <w:rFonts w:ascii="Arial" w:hAnsi="Arial"/>
                <w:b/>
                <w:sz w:val="20"/>
                <w:lang w:val="pl-PL"/>
              </w:rPr>
            </w:pPr>
            <w:r w:rsidRPr="00765C97">
              <w:rPr>
                <w:rFonts w:ascii="Arial" w:hAnsi="Arial"/>
                <w:b/>
                <w:sz w:val="20"/>
                <w:lang w:val="pl-PL"/>
              </w:rPr>
              <w:t>12 miesięcy</w:t>
            </w:r>
          </w:p>
          <w:p w:rsidR="00B24DA9" w:rsidRPr="00765C97" w:rsidRDefault="00B24DA9" w:rsidP="007A03FC">
            <w:pPr>
              <w:ind w:right="130"/>
              <w:jc w:val="right"/>
              <w:rPr>
                <w:rFonts w:ascii="Arial" w:hAnsi="Arial"/>
                <w:b/>
                <w:sz w:val="20"/>
                <w:lang w:val="pl-PL"/>
              </w:rPr>
            </w:pPr>
            <w:r w:rsidRPr="00765C97">
              <w:rPr>
                <w:rFonts w:ascii="Arial" w:hAnsi="Arial"/>
                <w:b/>
                <w:sz w:val="20"/>
                <w:lang w:val="pl-PL"/>
              </w:rPr>
              <w:t>20</w:t>
            </w:r>
            <w:r w:rsidR="003F70E6" w:rsidRPr="00765C97">
              <w:rPr>
                <w:rFonts w:ascii="Arial" w:hAnsi="Arial"/>
                <w:b/>
                <w:sz w:val="20"/>
                <w:lang w:val="pl-PL"/>
              </w:rPr>
              <w:t>1</w:t>
            </w:r>
            <w:r w:rsidR="007A03FC" w:rsidRPr="00765C97">
              <w:rPr>
                <w:rFonts w:ascii="Arial" w:hAnsi="Arial"/>
                <w:b/>
                <w:sz w:val="20"/>
                <w:lang w:val="pl-PL"/>
              </w:rPr>
              <w:t>2</w:t>
            </w:r>
          </w:p>
        </w:tc>
        <w:tc>
          <w:tcPr>
            <w:tcW w:w="1710" w:type="dxa"/>
            <w:tcBorders>
              <w:top w:val="nil"/>
              <w:left w:val="nil"/>
              <w:bottom w:val="nil"/>
              <w:right w:val="nil"/>
            </w:tcBorders>
            <w:vAlign w:val="center"/>
          </w:tcPr>
          <w:p w:rsidR="00B24DA9" w:rsidRPr="00765C97" w:rsidRDefault="00B24DA9">
            <w:pPr>
              <w:ind w:right="141"/>
              <w:jc w:val="right"/>
              <w:rPr>
                <w:rFonts w:ascii="Arial" w:hAnsi="Arial"/>
                <w:b/>
                <w:sz w:val="20"/>
                <w:lang w:val="pl-PL"/>
              </w:rPr>
            </w:pPr>
            <w:r w:rsidRPr="00765C97">
              <w:rPr>
                <w:rFonts w:ascii="Arial" w:hAnsi="Arial"/>
                <w:b/>
                <w:sz w:val="20"/>
                <w:lang w:val="pl-PL"/>
              </w:rPr>
              <w:t>12 miesięcy</w:t>
            </w:r>
          </w:p>
          <w:p w:rsidR="00B24DA9" w:rsidRPr="00765C97" w:rsidRDefault="00B24DA9" w:rsidP="007A03FC">
            <w:pPr>
              <w:ind w:right="141"/>
              <w:jc w:val="right"/>
              <w:rPr>
                <w:rFonts w:ascii="Arial" w:hAnsi="Arial"/>
                <w:b/>
                <w:sz w:val="20"/>
                <w:lang w:val="pl-PL"/>
              </w:rPr>
            </w:pPr>
            <w:r w:rsidRPr="00765C97">
              <w:rPr>
                <w:rFonts w:ascii="Arial" w:hAnsi="Arial"/>
                <w:b/>
                <w:sz w:val="20"/>
                <w:lang w:val="pl-PL"/>
              </w:rPr>
              <w:t>20</w:t>
            </w:r>
            <w:r w:rsidR="00372F12" w:rsidRPr="00765C97">
              <w:rPr>
                <w:rFonts w:ascii="Arial" w:hAnsi="Arial"/>
                <w:b/>
                <w:sz w:val="20"/>
                <w:lang w:val="pl-PL"/>
              </w:rPr>
              <w:t>1</w:t>
            </w:r>
            <w:r w:rsidR="007A03FC" w:rsidRPr="00765C97">
              <w:rPr>
                <w:rFonts w:ascii="Arial" w:hAnsi="Arial"/>
                <w:b/>
                <w:sz w:val="20"/>
                <w:lang w:val="pl-PL"/>
              </w:rPr>
              <w:t>1</w:t>
            </w:r>
          </w:p>
        </w:tc>
      </w:tr>
      <w:tr w:rsidR="007A03FC" w:rsidRPr="00765C97" w:rsidTr="00DD37CC">
        <w:trPr>
          <w:trHeight w:val="255"/>
        </w:trPr>
        <w:tc>
          <w:tcPr>
            <w:tcW w:w="5103" w:type="dxa"/>
            <w:tcBorders>
              <w:top w:val="nil"/>
              <w:left w:val="nil"/>
              <w:right w:val="nil"/>
            </w:tcBorders>
            <w:vAlign w:val="center"/>
          </w:tcPr>
          <w:p w:rsidR="007A03FC" w:rsidRPr="00765C97" w:rsidRDefault="007A03FC">
            <w:pPr>
              <w:tabs>
                <w:tab w:val="left" w:pos="993"/>
              </w:tabs>
              <w:rPr>
                <w:rFonts w:ascii="Arial" w:hAnsi="Arial"/>
                <w:sz w:val="20"/>
                <w:lang w:val="pl-PL"/>
              </w:rPr>
            </w:pPr>
            <w:r w:rsidRPr="00765C97">
              <w:rPr>
                <w:rFonts w:ascii="Arial" w:hAnsi="Arial"/>
                <w:sz w:val="20"/>
                <w:lang w:val="pl-PL"/>
              </w:rPr>
              <w:t>Koszty odsetek, w tym:</w:t>
            </w:r>
          </w:p>
        </w:tc>
        <w:tc>
          <w:tcPr>
            <w:tcW w:w="1710" w:type="dxa"/>
            <w:tcBorders>
              <w:top w:val="nil"/>
              <w:left w:val="nil"/>
              <w:right w:val="nil"/>
            </w:tcBorders>
            <w:vAlign w:val="center"/>
          </w:tcPr>
          <w:p w:rsidR="007A03FC" w:rsidRPr="00765C97" w:rsidRDefault="00773014">
            <w:pPr>
              <w:ind w:right="180"/>
              <w:jc w:val="right"/>
              <w:rPr>
                <w:rFonts w:ascii="Arial" w:hAnsi="Arial"/>
                <w:sz w:val="20"/>
                <w:lang w:val="pl-PL"/>
              </w:rPr>
            </w:pPr>
            <w:r w:rsidRPr="00765C97">
              <w:rPr>
                <w:rFonts w:ascii="Arial" w:hAnsi="Arial"/>
                <w:sz w:val="20"/>
                <w:lang w:val="pl-PL"/>
              </w:rPr>
              <w:t>(4 613)</w:t>
            </w:r>
          </w:p>
        </w:tc>
        <w:tc>
          <w:tcPr>
            <w:tcW w:w="1710" w:type="dxa"/>
            <w:tcBorders>
              <w:top w:val="nil"/>
              <w:left w:val="nil"/>
              <w:right w:val="nil"/>
            </w:tcBorders>
            <w:vAlign w:val="center"/>
          </w:tcPr>
          <w:p w:rsidR="007A03FC" w:rsidRPr="00765C97" w:rsidRDefault="007A03FC" w:rsidP="007A03FC">
            <w:pPr>
              <w:ind w:right="180"/>
              <w:jc w:val="right"/>
              <w:rPr>
                <w:rFonts w:ascii="Arial" w:hAnsi="Arial"/>
                <w:sz w:val="20"/>
                <w:lang w:val="pl-PL"/>
              </w:rPr>
            </w:pPr>
            <w:r w:rsidRPr="00765C97">
              <w:rPr>
                <w:rFonts w:ascii="Arial" w:hAnsi="Arial"/>
                <w:sz w:val="20"/>
                <w:lang w:val="pl-PL"/>
              </w:rPr>
              <w:t>(4 531)</w:t>
            </w:r>
          </w:p>
        </w:tc>
      </w:tr>
      <w:tr w:rsidR="007A03FC" w:rsidRPr="00765C97" w:rsidTr="00DD37CC">
        <w:trPr>
          <w:trHeight w:val="255"/>
        </w:trPr>
        <w:tc>
          <w:tcPr>
            <w:tcW w:w="5103" w:type="dxa"/>
            <w:tcBorders>
              <w:left w:val="nil"/>
              <w:bottom w:val="nil"/>
              <w:right w:val="nil"/>
            </w:tcBorders>
            <w:vAlign w:val="center"/>
          </w:tcPr>
          <w:p w:rsidR="007A03FC" w:rsidRPr="00765C97" w:rsidRDefault="007A03FC">
            <w:pPr>
              <w:tabs>
                <w:tab w:val="left" w:pos="993"/>
              </w:tabs>
              <w:rPr>
                <w:rFonts w:ascii="Arial" w:hAnsi="Arial"/>
                <w:i/>
                <w:sz w:val="20"/>
                <w:lang w:val="pl-PL"/>
              </w:rPr>
            </w:pPr>
            <w:r w:rsidRPr="00765C97">
              <w:rPr>
                <w:rFonts w:ascii="Arial" w:hAnsi="Arial"/>
                <w:i/>
                <w:sz w:val="20"/>
                <w:lang w:val="pl-PL"/>
              </w:rPr>
              <w:t xml:space="preserve">  - odsetki od pożyczek i kredytów</w:t>
            </w:r>
          </w:p>
        </w:tc>
        <w:tc>
          <w:tcPr>
            <w:tcW w:w="1710" w:type="dxa"/>
            <w:tcBorders>
              <w:left w:val="nil"/>
              <w:bottom w:val="nil"/>
              <w:right w:val="nil"/>
            </w:tcBorders>
            <w:vAlign w:val="center"/>
          </w:tcPr>
          <w:p w:rsidR="007A03FC" w:rsidRPr="00765C97" w:rsidRDefault="00773014">
            <w:pPr>
              <w:ind w:right="180"/>
              <w:jc w:val="right"/>
              <w:rPr>
                <w:rFonts w:ascii="Arial" w:hAnsi="Arial"/>
                <w:i/>
                <w:sz w:val="20"/>
                <w:lang w:val="pl-PL"/>
              </w:rPr>
            </w:pPr>
            <w:r w:rsidRPr="00765C97">
              <w:rPr>
                <w:rFonts w:ascii="Arial" w:hAnsi="Arial"/>
                <w:i/>
                <w:sz w:val="20"/>
                <w:lang w:val="pl-PL"/>
              </w:rPr>
              <w:t>(4 289)</w:t>
            </w:r>
          </w:p>
        </w:tc>
        <w:tc>
          <w:tcPr>
            <w:tcW w:w="1710" w:type="dxa"/>
            <w:tcBorders>
              <w:left w:val="nil"/>
              <w:bottom w:val="nil"/>
              <w:right w:val="nil"/>
            </w:tcBorders>
            <w:vAlign w:val="center"/>
          </w:tcPr>
          <w:p w:rsidR="007A03FC" w:rsidRPr="00765C97" w:rsidRDefault="007A03FC" w:rsidP="007A03FC">
            <w:pPr>
              <w:ind w:right="180"/>
              <w:jc w:val="right"/>
              <w:rPr>
                <w:rFonts w:ascii="Arial" w:hAnsi="Arial"/>
                <w:i/>
                <w:sz w:val="20"/>
                <w:lang w:val="pl-PL"/>
              </w:rPr>
            </w:pPr>
            <w:r w:rsidRPr="00765C97">
              <w:rPr>
                <w:rFonts w:ascii="Arial" w:hAnsi="Arial"/>
                <w:i/>
                <w:sz w:val="20"/>
                <w:lang w:val="pl-PL"/>
              </w:rPr>
              <w:t>(3 824)</w:t>
            </w:r>
          </w:p>
        </w:tc>
      </w:tr>
      <w:tr w:rsidR="007A03FC" w:rsidRPr="00765C97" w:rsidTr="00DD37CC">
        <w:trPr>
          <w:trHeight w:val="255"/>
        </w:trPr>
        <w:tc>
          <w:tcPr>
            <w:tcW w:w="5103" w:type="dxa"/>
            <w:tcBorders>
              <w:left w:val="nil"/>
              <w:bottom w:val="nil"/>
              <w:right w:val="nil"/>
            </w:tcBorders>
            <w:vAlign w:val="center"/>
          </w:tcPr>
          <w:p w:rsidR="007A03FC" w:rsidRPr="00765C97" w:rsidRDefault="007A03FC">
            <w:pPr>
              <w:tabs>
                <w:tab w:val="left" w:pos="993"/>
              </w:tabs>
              <w:rPr>
                <w:rFonts w:ascii="Arial" w:hAnsi="Arial"/>
                <w:i/>
                <w:sz w:val="20"/>
                <w:lang w:val="pl-PL"/>
              </w:rPr>
            </w:pPr>
            <w:r w:rsidRPr="00765C97">
              <w:rPr>
                <w:rFonts w:ascii="Arial" w:hAnsi="Arial"/>
                <w:i/>
                <w:sz w:val="20"/>
                <w:lang w:val="pl-PL"/>
              </w:rPr>
              <w:t xml:space="preserve">  - inne</w:t>
            </w:r>
          </w:p>
        </w:tc>
        <w:tc>
          <w:tcPr>
            <w:tcW w:w="1710" w:type="dxa"/>
            <w:tcBorders>
              <w:left w:val="nil"/>
              <w:bottom w:val="nil"/>
              <w:right w:val="nil"/>
            </w:tcBorders>
            <w:vAlign w:val="center"/>
          </w:tcPr>
          <w:p w:rsidR="007A03FC" w:rsidRPr="00765C97" w:rsidRDefault="00773014">
            <w:pPr>
              <w:ind w:right="180"/>
              <w:jc w:val="right"/>
              <w:rPr>
                <w:rFonts w:ascii="Arial" w:hAnsi="Arial"/>
                <w:i/>
                <w:sz w:val="20"/>
                <w:lang w:val="pl-PL"/>
              </w:rPr>
            </w:pPr>
            <w:r w:rsidRPr="00765C97">
              <w:rPr>
                <w:rFonts w:ascii="Arial" w:hAnsi="Arial"/>
                <w:i/>
                <w:sz w:val="20"/>
                <w:lang w:val="pl-PL"/>
              </w:rPr>
              <w:t>(324)</w:t>
            </w:r>
          </w:p>
        </w:tc>
        <w:tc>
          <w:tcPr>
            <w:tcW w:w="1710" w:type="dxa"/>
            <w:tcBorders>
              <w:left w:val="nil"/>
              <w:bottom w:val="nil"/>
              <w:right w:val="nil"/>
            </w:tcBorders>
            <w:vAlign w:val="center"/>
          </w:tcPr>
          <w:p w:rsidR="007A03FC" w:rsidRPr="00765C97" w:rsidRDefault="007A03FC" w:rsidP="007A03FC">
            <w:pPr>
              <w:ind w:right="180"/>
              <w:jc w:val="right"/>
              <w:rPr>
                <w:rFonts w:ascii="Arial" w:hAnsi="Arial"/>
                <w:i/>
                <w:sz w:val="20"/>
                <w:lang w:val="pl-PL"/>
              </w:rPr>
            </w:pPr>
            <w:r w:rsidRPr="00765C97">
              <w:rPr>
                <w:rFonts w:ascii="Arial" w:hAnsi="Arial"/>
                <w:i/>
                <w:sz w:val="20"/>
                <w:lang w:val="pl-PL"/>
              </w:rPr>
              <w:t>(707)</w:t>
            </w:r>
          </w:p>
        </w:tc>
      </w:tr>
      <w:tr w:rsidR="007A03FC" w:rsidRPr="00765C97" w:rsidTr="00DD37CC">
        <w:trPr>
          <w:trHeight w:val="255"/>
        </w:trPr>
        <w:tc>
          <w:tcPr>
            <w:tcW w:w="5103" w:type="dxa"/>
            <w:tcBorders>
              <w:left w:val="nil"/>
              <w:bottom w:val="nil"/>
              <w:right w:val="nil"/>
            </w:tcBorders>
            <w:vAlign w:val="center"/>
          </w:tcPr>
          <w:p w:rsidR="007A03FC" w:rsidRPr="00765C97" w:rsidRDefault="007A03FC">
            <w:pPr>
              <w:tabs>
                <w:tab w:val="left" w:pos="993"/>
              </w:tabs>
              <w:rPr>
                <w:rFonts w:ascii="Arial" w:hAnsi="Arial"/>
                <w:sz w:val="20"/>
                <w:lang w:val="pl-PL"/>
              </w:rPr>
            </w:pPr>
            <w:r w:rsidRPr="00765C97">
              <w:rPr>
                <w:rFonts w:ascii="Arial" w:hAnsi="Arial"/>
                <w:sz w:val="20"/>
                <w:lang w:val="pl-PL"/>
              </w:rPr>
              <w:t>Zyski z odsetek od lokat</w:t>
            </w:r>
          </w:p>
        </w:tc>
        <w:tc>
          <w:tcPr>
            <w:tcW w:w="1710" w:type="dxa"/>
            <w:tcBorders>
              <w:left w:val="nil"/>
              <w:bottom w:val="nil"/>
              <w:right w:val="nil"/>
            </w:tcBorders>
            <w:vAlign w:val="center"/>
          </w:tcPr>
          <w:p w:rsidR="007A03FC" w:rsidRPr="00765C97" w:rsidRDefault="00773014">
            <w:pPr>
              <w:ind w:right="180"/>
              <w:jc w:val="right"/>
              <w:rPr>
                <w:rFonts w:ascii="Arial" w:hAnsi="Arial"/>
                <w:sz w:val="20"/>
                <w:lang w:val="pl-PL"/>
              </w:rPr>
            </w:pPr>
            <w:r w:rsidRPr="00765C97">
              <w:rPr>
                <w:rFonts w:ascii="Arial" w:hAnsi="Arial"/>
                <w:sz w:val="20"/>
                <w:lang w:val="pl-PL"/>
              </w:rPr>
              <w:t>5 122</w:t>
            </w:r>
          </w:p>
        </w:tc>
        <w:tc>
          <w:tcPr>
            <w:tcW w:w="1710" w:type="dxa"/>
            <w:tcBorders>
              <w:left w:val="nil"/>
              <w:bottom w:val="nil"/>
              <w:right w:val="nil"/>
            </w:tcBorders>
            <w:vAlign w:val="center"/>
          </w:tcPr>
          <w:p w:rsidR="007A03FC" w:rsidRPr="00765C97" w:rsidRDefault="007A03FC" w:rsidP="007A03FC">
            <w:pPr>
              <w:ind w:right="180"/>
              <w:jc w:val="right"/>
              <w:rPr>
                <w:rFonts w:ascii="Arial" w:hAnsi="Arial"/>
                <w:sz w:val="20"/>
                <w:lang w:val="pl-PL"/>
              </w:rPr>
            </w:pPr>
            <w:r w:rsidRPr="00765C97">
              <w:rPr>
                <w:rFonts w:ascii="Arial" w:hAnsi="Arial"/>
                <w:sz w:val="20"/>
                <w:lang w:val="pl-PL"/>
              </w:rPr>
              <w:t>6 057</w:t>
            </w:r>
          </w:p>
        </w:tc>
      </w:tr>
      <w:tr w:rsidR="007A03FC" w:rsidRPr="00765C97" w:rsidTr="00DD37CC">
        <w:trPr>
          <w:trHeight w:val="255"/>
        </w:trPr>
        <w:tc>
          <w:tcPr>
            <w:tcW w:w="5103" w:type="dxa"/>
            <w:tcBorders>
              <w:top w:val="nil"/>
              <w:left w:val="nil"/>
              <w:bottom w:val="nil"/>
              <w:right w:val="nil"/>
            </w:tcBorders>
            <w:vAlign w:val="center"/>
          </w:tcPr>
          <w:p w:rsidR="007A03FC" w:rsidRPr="00765C97" w:rsidRDefault="007A03FC">
            <w:pPr>
              <w:tabs>
                <w:tab w:val="left" w:pos="993"/>
                <w:tab w:val="left" w:pos="1188"/>
              </w:tabs>
              <w:rPr>
                <w:rFonts w:ascii="Arial" w:hAnsi="Arial"/>
                <w:spacing w:val="-8"/>
                <w:sz w:val="20"/>
                <w:lang w:val="pl-PL"/>
              </w:rPr>
            </w:pPr>
            <w:r w:rsidRPr="00765C97">
              <w:rPr>
                <w:rFonts w:ascii="Arial" w:hAnsi="Arial"/>
                <w:spacing w:val="-8"/>
                <w:sz w:val="20"/>
                <w:lang w:val="pl-PL"/>
              </w:rPr>
              <w:t>Zyski ze zbycia papierów wartościowych</w:t>
            </w:r>
          </w:p>
        </w:tc>
        <w:tc>
          <w:tcPr>
            <w:tcW w:w="1710" w:type="dxa"/>
            <w:tcBorders>
              <w:top w:val="nil"/>
              <w:left w:val="nil"/>
              <w:bottom w:val="nil"/>
              <w:right w:val="nil"/>
            </w:tcBorders>
            <w:vAlign w:val="center"/>
          </w:tcPr>
          <w:p w:rsidR="007A03FC" w:rsidRPr="00765C97" w:rsidRDefault="00773014">
            <w:pPr>
              <w:ind w:right="180"/>
              <w:jc w:val="right"/>
              <w:rPr>
                <w:rFonts w:ascii="Arial" w:hAnsi="Arial"/>
                <w:sz w:val="20"/>
                <w:lang w:val="pl-PL"/>
              </w:rPr>
            </w:pPr>
            <w:r w:rsidRPr="00765C97">
              <w:rPr>
                <w:rFonts w:ascii="Arial" w:hAnsi="Arial"/>
                <w:sz w:val="20"/>
                <w:lang w:val="pl-PL"/>
              </w:rPr>
              <w:t>-</w:t>
            </w:r>
          </w:p>
        </w:tc>
        <w:tc>
          <w:tcPr>
            <w:tcW w:w="1710" w:type="dxa"/>
            <w:tcBorders>
              <w:top w:val="nil"/>
              <w:left w:val="nil"/>
              <w:bottom w:val="nil"/>
              <w:right w:val="nil"/>
            </w:tcBorders>
            <w:vAlign w:val="center"/>
          </w:tcPr>
          <w:p w:rsidR="007A03FC" w:rsidRPr="00765C97" w:rsidRDefault="007A03FC" w:rsidP="007A03FC">
            <w:pPr>
              <w:ind w:right="180"/>
              <w:jc w:val="right"/>
              <w:rPr>
                <w:rFonts w:ascii="Arial" w:hAnsi="Arial"/>
                <w:sz w:val="20"/>
                <w:lang w:val="pl-PL"/>
              </w:rPr>
            </w:pPr>
            <w:r w:rsidRPr="00765C97">
              <w:rPr>
                <w:rFonts w:ascii="Arial" w:hAnsi="Arial"/>
                <w:sz w:val="20"/>
                <w:lang w:val="pl-PL"/>
              </w:rPr>
              <w:t>-</w:t>
            </w:r>
          </w:p>
        </w:tc>
      </w:tr>
      <w:tr w:rsidR="007A03FC" w:rsidRPr="00765C97" w:rsidTr="00DD37CC">
        <w:trPr>
          <w:trHeight w:val="255"/>
        </w:trPr>
        <w:tc>
          <w:tcPr>
            <w:tcW w:w="5103" w:type="dxa"/>
            <w:tcBorders>
              <w:top w:val="nil"/>
              <w:left w:val="nil"/>
              <w:bottom w:val="nil"/>
              <w:right w:val="nil"/>
            </w:tcBorders>
            <w:vAlign w:val="center"/>
          </w:tcPr>
          <w:p w:rsidR="007A03FC" w:rsidRPr="00765C97" w:rsidRDefault="007A03FC" w:rsidP="008E6FDD">
            <w:pPr>
              <w:tabs>
                <w:tab w:val="left" w:pos="993"/>
                <w:tab w:val="left" w:pos="1188"/>
              </w:tabs>
              <w:rPr>
                <w:rFonts w:ascii="Arial" w:hAnsi="Arial"/>
                <w:spacing w:val="-8"/>
                <w:sz w:val="20"/>
                <w:lang w:val="pl-PL"/>
              </w:rPr>
            </w:pPr>
            <w:r w:rsidRPr="00765C97">
              <w:rPr>
                <w:rFonts w:ascii="Arial" w:hAnsi="Arial"/>
                <w:spacing w:val="-8"/>
                <w:sz w:val="20"/>
                <w:lang w:val="pl-PL"/>
              </w:rPr>
              <w:t>Zyski/(straty) ze zbycia aktywów finansowych</w:t>
            </w:r>
          </w:p>
        </w:tc>
        <w:tc>
          <w:tcPr>
            <w:tcW w:w="1710" w:type="dxa"/>
            <w:tcBorders>
              <w:top w:val="nil"/>
              <w:left w:val="nil"/>
              <w:bottom w:val="nil"/>
              <w:right w:val="nil"/>
            </w:tcBorders>
            <w:vAlign w:val="center"/>
          </w:tcPr>
          <w:p w:rsidR="007A03FC" w:rsidRPr="00765C97" w:rsidRDefault="00773014">
            <w:pPr>
              <w:ind w:right="180"/>
              <w:jc w:val="right"/>
              <w:rPr>
                <w:rFonts w:ascii="Arial" w:hAnsi="Arial"/>
                <w:sz w:val="20"/>
                <w:lang w:val="pl-PL"/>
              </w:rPr>
            </w:pPr>
            <w:r w:rsidRPr="00765C97">
              <w:rPr>
                <w:rFonts w:ascii="Arial" w:hAnsi="Arial"/>
                <w:sz w:val="20"/>
                <w:lang w:val="pl-PL"/>
              </w:rPr>
              <w:t>1 661</w:t>
            </w:r>
          </w:p>
        </w:tc>
        <w:tc>
          <w:tcPr>
            <w:tcW w:w="1710" w:type="dxa"/>
            <w:tcBorders>
              <w:top w:val="nil"/>
              <w:left w:val="nil"/>
              <w:bottom w:val="nil"/>
              <w:right w:val="nil"/>
            </w:tcBorders>
            <w:vAlign w:val="center"/>
          </w:tcPr>
          <w:p w:rsidR="007A03FC" w:rsidRPr="00765C97" w:rsidRDefault="007A03FC" w:rsidP="007A03FC">
            <w:pPr>
              <w:ind w:right="180"/>
              <w:jc w:val="right"/>
              <w:rPr>
                <w:rFonts w:ascii="Arial" w:hAnsi="Arial"/>
                <w:sz w:val="20"/>
                <w:lang w:val="pl-PL"/>
              </w:rPr>
            </w:pPr>
            <w:r w:rsidRPr="00765C97">
              <w:rPr>
                <w:rFonts w:ascii="Arial" w:hAnsi="Arial"/>
                <w:sz w:val="20"/>
                <w:lang w:val="pl-PL"/>
              </w:rPr>
              <w:t>(895)</w:t>
            </w:r>
          </w:p>
        </w:tc>
      </w:tr>
      <w:tr w:rsidR="007A03FC" w:rsidRPr="00765C97" w:rsidTr="00DD37CC">
        <w:trPr>
          <w:trHeight w:val="255"/>
        </w:trPr>
        <w:tc>
          <w:tcPr>
            <w:tcW w:w="5103" w:type="dxa"/>
            <w:tcBorders>
              <w:top w:val="nil"/>
              <w:left w:val="nil"/>
              <w:bottom w:val="nil"/>
              <w:right w:val="nil"/>
            </w:tcBorders>
            <w:vAlign w:val="center"/>
          </w:tcPr>
          <w:p w:rsidR="007A03FC" w:rsidRPr="00765C97" w:rsidRDefault="007A03FC">
            <w:pPr>
              <w:tabs>
                <w:tab w:val="left" w:pos="993"/>
                <w:tab w:val="left" w:pos="1188"/>
              </w:tabs>
              <w:rPr>
                <w:rFonts w:ascii="Arial" w:hAnsi="Arial"/>
                <w:spacing w:val="-1"/>
                <w:sz w:val="20"/>
                <w:lang w:val="pl-PL"/>
              </w:rPr>
            </w:pPr>
            <w:r w:rsidRPr="00765C97">
              <w:rPr>
                <w:rFonts w:ascii="Arial" w:hAnsi="Arial"/>
                <w:spacing w:val="-1"/>
                <w:sz w:val="20"/>
                <w:lang w:val="pl-PL"/>
              </w:rPr>
              <w:t>Zyski/(straty) kursowe netto (nota 3.29)</w:t>
            </w:r>
          </w:p>
        </w:tc>
        <w:tc>
          <w:tcPr>
            <w:tcW w:w="1710" w:type="dxa"/>
            <w:tcBorders>
              <w:top w:val="nil"/>
              <w:left w:val="nil"/>
              <w:bottom w:val="nil"/>
              <w:right w:val="nil"/>
            </w:tcBorders>
            <w:vAlign w:val="center"/>
          </w:tcPr>
          <w:p w:rsidR="007A03FC" w:rsidRPr="00765C97" w:rsidRDefault="00773014">
            <w:pPr>
              <w:ind w:right="180"/>
              <w:jc w:val="right"/>
              <w:rPr>
                <w:rFonts w:ascii="Arial" w:hAnsi="Arial"/>
                <w:sz w:val="20"/>
                <w:lang w:val="pl-PL"/>
              </w:rPr>
            </w:pPr>
            <w:r w:rsidRPr="00765C97">
              <w:rPr>
                <w:rFonts w:ascii="Arial" w:hAnsi="Arial"/>
                <w:sz w:val="20"/>
                <w:lang w:val="pl-PL"/>
              </w:rPr>
              <w:t>7 071</w:t>
            </w:r>
          </w:p>
        </w:tc>
        <w:tc>
          <w:tcPr>
            <w:tcW w:w="1710" w:type="dxa"/>
            <w:tcBorders>
              <w:top w:val="nil"/>
              <w:left w:val="nil"/>
              <w:bottom w:val="nil"/>
              <w:right w:val="nil"/>
            </w:tcBorders>
            <w:vAlign w:val="center"/>
          </w:tcPr>
          <w:p w:rsidR="007A03FC" w:rsidRPr="00765C97" w:rsidRDefault="007A03FC" w:rsidP="007A03FC">
            <w:pPr>
              <w:ind w:right="180"/>
              <w:jc w:val="right"/>
              <w:rPr>
                <w:rFonts w:ascii="Arial" w:hAnsi="Arial"/>
                <w:sz w:val="20"/>
                <w:lang w:val="pl-PL"/>
              </w:rPr>
            </w:pPr>
            <w:r w:rsidRPr="00765C97">
              <w:rPr>
                <w:rFonts w:ascii="Arial" w:hAnsi="Arial"/>
                <w:sz w:val="20"/>
                <w:lang w:val="pl-PL"/>
              </w:rPr>
              <w:t>1 287</w:t>
            </w:r>
          </w:p>
        </w:tc>
      </w:tr>
      <w:tr w:rsidR="007A03FC" w:rsidRPr="00765C97" w:rsidTr="00DD37CC">
        <w:trPr>
          <w:trHeight w:val="255"/>
        </w:trPr>
        <w:tc>
          <w:tcPr>
            <w:tcW w:w="5103" w:type="dxa"/>
            <w:tcBorders>
              <w:top w:val="nil"/>
              <w:left w:val="nil"/>
              <w:right w:val="nil"/>
            </w:tcBorders>
            <w:vAlign w:val="center"/>
          </w:tcPr>
          <w:p w:rsidR="007A03FC" w:rsidRPr="00765C97" w:rsidRDefault="007A03FC">
            <w:pPr>
              <w:rPr>
                <w:rFonts w:ascii="Arial" w:hAnsi="Arial"/>
                <w:sz w:val="20"/>
                <w:lang w:val="pl-PL"/>
              </w:rPr>
            </w:pPr>
            <w:r w:rsidRPr="00765C97">
              <w:rPr>
                <w:rFonts w:ascii="Arial" w:hAnsi="Arial"/>
                <w:sz w:val="20"/>
                <w:lang w:val="pl-PL"/>
              </w:rPr>
              <w:t>Wycena wartości godziwej instrumentów finansowych i inwestycji</w:t>
            </w:r>
          </w:p>
        </w:tc>
        <w:tc>
          <w:tcPr>
            <w:tcW w:w="1710" w:type="dxa"/>
            <w:tcBorders>
              <w:top w:val="nil"/>
              <w:left w:val="nil"/>
              <w:right w:val="nil"/>
            </w:tcBorders>
            <w:vAlign w:val="center"/>
          </w:tcPr>
          <w:p w:rsidR="007A03FC" w:rsidRPr="00765C97" w:rsidRDefault="00773014">
            <w:pPr>
              <w:ind w:right="180"/>
              <w:jc w:val="right"/>
              <w:rPr>
                <w:rFonts w:ascii="Arial" w:hAnsi="Arial"/>
                <w:sz w:val="20"/>
                <w:lang w:val="pl-PL"/>
              </w:rPr>
            </w:pPr>
            <w:r w:rsidRPr="00765C97">
              <w:rPr>
                <w:rFonts w:ascii="Arial" w:hAnsi="Arial"/>
                <w:sz w:val="20"/>
                <w:lang w:val="pl-PL"/>
              </w:rPr>
              <w:t>757</w:t>
            </w:r>
          </w:p>
        </w:tc>
        <w:tc>
          <w:tcPr>
            <w:tcW w:w="1710" w:type="dxa"/>
            <w:tcBorders>
              <w:top w:val="nil"/>
              <w:left w:val="nil"/>
              <w:right w:val="nil"/>
            </w:tcBorders>
            <w:vAlign w:val="center"/>
          </w:tcPr>
          <w:p w:rsidR="007A03FC" w:rsidRPr="00765C97" w:rsidRDefault="007A03FC" w:rsidP="007A03FC">
            <w:pPr>
              <w:ind w:right="180"/>
              <w:jc w:val="right"/>
              <w:rPr>
                <w:rFonts w:ascii="Arial" w:hAnsi="Arial"/>
                <w:sz w:val="20"/>
                <w:lang w:val="pl-PL"/>
              </w:rPr>
            </w:pPr>
            <w:r w:rsidRPr="00765C97">
              <w:rPr>
                <w:rFonts w:ascii="Arial" w:hAnsi="Arial"/>
                <w:sz w:val="20"/>
                <w:lang w:val="pl-PL"/>
              </w:rPr>
              <w:t>(929)</w:t>
            </w:r>
          </w:p>
        </w:tc>
      </w:tr>
      <w:tr w:rsidR="007A03FC" w:rsidRPr="00765C97" w:rsidTr="00DD37CC">
        <w:trPr>
          <w:trHeight w:val="255"/>
        </w:trPr>
        <w:tc>
          <w:tcPr>
            <w:tcW w:w="5103" w:type="dxa"/>
            <w:tcBorders>
              <w:left w:val="nil"/>
              <w:right w:val="nil"/>
            </w:tcBorders>
            <w:vAlign w:val="center"/>
          </w:tcPr>
          <w:p w:rsidR="007A03FC" w:rsidRPr="00765C97" w:rsidRDefault="007A03FC">
            <w:pPr>
              <w:tabs>
                <w:tab w:val="left" w:pos="993"/>
              </w:tabs>
              <w:rPr>
                <w:rFonts w:ascii="Arial" w:hAnsi="Arial"/>
                <w:sz w:val="20"/>
                <w:lang w:val="pl-PL"/>
              </w:rPr>
            </w:pPr>
            <w:r w:rsidRPr="00765C97">
              <w:rPr>
                <w:rFonts w:ascii="Arial" w:hAnsi="Arial"/>
                <w:sz w:val="20"/>
                <w:lang w:val="pl-PL"/>
              </w:rPr>
              <w:t xml:space="preserve">Inne, w tym: </w:t>
            </w:r>
          </w:p>
        </w:tc>
        <w:tc>
          <w:tcPr>
            <w:tcW w:w="1710" w:type="dxa"/>
            <w:tcBorders>
              <w:left w:val="nil"/>
              <w:right w:val="nil"/>
            </w:tcBorders>
            <w:vAlign w:val="center"/>
          </w:tcPr>
          <w:p w:rsidR="007A03FC" w:rsidRPr="00765C97" w:rsidRDefault="00773014" w:rsidP="00E226A3">
            <w:pPr>
              <w:ind w:right="180"/>
              <w:jc w:val="right"/>
              <w:rPr>
                <w:rFonts w:ascii="Arial" w:hAnsi="Arial"/>
                <w:sz w:val="20"/>
                <w:lang w:val="pl-PL"/>
              </w:rPr>
            </w:pPr>
            <w:r w:rsidRPr="00765C97">
              <w:rPr>
                <w:rFonts w:ascii="Arial" w:hAnsi="Arial"/>
                <w:sz w:val="20"/>
                <w:lang w:val="pl-PL"/>
              </w:rPr>
              <w:t>(1 005)</w:t>
            </w:r>
          </w:p>
        </w:tc>
        <w:tc>
          <w:tcPr>
            <w:tcW w:w="1710" w:type="dxa"/>
            <w:tcBorders>
              <w:left w:val="nil"/>
              <w:right w:val="nil"/>
            </w:tcBorders>
            <w:vAlign w:val="center"/>
          </w:tcPr>
          <w:p w:rsidR="007A03FC" w:rsidRPr="00765C97" w:rsidRDefault="007A03FC" w:rsidP="007A03FC">
            <w:pPr>
              <w:ind w:right="180"/>
              <w:jc w:val="right"/>
              <w:rPr>
                <w:rFonts w:ascii="Arial" w:hAnsi="Arial"/>
                <w:sz w:val="20"/>
                <w:lang w:val="pl-PL"/>
              </w:rPr>
            </w:pPr>
            <w:r w:rsidRPr="00765C97">
              <w:rPr>
                <w:rFonts w:ascii="Arial" w:hAnsi="Arial"/>
                <w:sz w:val="20"/>
                <w:lang w:val="pl-PL"/>
              </w:rPr>
              <w:t>30</w:t>
            </w:r>
          </w:p>
        </w:tc>
      </w:tr>
      <w:tr w:rsidR="007A03FC" w:rsidRPr="00765C97" w:rsidTr="00DD37CC">
        <w:trPr>
          <w:trHeight w:val="255"/>
        </w:trPr>
        <w:tc>
          <w:tcPr>
            <w:tcW w:w="5103" w:type="dxa"/>
            <w:tcBorders>
              <w:left w:val="nil"/>
              <w:right w:val="nil"/>
            </w:tcBorders>
            <w:vAlign w:val="center"/>
          </w:tcPr>
          <w:p w:rsidR="007A03FC" w:rsidRPr="00765C97" w:rsidRDefault="007A03FC">
            <w:pPr>
              <w:tabs>
                <w:tab w:val="left" w:pos="993"/>
              </w:tabs>
              <w:rPr>
                <w:rFonts w:ascii="Arial" w:hAnsi="Arial"/>
                <w:i/>
                <w:sz w:val="20"/>
                <w:lang w:val="pl-PL"/>
              </w:rPr>
            </w:pPr>
            <w:r w:rsidRPr="00765C97">
              <w:rPr>
                <w:rFonts w:ascii="Arial" w:hAnsi="Arial"/>
                <w:i/>
                <w:sz w:val="20"/>
                <w:lang w:val="pl-PL"/>
              </w:rPr>
              <w:t xml:space="preserve">  - odszkodowania i kary finansowe</w:t>
            </w:r>
          </w:p>
        </w:tc>
        <w:tc>
          <w:tcPr>
            <w:tcW w:w="1710" w:type="dxa"/>
            <w:tcBorders>
              <w:left w:val="nil"/>
              <w:right w:val="nil"/>
            </w:tcBorders>
            <w:vAlign w:val="center"/>
          </w:tcPr>
          <w:p w:rsidR="007A03FC" w:rsidRPr="00765C97" w:rsidRDefault="00773014">
            <w:pPr>
              <w:ind w:right="180"/>
              <w:jc w:val="right"/>
              <w:rPr>
                <w:rFonts w:ascii="Arial" w:hAnsi="Arial"/>
                <w:i/>
                <w:sz w:val="20"/>
                <w:lang w:val="pl-PL"/>
              </w:rPr>
            </w:pPr>
            <w:r w:rsidRPr="00765C97">
              <w:rPr>
                <w:rFonts w:ascii="Arial" w:hAnsi="Arial"/>
                <w:i/>
                <w:sz w:val="20"/>
                <w:lang w:val="pl-PL"/>
              </w:rPr>
              <w:t>-</w:t>
            </w:r>
          </w:p>
        </w:tc>
        <w:tc>
          <w:tcPr>
            <w:tcW w:w="1710" w:type="dxa"/>
            <w:tcBorders>
              <w:left w:val="nil"/>
              <w:right w:val="nil"/>
            </w:tcBorders>
            <w:vAlign w:val="center"/>
          </w:tcPr>
          <w:p w:rsidR="007A03FC" w:rsidRPr="00765C97" w:rsidRDefault="007A03FC" w:rsidP="007A03FC">
            <w:pPr>
              <w:ind w:right="180"/>
              <w:jc w:val="right"/>
              <w:rPr>
                <w:rFonts w:ascii="Arial" w:hAnsi="Arial"/>
                <w:i/>
                <w:sz w:val="20"/>
                <w:lang w:val="pl-PL"/>
              </w:rPr>
            </w:pPr>
            <w:r w:rsidRPr="00765C97">
              <w:rPr>
                <w:rFonts w:ascii="Arial" w:hAnsi="Arial"/>
                <w:i/>
                <w:sz w:val="20"/>
                <w:lang w:val="pl-PL"/>
              </w:rPr>
              <w:t>-</w:t>
            </w:r>
          </w:p>
        </w:tc>
      </w:tr>
      <w:tr w:rsidR="007A03FC" w:rsidRPr="00765C97" w:rsidTr="00DD37CC">
        <w:trPr>
          <w:trHeight w:val="255"/>
        </w:trPr>
        <w:tc>
          <w:tcPr>
            <w:tcW w:w="5103" w:type="dxa"/>
            <w:tcBorders>
              <w:left w:val="nil"/>
              <w:right w:val="nil"/>
            </w:tcBorders>
            <w:vAlign w:val="center"/>
          </w:tcPr>
          <w:p w:rsidR="007A03FC" w:rsidRPr="00765C97" w:rsidRDefault="007A03FC">
            <w:pPr>
              <w:tabs>
                <w:tab w:val="left" w:pos="993"/>
              </w:tabs>
              <w:rPr>
                <w:rFonts w:ascii="Arial" w:hAnsi="Arial"/>
                <w:i/>
                <w:sz w:val="20"/>
                <w:lang w:val="pl-PL"/>
              </w:rPr>
            </w:pPr>
            <w:r w:rsidRPr="00765C97">
              <w:rPr>
                <w:rFonts w:ascii="Arial" w:hAnsi="Arial"/>
                <w:i/>
                <w:sz w:val="20"/>
                <w:lang w:val="pl-PL"/>
              </w:rPr>
              <w:t xml:space="preserve">  - pozostałe</w:t>
            </w:r>
          </w:p>
        </w:tc>
        <w:tc>
          <w:tcPr>
            <w:tcW w:w="1710" w:type="dxa"/>
            <w:tcBorders>
              <w:left w:val="nil"/>
              <w:bottom w:val="single" w:sz="2" w:space="0" w:color="auto"/>
              <w:right w:val="nil"/>
            </w:tcBorders>
            <w:vAlign w:val="center"/>
          </w:tcPr>
          <w:p w:rsidR="007A03FC" w:rsidRPr="00765C97" w:rsidRDefault="00773014" w:rsidP="00E226A3">
            <w:pPr>
              <w:ind w:right="180"/>
              <w:jc w:val="right"/>
              <w:rPr>
                <w:rFonts w:ascii="Arial" w:hAnsi="Arial"/>
                <w:i/>
                <w:sz w:val="20"/>
                <w:lang w:val="pl-PL"/>
              </w:rPr>
            </w:pPr>
            <w:r w:rsidRPr="00765C97">
              <w:rPr>
                <w:rFonts w:ascii="Arial" w:hAnsi="Arial"/>
                <w:i/>
                <w:sz w:val="20"/>
                <w:lang w:val="pl-PL"/>
              </w:rPr>
              <w:t>(1 005)</w:t>
            </w:r>
          </w:p>
        </w:tc>
        <w:tc>
          <w:tcPr>
            <w:tcW w:w="1710" w:type="dxa"/>
            <w:tcBorders>
              <w:left w:val="nil"/>
              <w:bottom w:val="single" w:sz="2" w:space="0" w:color="auto"/>
              <w:right w:val="nil"/>
            </w:tcBorders>
            <w:vAlign w:val="center"/>
          </w:tcPr>
          <w:p w:rsidR="007A03FC" w:rsidRPr="00765C97" w:rsidRDefault="007A03FC" w:rsidP="007A03FC">
            <w:pPr>
              <w:ind w:right="180"/>
              <w:jc w:val="right"/>
              <w:rPr>
                <w:rFonts w:ascii="Arial" w:hAnsi="Arial"/>
                <w:i/>
                <w:sz w:val="20"/>
                <w:lang w:val="pl-PL"/>
              </w:rPr>
            </w:pPr>
            <w:r w:rsidRPr="00765C97">
              <w:rPr>
                <w:rFonts w:ascii="Arial" w:hAnsi="Arial"/>
                <w:i/>
                <w:sz w:val="20"/>
                <w:lang w:val="pl-PL"/>
              </w:rPr>
              <w:t>30</w:t>
            </w:r>
          </w:p>
        </w:tc>
      </w:tr>
      <w:tr w:rsidR="007A03FC" w:rsidRPr="00765C97" w:rsidTr="00DD37CC">
        <w:trPr>
          <w:trHeight w:val="255"/>
        </w:trPr>
        <w:tc>
          <w:tcPr>
            <w:tcW w:w="5103" w:type="dxa"/>
            <w:tcBorders>
              <w:left w:val="nil"/>
              <w:right w:val="nil"/>
            </w:tcBorders>
            <w:vAlign w:val="center"/>
          </w:tcPr>
          <w:p w:rsidR="007A03FC" w:rsidRPr="00765C97" w:rsidRDefault="007A03FC">
            <w:pPr>
              <w:tabs>
                <w:tab w:val="left" w:pos="993"/>
              </w:tabs>
              <w:rPr>
                <w:rFonts w:ascii="Arial" w:hAnsi="Arial"/>
                <w:b/>
                <w:sz w:val="20"/>
                <w:lang w:val="pl-PL"/>
              </w:rPr>
            </w:pPr>
            <w:r w:rsidRPr="00765C97">
              <w:rPr>
                <w:rFonts w:ascii="Arial" w:hAnsi="Arial"/>
                <w:b/>
                <w:sz w:val="20"/>
                <w:lang w:val="pl-PL"/>
              </w:rPr>
              <w:t>Razem</w:t>
            </w:r>
          </w:p>
        </w:tc>
        <w:tc>
          <w:tcPr>
            <w:tcW w:w="1710" w:type="dxa"/>
            <w:tcBorders>
              <w:top w:val="single" w:sz="2" w:space="0" w:color="auto"/>
              <w:left w:val="nil"/>
              <w:bottom w:val="single" w:sz="2" w:space="0" w:color="auto"/>
              <w:right w:val="nil"/>
            </w:tcBorders>
            <w:vAlign w:val="center"/>
          </w:tcPr>
          <w:p w:rsidR="007A03FC" w:rsidRPr="00765C97" w:rsidRDefault="00773014">
            <w:pPr>
              <w:ind w:right="180"/>
              <w:jc w:val="right"/>
              <w:rPr>
                <w:rFonts w:ascii="Arial" w:hAnsi="Arial"/>
                <w:b/>
                <w:sz w:val="20"/>
                <w:lang w:val="pl-PL"/>
              </w:rPr>
            </w:pPr>
            <w:r w:rsidRPr="00765C97">
              <w:rPr>
                <w:rFonts w:ascii="Arial" w:hAnsi="Arial"/>
                <w:b/>
                <w:sz w:val="20"/>
                <w:lang w:val="pl-PL"/>
              </w:rPr>
              <w:t>8 993</w:t>
            </w:r>
          </w:p>
        </w:tc>
        <w:tc>
          <w:tcPr>
            <w:tcW w:w="1710" w:type="dxa"/>
            <w:tcBorders>
              <w:top w:val="single" w:sz="2" w:space="0" w:color="auto"/>
              <w:left w:val="nil"/>
              <w:bottom w:val="single" w:sz="2" w:space="0" w:color="auto"/>
              <w:right w:val="nil"/>
            </w:tcBorders>
            <w:vAlign w:val="center"/>
          </w:tcPr>
          <w:p w:rsidR="007A03FC" w:rsidRPr="00765C97" w:rsidRDefault="007A03FC" w:rsidP="007A03FC">
            <w:pPr>
              <w:ind w:right="180"/>
              <w:jc w:val="right"/>
              <w:rPr>
                <w:rFonts w:ascii="Arial" w:hAnsi="Arial"/>
                <w:b/>
                <w:sz w:val="20"/>
                <w:lang w:val="pl-PL"/>
              </w:rPr>
            </w:pPr>
            <w:r w:rsidRPr="00765C97">
              <w:rPr>
                <w:rFonts w:ascii="Arial" w:hAnsi="Arial"/>
                <w:b/>
                <w:sz w:val="20"/>
                <w:lang w:val="pl-PL"/>
              </w:rPr>
              <w:t>1 019</w:t>
            </w:r>
          </w:p>
        </w:tc>
      </w:tr>
    </w:tbl>
    <w:p w:rsidR="00EE5FF1" w:rsidRPr="00765C97" w:rsidRDefault="00EE5FF1" w:rsidP="00BA0DE1">
      <w:pPr>
        <w:rPr>
          <w:sz w:val="20"/>
          <w:lang w:val="pl-PL"/>
        </w:rPr>
      </w:pPr>
      <w:bookmarkStart w:id="85" w:name="_Toc353973238"/>
    </w:p>
    <w:p w:rsidR="00EE5FF1" w:rsidRPr="00765C97" w:rsidRDefault="00EE5FF1">
      <w:pPr>
        <w:widowControl/>
        <w:autoSpaceDE/>
        <w:autoSpaceDN/>
        <w:rPr>
          <w:rFonts w:ascii="Arial" w:hAnsi="Arial" w:cs="Arial"/>
          <w:b/>
          <w:bCs/>
          <w:sz w:val="20"/>
          <w:szCs w:val="26"/>
          <w:lang w:val="pl-PL"/>
        </w:rPr>
      </w:pPr>
      <w:r w:rsidRPr="00765C97">
        <w:rPr>
          <w:sz w:val="20"/>
          <w:lang w:val="pl-PL"/>
        </w:rPr>
        <w:br w:type="page"/>
      </w:r>
    </w:p>
    <w:p w:rsidR="00B24DA9" w:rsidRPr="00765C97" w:rsidRDefault="00B24DA9" w:rsidP="00135A9A">
      <w:pPr>
        <w:pStyle w:val="Nagwek3"/>
        <w:keepNext w:val="0"/>
        <w:numPr>
          <w:ilvl w:val="1"/>
          <w:numId w:val="22"/>
        </w:numPr>
        <w:spacing w:after="240"/>
        <w:ind w:left="709" w:hanging="567"/>
        <w:rPr>
          <w:sz w:val="20"/>
          <w:lang w:val="pl-PL"/>
        </w:rPr>
      </w:pPr>
      <w:r w:rsidRPr="00765C97">
        <w:rPr>
          <w:sz w:val="20"/>
          <w:lang w:val="pl-PL"/>
        </w:rPr>
        <w:t>Podatek dochodowy</w:t>
      </w:r>
      <w:bookmarkEnd w:id="85"/>
    </w:p>
    <w:tbl>
      <w:tblPr>
        <w:tblW w:w="8523" w:type="dxa"/>
        <w:tblLayout w:type="fixed"/>
        <w:tblCellMar>
          <w:left w:w="0" w:type="dxa"/>
          <w:right w:w="0" w:type="dxa"/>
        </w:tblCellMar>
        <w:tblLook w:val="0000"/>
      </w:tblPr>
      <w:tblGrid>
        <w:gridCol w:w="5103"/>
        <w:gridCol w:w="1710"/>
        <w:gridCol w:w="1710"/>
      </w:tblGrid>
      <w:tr w:rsidR="00B24DA9" w:rsidRPr="00765C97" w:rsidTr="00DD37CC">
        <w:trPr>
          <w:trHeight w:val="255"/>
        </w:trPr>
        <w:tc>
          <w:tcPr>
            <w:tcW w:w="5103" w:type="dxa"/>
            <w:tcBorders>
              <w:left w:val="nil"/>
              <w:bottom w:val="nil"/>
              <w:right w:val="nil"/>
            </w:tcBorders>
            <w:vAlign w:val="center"/>
          </w:tcPr>
          <w:p w:rsidR="00B24DA9" w:rsidRPr="00765C97" w:rsidRDefault="00B24DA9">
            <w:pPr>
              <w:rPr>
                <w:rFonts w:ascii="Arial" w:hAnsi="Arial"/>
                <w:b/>
                <w:spacing w:val="4"/>
                <w:sz w:val="20"/>
                <w:lang w:val="pl-PL"/>
              </w:rPr>
            </w:pPr>
          </w:p>
        </w:tc>
        <w:tc>
          <w:tcPr>
            <w:tcW w:w="1710" w:type="dxa"/>
            <w:tcBorders>
              <w:left w:val="nil"/>
              <w:bottom w:val="nil"/>
              <w:right w:val="nil"/>
            </w:tcBorders>
            <w:vAlign w:val="center"/>
          </w:tcPr>
          <w:p w:rsidR="00B24DA9" w:rsidRPr="00765C97" w:rsidRDefault="00B24DA9">
            <w:pPr>
              <w:ind w:right="130"/>
              <w:jc w:val="right"/>
              <w:rPr>
                <w:rFonts w:ascii="Arial" w:hAnsi="Arial"/>
                <w:b/>
                <w:color w:val="000000"/>
                <w:sz w:val="20"/>
                <w:lang w:val="pl-PL"/>
              </w:rPr>
            </w:pPr>
            <w:r w:rsidRPr="00765C97">
              <w:rPr>
                <w:rFonts w:ascii="Arial" w:hAnsi="Arial"/>
                <w:b/>
                <w:color w:val="000000"/>
                <w:sz w:val="20"/>
                <w:lang w:val="pl-PL"/>
              </w:rPr>
              <w:t>12 miesięcy</w:t>
            </w:r>
          </w:p>
          <w:p w:rsidR="00B24DA9" w:rsidRPr="00765C97" w:rsidRDefault="00B24DA9" w:rsidP="007A03FC">
            <w:pPr>
              <w:ind w:right="130"/>
              <w:jc w:val="right"/>
              <w:rPr>
                <w:rFonts w:ascii="Arial" w:hAnsi="Arial"/>
                <w:b/>
                <w:color w:val="000000"/>
                <w:sz w:val="20"/>
                <w:lang w:val="pl-PL"/>
              </w:rPr>
            </w:pPr>
            <w:r w:rsidRPr="00765C97">
              <w:rPr>
                <w:rFonts w:ascii="Arial" w:hAnsi="Arial"/>
                <w:b/>
                <w:color w:val="000000"/>
                <w:sz w:val="20"/>
                <w:lang w:val="pl-PL"/>
              </w:rPr>
              <w:t>20</w:t>
            </w:r>
            <w:r w:rsidR="003F70E6" w:rsidRPr="00765C97">
              <w:rPr>
                <w:rFonts w:ascii="Arial" w:hAnsi="Arial"/>
                <w:b/>
                <w:color w:val="000000"/>
                <w:sz w:val="20"/>
                <w:lang w:val="pl-PL"/>
              </w:rPr>
              <w:t>1</w:t>
            </w:r>
            <w:r w:rsidR="007A03FC" w:rsidRPr="00765C97">
              <w:rPr>
                <w:rFonts w:ascii="Arial" w:hAnsi="Arial"/>
                <w:b/>
                <w:color w:val="000000"/>
                <w:sz w:val="20"/>
                <w:lang w:val="pl-PL"/>
              </w:rPr>
              <w:t>2</w:t>
            </w:r>
          </w:p>
        </w:tc>
        <w:tc>
          <w:tcPr>
            <w:tcW w:w="1710" w:type="dxa"/>
            <w:tcBorders>
              <w:left w:val="nil"/>
              <w:bottom w:val="nil"/>
              <w:right w:val="nil"/>
            </w:tcBorders>
            <w:vAlign w:val="center"/>
          </w:tcPr>
          <w:p w:rsidR="00B24DA9" w:rsidRPr="00765C97" w:rsidRDefault="00B24DA9">
            <w:pPr>
              <w:ind w:right="141"/>
              <w:jc w:val="right"/>
              <w:rPr>
                <w:rFonts w:ascii="Arial" w:hAnsi="Arial"/>
                <w:b/>
                <w:sz w:val="20"/>
                <w:lang w:val="pl-PL"/>
              </w:rPr>
            </w:pPr>
            <w:r w:rsidRPr="00765C97">
              <w:rPr>
                <w:rFonts w:ascii="Arial" w:hAnsi="Arial"/>
                <w:b/>
                <w:sz w:val="20"/>
                <w:lang w:val="pl-PL"/>
              </w:rPr>
              <w:t>12 miesięcy</w:t>
            </w:r>
          </w:p>
          <w:p w:rsidR="00B24DA9" w:rsidRPr="00765C97" w:rsidRDefault="00B24DA9" w:rsidP="007A03FC">
            <w:pPr>
              <w:ind w:right="141"/>
              <w:jc w:val="right"/>
              <w:rPr>
                <w:rFonts w:ascii="Arial" w:hAnsi="Arial"/>
                <w:b/>
                <w:sz w:val="20"/>
                <w:lang w:val="pl-PL"/>
              </w:rPr>
            </w:pPr>
            <w:r w:rsidRPr="00765C97">
              <w:rPr>
                <w:rFonts w:ascii="Arial" w:hAnsi="Arial"/>
                <w:b/>
                <w:sz w:val="20"/>
                <w:lang w:val="pl-PL"/>
              </w:rPr>
              <w:t>20</w:t>
            </w:r>
            <w:r w:rsidR="00E14080" w:rsidRPr="00765C97">
              <w:rPr>
                <w:rFonts w:ascii="Arial" w:hAnsi="Arial"/>
                <w:b/>
                <w:sz w:val="20"/>
                <w:lang w:val="pl-PL"/>
              </w:rPr>
              <w:t>1</w:t>
            </w:r>
            <w:r w:rsidR="007A03FC" w:rsidRPr="00765C97">
              <w:rPr>
                <w:rFonts w:ascii="Arial" w:hAnsi="Arial"/>
                <w:b/>
                <w:sz w:val="20"/>
                <w:lang w:val="pl-PL"/>
              </w:rPr>
              <w:t>1</w:t>
            </w:r>
          </w:p>
        </w:tc>
      </w:tr>
      <w:tr w:rsidR="007A03FC" w:rsidRPr="00765C97" w:rsidTr="00DD37CC">
        <w:trPr>
          <w:trHeight w:val="255"/>
        </w:trPr>
        <w:tc>
          <w:tcPr>
            <w:tcW w:w="5103" w:type="dxa"/>
            <w:tcBorders>
              <w:top w:val="nil"/>
              <w:left w:val="nil"/>
              <w:right w:val="nil"/>
            </w:tcBorders>
            <w:vAlign w:val="center"/>
          </w:tcPr>
          <w:p w:rsidR="007A03FC" w:rsidRPr="00765C97" w:rsidRDefault="007A03FC">
            <w:pPr>
              <w:rPr>
                <w:rFonts w:ascii="Arial" w:hAnsi="Arial"/>
                <w:sz w:val="20"/>
                <w:lang w:val="pl-PL"/>
              </w:rPr>
            </w:pPr>
            <w:r w:rsidRPr="00765C97">
              <w:rPr>
                <w:rFonts w:ascii="Arial" w:hAnsi="Arial"/>
                <w:sz w:val="20"/>
                <w:lang w:val="pl-PL"/>
              </w:rPr>
              <w:t>Podatek bieżący</w:t>
            </w:r>
          </w:p>
        </w:tc>
        <w:tc>
          <w:tcPr>
            <w:tcW w:w="1710" w:type="dxa"/>
            <w:tcBorders>
              <w:top w:val="nil"/>
              <w:left w:val="nil"/>
              <w:bottom w:val="nil"/>
              <w:right w:val="nil"/>
            </w:tcBorders>
            <w:vAlign w:val="center"/>
          </w:tcPr>
          <w:p w:rsidR="007A03FC" w:rsidRPr="00765C97" w:rsidRDefault="00274CCD">
            <w:pPr>
              <w:ind w:right="172"/>
              <w:jc w:val="right"/>
              <w:rPr>
                <w:rFonts w:ascii="Arial" w:hAnsi="Arial"/>
                <w:color w:val="000000"/>
                <w:sz w:val="20"/>
                <w:lang w:val="pl-PL"/>
              </w:rPr>
            </w:pPr>
            <w:r w:rsidRPr="00765C97">
              <w:rPr>
                <w:rFonts w:ascii="Arial" w:hAnsi="Arial"/>
                <w:color w:val="000000"/>
                <w:sz w:val="20"/>
                <w:lang w:val="pl-PL"/>
              </w:rPr>
              <w:t>11 959</w:t>
            </w:r>
          </w:p>
        </w:tc>
        <w:tc>
          <w:tcPr>
            <w:tcW w:w="1710" w:type="dxa"/>
            <w:tcBorders>
              <w:top w:val="nil"/>
              <w:left w:val="nil"/>
              <w:bottom w:val="nil"/>
              <w:right w:val="nil"/>
            </w:tcBorders>
            <w:vAlign w:val="center"/>
          </w:tcPr>
          <w:p w:rsidR="007A03FC" w:rsidRPr="00765C97" w:rsidRDefault="007A03FC" w:rsidP="007A03FC">
            <w:pPr>
              <w:ind w:right="172"/>
              <w:jc w:val="right"/>
              <w:rPr>
                <w:rFonts w:ascii="Arial" w:hAnsi="Arial"/>
                <w:color w:val="000000"/>
                <w:sz w:val="20"/>
                <w:lang w:val="pl-PL"/>
              </w:rPr>
            </w:pPr>
            <w:r w:rsidRPr="00765C97">
              <w:rPr>
                <w:rFonts w:ascii="Arial" w:hAnsi="Arial"/>
                <w:color w:val="000000"/>
                <w:sz w:val="20"/>
                <w:lang w:val="pl-PL"/>
              </w:rPr>
              <w:t>12 568</w:t>
            </w:r>
          </w:p>
        </w:tc>
      </w:tr>
      <w:tr w:rsidR="007A03FC" w:rsidRPr="00765C97" w:rsidTr="00DD37CC">
        <w:trPr>
          <w:trHeight w:val="255"/>
        </w:trPr>
        <w:tc>
          <w:tcPr>
            <w:tcW w:w="5103" w:type="dxa"/>
            <w:tcBorders>
              <w:top w:val="nil"/>
              <w:left w:val="nil"/>
              <w:right w:val="nil"/>
            </w:tcBorders>
            <w:vAlign w:val="center"/>
          </w:tcPr>
          <w:p w:rsidR="007A03FC" w:rsidRPr="00765C97" w:rsidRDefault="007A03FC">
            <w:pPr>
              <w:rPr>
                <w:rFonts w:ascii="Arial" w:hAnsi="Arial"/>
                <w:sz w:val="20"/>
                <w:lang w:val="pl-PL"/>
              </w:rPr>
            </w:pPr>
            <w:r w:rsidRPr="00765C97">
              <w:rPr>
                <w:rFonts w:ascii="Arial" w:hAnsi="Arial"/>
                <w:sz w:val="20"/>
                <w:lang w:val="pl-PL"/>
              </w:rPr>
              <w:t>Podatek odroczony</w:t>
            </w:r>
          </w:p>
        </w:tc>
        <w:tc>
          <w:tcPr>
            <w:tcW w:w="1710" w:type="dxa"/>
            <w:tcBorders>
              <w:top w:val="nil"/>
              <w:left w:val="nil"/>
              <w:bottom w:val="single" w:sz="2" w:space="0" w:color="auto"/>
              <w:right w:val="nil"/>
            </w:tcBorders>
            <w:vAlign w:val="center"/>
          </w:tcPr>
          <w:p w:rsidR="007A03FC" w:rsidRPr="00765C97" w:rsidRDefault="00274CCD">
            <w:pPr>
              <w:ind w:right="172"/>
              <w:jc w:val="right"/>
              <w:rPr>
                <w:rFonts w:ascii="Arial" w:hAnsi="Arial"/>
                <w:color w:val="000000"/>
                <w:sz w:val="20"/>
                <w:lang w:val="pl-PL"/>
              </w:rPr>
            </w:pPr>
            <w:r w:rsidRPr="00765C97">
              <w:rPr>
                <w:rFonts w:ascii="Arial" w:hAnsi="Arial"/>
                <w:color w:val="000000"/>
                <w:sz w:val="20"/>
                <w:lang w:val="pl-PL"/>
              </w:rPr>
              <w:t>(9 474)</w:t>
            </w:r>
          </w:p>
        </w:tc>
        <w:tc>
          <w:tcPr>
            <w:tcW w:w="1710" w:type="dxa"/>
            <w:tcBorders>
              <w:top w:val="nil"/>
              <w:left w:val="nil"/>
              <w:bottom w:val="single" w:sz="2" w:space="0" w:color="auto"/>
              <w:right w:val="nil"/>
            </w:tcBorders>
            <w:vAlign w:val="center"/>
          </w:tcPr>
          <w:p w:rsidR="007A03FC" w:rsidRPr="00765C97" w:rsidRDefault="007A03FC" w:rsidP="007A03FC">
            <w:pPr>
              <w:ind w:right="172"/>
              <w:jc w:val="right"/>
              <w:rPr>
                <w:rFonts w:ascii="Arial" w:hAnsi="Arial"/>
                <w:color w:val="000000"/>
                <w:sz w:val="20"/>
                <w:lang w:val="pl-PL"/>
              </w:rPr>
            </w:pPr>
            <w:r w:rsidRPr="00765C97">
              <w:rPr>
                <w:rFonts w:ascii="Arial" w:hAnsi="Arial"/>
                <w:color w:val="000000"/>
                <w:sz w:val="20"/>
                <w:lang w:val="pl-PL"/>
              </w:rPr>
              <w:t>(5 871)</w:t>
            </w:r>
          </w:p>
        </w:tc>
      </w:tr>
      <w:tr w:rsidR="007A03FC" w:rsidRPr="00765C97" w:rsidTr="00DD37CC">
        <w:trPr>
          <w:trHeight w:val="255"/>
        </w:trPr>
        <w:tc>
          <w:tcPr>
            <w:tcW w:w="5103" w:type="dxa"/>
            <w:tcBorders>
              <w:left w:val="nil"/>
              <w:right w:val="nil"/>
            </w:tcBorders>
            <w:vAlign w:val="center"/>
          </w:tcPr>
          <w:p w:rsidR="007A03FC" w:rsidRPr="00765C97" w:rsidRDefault="007A03FC">
            <w:pPr>
              <w:rPr>
                <w:rFonts w:ascii="Arial" w:hAnsi="Arial"/>
                <w:b/>
                <w:sz w:val="20"/>
                <w:lang w:val="pl-PL"/>
              </w:rPr>
            </w:pPr>
            <w:r w:rsidRPr="00765C97">
              <w:rPr>
                <w:rFonts w:ascii="Arial" w:hAnsi="Arial"/>
                <w:b/>
                <w:sz w:val="20"/>
                <w:lang w:val="pl-PL"/>
              </w:rPr>
              <w:t>Razem</w:t>
            </w:r>
          </w:p>
        </w:tc>
        <w:tc>
          <w:tcPr>
            <w:tcW w:w="1710" w:type="dxa"/>
            <w:tcBorders>
              <w:top w:val="single" w:sz="2" w:space="0" w:color="auto"/>
              <w:left w:val="nil"/>
              <w:bottom w:val="single" w:sz="2" w:space="0" w:color="auto"/>
              <w:right w:val="nil"/>
            </w:tcBorders>
            <w:vAlign w:val="center"/>
          </w:tcPr>
          <w:p w:rsidR="007A03FC" w:rsidRPr="00765C97" w:rsidRDefault="00274CCD">
            <w:pPr>
              <w:ind w:right="172"/>
              <w:jc w:val="right"/>
              <w:rPr>
                <w:rFonts w:ascii="Arial" w:hAnsi="Arial"/>
                <w:b/>
                <w:color w:val="000000"/>
                <w:sz w:val="20"/>
                <w:lang w:val="pl-PL"/>
              </w:rPr>
            </w:pPr>
            <w:r w:rsidRPr="00765C97">
              <w:rPr>
                <w:rFonts w:ascii="Arial" w:hAnsi="Arial"/>
                <w:b/>
                <w:color w:val="000000"/>
                <w:sz w:val="20"/>
                <w:lang w:val="pl-PL"/>
              </w:rPr>
              <w:t>2 485</w:t>
            </w:r>
          </w:p>
        </w:tc>
        <w:tc>
          <w:tcPr>
            <w:tcW w:w="1710" w:type="dxa"/>
            <w:tcBorders>
              <w:top w:val="single" w:sz="2" w:space="0" w:color="auto"/>
              <w:left w:val="nil"/>
              <w:bottom w:val="single" w:sz="2" w:space="0" w:color="auto"/>
              <w:right w:val="nil"/>
            </w:tcBorders>
            <w:vAlign w:val="center"/>
          </w:tcPr>
          <w:p w:rsidR="007A03FC" w:rsidRPr="00765C97" w:rsidRDefault="007A03FC" w:rsidP="007A03FC">
            <w:pPr>
              <w:ind w:right="172"/>
              <w:jc w:val="right"/>
              <w:rPr>
                <w:rFonts w:ascii="Arial" w:hAnsi="Arial"/>
                <w:b/>
                <w:color w:val="000000"/>
                <w:sz w:val="20"/>
                <w:lang w:val="pl-PL"/>
              </w:rPr>
            </w:pPr>
            <w:r w:rsidRPr="00765C97">
              <w:rPr>
                <w:rFonts w:ascii="Arial" w:hAnsi="Arial"/>
                <w:b/>
                <w:color w:val="000000"/>
                <w:sz w:val="20"/>
                <w:lang w:val="pl-PL"/>
              </w:rPr>
              <w:t>6 697</w:t>
            </w:r>
          </w:p>
        </w:tc>
      </w:tr>
    </w:tbl>
    <w:p w:rsidR="00B24DA9" w:rsidRPr="00765C97" w:rsidRDefault="00B24DA9">
      <w:pPr>
        <w:ind w:left="1134" w:hanging="1134"/>
        <w:rPr>
          <w:rFonts w:ascii="Arial" w:hAnsi="Arial"/>
          <w:b/>
          <w:spacing w:val="-6"/>
          <w:sz w:val="14"/>
          <w:lang w:val="pl-PL"/>
        </w:rPr>
      </w:pPr>
    </w:p>
    <w:p w:rsidR="00C362CD" w:rsidRPr="00765C97" w:rsidRDefault="00B24DA9" w:rsidP="003D6C36">
      <w:pPr>
        <w:jc w:val="both"/>
        <w:rPr>
          <w:rFonts w:ascii="Arial" w:hAnsi="Arial"/>
          <w:spacing w:val="-1"/>
          <w:sz w:val="20"/>
          <w:lang w:val="pl-PL"/>
        </w:rPr>
      </w:pPr>
      <w:r w:rsidRPr="00765C97">
        <w:rPr>
          <w:rFonts w:ascii="Arial" w:hAnsi="Arial"/>
          <w:sz w:val="20"/>
          <w:lang w:val="pl-PL"/>
        </w:rPr>
        <w:t>Podatek dochodowy od zysku brutto Grupy, przed opodatkowaniem, różni się w następujący sposób od teoretycznej kwoty, którą uzyskano</w:t>
      </w:r>
      <w:r w:rsidR="009E717D" w:rsidRPr="00765C97">
        <w:rPr>
          <w:rFonts w:ascii="Arial" w:hAnsi="Arial"/>
          <w:sz w:val="20"/>
          <w:lang w:val="pl-PL"/>
        </w:rPr>
        <w:t xml:space="preserve"> </w:t>
      </w:r>
      <w:r w:rsidRPr="00765C97">
        <w:rPr>
          <w:rFonts w:ascii="Arial" w:hAnsi="Arial"/>
          <w:sz w:val="20"/>
          <w:lang w:val="pl-PL"/>
        </w:rPr>
        <w:t>by stosując</w:t>
      </w:r>
      <w:r w:rsidRPr="00765C97">
        <w:rPr>
          <w:rFonts w:ascii="Arial" w:hAnsi="Arial"/>
          <w:spacing w:val="-1"/>
          <w:sz w:val="20"/>
          <w:lang w:val="pl-PL"/>
        </w:rPr>
        <w:t xml:space="preserve"> średnią ważoną stawkę podatku mającą zastosowanie do zysków </w:t>
      </w:r>
      <w:r w:rsidR="00C362CD" w:rsidRPr="00765C97">
        <w:rPr>
          <w:rFonts w:ascii="Arial" w:hAnsi="Arial"/>
          <w:spacing w:val="-1"/>
          <w:sz w:val="20"/>
          <w:lang w:val="pl-PL"/>
        </w:rPr>
        <w:t>konsolidowanych spółek:</w:t>
      </w:r>
    </w:p>
    <w:p w:rsidR="00B24DA9" w:rsidRPr="00765C97" w:rsidRDefault="00B24DA9">
      <w:pPr>
        <w:ind w:left="180"/>
        <w:jc w:val="both"/>
        <w:rPr>
          <w:rFonts w:ascii="Arial" w:hAnsi="Arial"/>
          <w:sz w:val="14"/>
          <w:lang w:val="pl-PL"/>
        </w:rPr>
      </w:pPr>
    </w:p>
    <w:tbl>
      <w:tblPr>
        <w:tblW w:w="8523" w:type="dxa"/>
        <w:tblLayout w:type="fixed"/>
        <w:tblCellMar>
          <w:left w:w="0" w:type="dxa"/>
          <w:right w:w="0" w:type="dxa"/>
        </w:tblCellMar>
        <w:tblLook w:val="0000"/>
      </w:tblPr>
      <w:tblGrid>
        <w:gridCol w:w="5103"/>
        <w:gridCol w:w="1710"/>
        <w:gridCol w:w="1710"/>
      </w:tblGrid>
      <w:tr w:rsidR="00B24DA9" w:rsidRPr="00765C97" w:rsidTr="003E2351">
        <w:trPr>
          <w:trHeight w:val="255"/>
        </w:trPr>
        <w:tc>
          <w:tcPr>
            <w:tcW w:w="5103" w:type="dxa"/>
            <w:tcBorders>
              <w:top w:val="nil"/>
              <w:left w:val="nil"/>
              <w:right w:val="nil"/>
            </w:tcBorders>
            <w:vAlign w:val="center"/>
          </w:tcPr>
          <w:p w:rsidR="00B24DA9" w:rsidRPr="00765C97" w:rsidRDefault="00B24DA9">
            <w:pPr>
              <w:rPr>
                <w:rFonts w:ascii="Arial" w:hAnsi="Arial"/>
                <w:sz w:val="20"/>
                <w:lang w:val="pl-PL"/>
              </w:rPr>
            </w:pPr>
          </w:p>
        </w:tc>
        <w:tc>
          <w:tcPr>
            <w:tcW w:w="1710" w:type="dxa"/>
            <w:tcBorders>
              <w:top w:val="nil"/>
              <w:left w:val="nil"/>
              <w:right w:val="nil"/>
            </w:tcBorders>
            <w:vAlign w:val="center"/>
          </w:tcPr>
          <w:p w:rsidR="00B24DA9" w:rsidRPr="00765C97" w:rsidRDefault="00B24DA9">
            <w:pPr>
              <w:ind w:right="130"/>
              <w:jc w:val="right"/>
              <w:rPr>
                <w:rFonts w:ascii="Arial" w:hAnsi="Arial"/>
                <w:b/>
                <w:color w:val="000000"/>
                <w:sz w:val="20"/>
                <w:lang w:val="pl-PL"/>
              </w:rPr>
            </w:pPr>
            <w:r w:rsidRPr="00765C97">
              <w:rPr>
                <w:rFonts w:ascii="Arial" w:hAnsi="Arial"/>
                <w:b/>
                <w:color w:val="000000"/>
                <w:sz w:val="20"/>
                <w:lang w:val="pl-PL"/>
              </w:rPr>
              <w:t>12 miesięcy</w:t>
            </w:r>
          </w:p>
          <w:p w:rsidR="00B24DA9" w:rsidRPr="00765C97" w:rsidRDefault="00B24DA9" w:rsidP="007A03FC">
            <w:pPr>
              <w:ind w:right="130"/>
              <w:jc w:val="right"/>
              <w:rPr>
                <w:rFonts w:ascii="Arial" w:hAnsi="Arial"/>
                <w:b/>
                <w:color w:val="000000"/>
                <w:sz w:val="20"/>
                <w:lang w:val="pl-PL"/>
              </w:rPr>
            </w:pPr>
            <w:r w:rsidRPr="00765C97">
              <w:rPr>
                <w:rFonts w:ascii="Arial" w:hAnsi="Arial"/>
                <w:b/>
                <w:color w:val="000000"/>
                <w:sz w:val="20"/>
                <w:lang w:val="pl-PL"/>
              </w:rPr>
              <w:t>20</w:t>
            </w:r>
            <w:r w:rsidR="003F70E6" w:rsidRPr="00765C97">
              <w:rPr>
                <w:rFonts w:ascii="Arial" w:hAnsi="Arial"/>
                <w:b/>
                <w:color w:val="000000"/>
                <w:sz w:val="20"/>
                <w:lang w:val="pl-PL"/>
              </w:rPr>
              <w:t>1</w:t>
            </w:r>
            <w:r w:rsidR="007A03FC" w:rsidRPr="00765C97">
              <w:rPr>
                <w:rFonts w:ascii="Arial" w:hAnsi="Arial"/>
                <w:b/>
                <w:color w:val="000000"/>
                <w:sz w:val="20"/>
                <w:lang w:val="pl-PL"/>
              </w:rPr>
              <w:t>2</w:t>
            </w:r>
          </w:p>
        </w:tc>
        <w:tc>
          <w:tcPr>
            <w:tcW w:w="1710" w:type="dxa"/>
            <w:tcBorders>
              <w:top w:val="nil"/>
              <w:left w:val="nil"/>
              <w:right w:val="nil"/>
            </w:tcBorders>
            <w:vAlign w:val="center"/>
          </w:tcPr>
          <w:p w:rsidR="00B24DA9" w:rsidRPr="00765C97" w:rsidRDefault="00B24DA9">
            <w:pPr>
              <w:ind w:right="141"/>
              <w:jc w:val="right"/>
              <w:rPr>
                <w:rFonts w:ascii="Arial" w:hAnsi="Arial"/>
                <w:b/>
                <w:sz w:val="20"/>
                <w:lang w:val="pl-PL"/>
              </w:rPr>
            </w:pPr>
            <w:r w:rsidRPr="00765C97">
              <w:rPr>
                <w:rFonts w:ascii="Arial" w:hAnsi="Arial"/>
                <w:b/>
                <w:sz w:val="20"/>
                <w:lang w:val="pl-PL"/>
              </w:rPr>
              <w:t>12 miesięcy</w:t>
            </w:r>
          </w:p>
          <w:p w:rsidR="00B24DA9" w:rsidRPr="00765C97" w:rsidRDefault="00B24DA9" w:rsidP="007A03FC">
            <w:pPr>
              <w:ind w:right="141"/>
              <w:jc w:val="right"/>
              <w:rPr>
                <w:rFonts w:ascii="Arial" w:hAnsi="Arial"/>
                <w:b/>
                <w:sz w:val="20"/>
                <w:lang w:val="pl-PL"/>
              </w:rPr>
            </w:pPr>
            <w:r w:rsidRPr="00765C97">
              <w:rPr>
                <w:rFonts w:ascii="Arial" w:hAnsi="Arial"/>
                <w:b/>
                <w:sz w:val="20"/>
                <w:lang w:val="pl-PL"/>
              </w:rPr>
              <w:t>20</w:t>
            </w:r>
            <w:r w:rsidR="00E14080" w:rsidRPr="00765C97">
              <w:rPr>
                <w:rFonts w:ascii="Arial" w:hAnsi="Arial"/>
                <w:b/>
                <w:sz w:val="20"/>
                <w:lang w:val="pl-PL"/>
              </w:rPr>
              <w:t>1</w:t>
            </w:r>
            <w:r w:rsidR="007A03FC" w:rsidRPr="00765C97">
              <w:rPr>
                <w:rFonts w:ascii="Arial" w:hAnsi="Arial"/>
                <w:b/>
                <w:sz w:val="20"/>
                <w:lang w:val="pl-PL"/>
              </w:rPr>
              <w:t>1</w:t>
            </w:r>
          </w:p>
        </w:tc>
      </w:tr>
      <w:tr w:rsidR="007A03FC" w:rsidRPr="00765C97" w:rsidTr="003E2351">
        <w:trPr>
          <w:trHeight w:val="255"/>
        </w:trPr>
        <w:tc>
          <w:tcPr>
            <w:tcW w:w="5103" w:type="dxa"/>
            <w:tcBorders>
              <w:top w:val="nil"/>
              <w:left w:val="nil"/>
              <w:right w:val="nil"/>
            </w:tcBorders>
            <w:vAlign w:val="center"/>
          </w:tcPr>
          <w:p w:rsidR="007A03FC" w:rsidRPr="00765C97" w:rsidRDefault="007A03FC">
            <w:pPr>
              <w:rPr>
                <w:rFonts w:ascii="Arial" w:hAnsi="Arial"/>
                <w:b/>
                <w:sz w:val="20"/>
                <w:lang w:val="pl-PL"/>
              </w:rPr>
            </w:pPr>
            <w:r w:rsidRPr="00765C97">
              <w:rPr>
                <w:rFonts w:ascii="Arial" w:hAnsi="Arial"/>
                <w:b/>
                <w:sz w:val="20"/>
                <w:lang w:val="pl-PL"/>
              </w:rPr>
              <w:t>Zysk brutto skonsolidowany przed opodatkowaniem</w:t>
            </w:r>
          </w:p>
        </w:tc>
        <w:tc>
          <w:tcPr>
            <w:tcW w:w="1710" w:type="dxa"/>
            <w:tcBorders>
              <w:top w:val="nil"/>
              <w:left w:val="nil"/>
              <w:right w:val="nil"/>
            </w:tcBorders>
            <w:vAlign w:val="center"/>
          </w:tcPr>
          <w:p w:rsidR="007A03FC" w:rsidRPr="00765C97" w:rsidRDefault="00867F76" w:rsidP="00403926">
            <w:pPr>
              <w:spacing w:before="20" w:after="20"/>
              <w:ind w:right="130"/>
              <w:jc w:val="right"/>
              <w:rPr>
                <w:rFonts w:ascii="Arial" w:hAnsi="Arial"/>
                <w:b/>
                <w:color w:val="000000"/>
                <w:sz w:val="20"/>
                <w:lang w:val="pl-PL"/>
              </w:rPr>
            </w:pPr>
            <w:r w:rsidRPr="00765C97">
              <w:rPr>
                <w:rFonts w:ascii="Arial" w:hAnsi="Arial"/>
                <w:b/>
                <w:color w:val="000000"/>
                <w:sz w:val="20"/>
                <w:lang w:val="pl-PL"/>
              </w:rPr>
              <w:t>39 737</w:t>
            </w:r>
          </w:p>
        </w:tc>
        <w:tc>
          <w:tcPr>
            <w:tcW w:w="1710" w:type="dxa"/>
            <w:tcBorders>
              <w:top w:val="nil"/>
              <w:left w:val="nil"/>
              <w:right w:val="nil"/>
            </w:tcBorders>
            <w:vAlign w:val="center"/>
          </w:tcPr>
          <w:p w:rsidR="007A03FC" w:rsidRPr="00765C97" w:rsidRDefault="007A03FC" w:rsidP="007A03FC">
            <w:pPr>
              <w:spacing w:before="20" w:after="20"/>
              <w:ind w:right="130"/>
              <w:jc w:val="right"/>
              <w:rPr>
                <w:rFonts w:ascii="Arial" w:hAnsi="Arial"/>
                <w:b/>
                <w:color w:val="000000"/>
                <w:sz w:val="20"/>
                <w:lang w:val="pl-PL"/>
              </w:rPr>
            </w:pPr>
            <w:r w:rsidRPr="00765C97">
              <w:rPr>
                <w:rFonts w:ascii="Arial" w:hAnsi="Arial"/>
                <w:b/>
                <w:color w:val="000000"/>
                <w:sz w:val="20"/>
                <w:lang w:val="pl-PL"/>
              </w:rPr>
              <w:t>39 764</w:t>
            </w:r>
          </w:p>
        </w:tc>
      </w:tr>
      <w:tr w:rsidR="007A03FC" w:rsidRPr="00765C97" w:rsidTr="003E2351">
        <w:trPr>
          <w:trHeight w:val="255"/>
        </w:trPr>
        <w:tc>
          <w:tcPr>
            <w:tcW w:w="5103" w:type="dxa"/>
            <w:tcBorders>
              <w:left w:val="nil"/>
              <w:bottom w:val="nil"/>
              <w:right w:val="nil"/>
            </w:tcBorders>
            <w:vAlign w:val="center"/>
          </w:tcPr>
          <w:p w:rsidR="007A03FC" w:rsidRPr="00765C97" w:rsidRDefault="007A03FC">
            <w:pPr>
              <w:rPr>
                <w:rFonts w:ascii="Arial" w:hAnsi="Arial"/>
                <w:i/>
                <w:spacing w:val="-1"/>
                <w:sz w:val="20"/>
                <w:lang w:val="pl-PL"/>
              </w:rPr>
            </w:pPr>
            <w:r w:rsidRPr="00765C97">
              <w:rPr>
                <w:rFonts w:ascii="Arial" w:hAnsi="Arial"/>
                <w:i/>
                <w:spacing w:val="-1"/>
                <w:sz w:val="20"/>
                <w:lang w:val="pl-PL"/>
              </w:rPr>
              <w:t>Podatek wyliczony stawką nominalną od zysku brutto</w:t>
            </w:r>
          </w:p>
        </w:tc>
        <w:tc>
          <w:tcPr>
            <w:tcW w:w="1710" w:type="dxa"/>
            <w:tcBorders>
              <w:left w:val="nil"/>
              <w:bottom w:val="nil"/>
              <w:right w:val="nil"/>
            </w:tcBorders>
            <w:vAlign w:val="center"/>
          </w:tcPr>
          <w:p w:rsidR="007A03FC" w:rsidRPr="00765C97" w:rsidRDefault="00867F76" w:rsidP="00FA6124">
            <w:pPr>
              <w:spacing w:before="20" w:after="20"/>
              <w:ind w:right="130"/>
              <w:jc w:val="right"/>
              <w:rPr>
                <w:rFonts w:ascii="Arial" w:hAnsi="Arial"/>
                <w:i/>
                <w:color w:val="000000"/>
                <w:sz w:val="20"/>
                <w:lang w:val="pl-PL"/>
              </w:rPr>
            </w:pPr>
            <w:r w:rsidRPr="00765C97">
              <w:rPr>
                <w:rFonts w:ascii="Arial" w:hAnsi="Arial"/>
                <w:i/>
                <w:color w:val="000000"/>
                <w:sz w:val="20"/>
                <w:lang w:val="pl-PL"/>
              </w:rPr>
              <w:t>17 950</w:t>
            </w:r>
          </w:p>
        </w:tc>
        <w:tc>
          <w:tcPr>
            <w:tcW w:w="1710" w:type="dxa"/>
            <w:tcBorders>
              <w:left w:val="nil"/>
              <w:bottom w:val="nil"/>
              <w:right w:val="nil"/>
            </w:tcBorders>
            <w:vAlign w:val="center"/>
          </w:tcPr>
          <w:p w:rsidR="007A03FC" w:rsidRPr="00765C97" w:rsidRDefault="007A03FC" w:rsidP="007A03FC">
            <w:pPr>
              <w:spacing w:before="20" w:after="20"/>
              <w:ind w:right="130"/>
              <w:jc w:val="right"/>
              <w:rPr>
                <w:rFonts w:ascii="Arial" w:hAnsi="Arial"/>
                <w:i/>
                <w:color w:val="000000"/>
                <w:sz w:val="20"/>
                <w:lang w:val="pl-PL"/>
              </w:rPr>
            </w:pPr>
            <w:r w:rsidRPr="00765C97">
              <w:rPr>
                <w:rFonts w:ascii="Arial" w:hAnsi="Arial"/>
                <w:i/>
                <w:color w:val="000000"/>
                <w:sz w:val="20"/>
                <w:lang w:val="pl-PL"/>
              </w:rPr>
              <w:t>8 093</w:t>
            </w:r>
          </w:p>
        </w:tc>
      </w:tr>
      <w:tr w:rsidR="007A03FC" w:rsidRPr="00F346A4" w:rsidTr="003E2351">
        <w:trPr>
          <w:trHeight w:val="255"/>
        </w:trPr>
        <w:tc>
          <w:tcPr>
            <w:tcW w:w="5103" w:type="dxa"/>
            <w:tcBorders>
              <w:left w:val="nil"/>
              <w:bottom w:val="nil"/>
              <w:right w:val="nil"/>
            </w:tcBorders>
            <w:vAlign w:val="center"/>
          </w:tcPr>
          <w:p w:rsidR="007A03FC" w:rsidRPr="00765C97" w:rsidRDefault="007A03FC">
            <w:pPr>
              <w:rPr>
                <w:rFonts w:ascii="Arial" w:hAnsi="Arial"/>
                <w:spacing w:val="-1"/>
                <w:sz w:val="20"/>
                <w:lang w:val="pl-PL"/>
              </w:rPr>
            </w:pPr>
            <w:r w:rsidRPr="00765C97">
              <w:rPr>
                <w:rFonts w:ascii="Arial" w:hAnsi="Arial"/>
                <w:spacing w:val="-1"/>
                <w:sz w:val="20"/>
                <w:lang w:val="pl-PL"/>
              </w:rPr>
              <w:t>Różnice pomiędzy zyskiem brutto a podstawą opodatkowania:</w:t>
            </w:r>
          </w:p>
        </w:tc>
        <w:tc>
          <w:tcPr>
            <w:tcW w:w="1710" w:type="dxa"/>
            <w:tcBorders>
              <w:left w:val="nil"/>
              <w:bottom w:val="nil"/>
              <w:right w:val="nil"/>
            </w:tcBorders>
            <w:vAlign w:val="center"/>
          </w:tcPr>
          <w:p w:rsidR="007A03FC" w:rsidRPr="00765C97" w:rsidRDefault="007A03FC" w:rsidP="00FA6124">
            <w:pPr>
              <w:spacing w:before="20" w:after="20"/>
              <w:ind w:right="130"/>
              <w:jc w:val="right"/>
              <w:rPr>
                <w:rFonts w:ascii="Arial" w:hAnsi="Arial"/>
                <w:color w:val="000000"/>
                <w:sz w:val="20"/>
                <w:lang w:val="pl-PL"/>
              </w:rPr>
            </w:pPr>
          </w:p>
        </w:tc>
        <w:tc>
          <w:tcPr>
            <w:tcW w:w="1710" w:type="dxa"/>
            <w:tcBorders>
              <w:left w:val="nil"/>
              <w:bottom w:val="nil"/>
              <w:right w:val="nil"/>
            </w:tcBorders>
            <w:vAlign w:val="center"/>
          </w:tcPr>
          <w:p w:rsidR="007A03FC" w:rsidRPr="00765C97" w:rsidRDefault="007A03FC" w:rsidP="007A03FC">
            <w:pPr>
              <w:spacing w:before="20" w:after="20"/>
              <w:ind w:right="130"/>
              <w:jc w:val="right"/>
              <w:rPr>
                <w:rFonts w:ascii="Arial" w:hAnsi="Arial"/>
                <w:color w:val="000000"/>
                <w:sz w:val="20"/>
                <w:lang w:val="pl-PL"/>
              </w:rPr>
            </w:pPr>
          </w:p>
        </w:tc>
      </w:tr>
      <w:tr w:rsidR="007A03FC" w:rsidRPr="00765C97" w:rsidTr="003E2351">
        <w:trPr>
          <w:trHeight w:val="255"/>
        </w:trPr>
        <w:tc>
          <w:tcPr>
            <w:tcW w:w="5103" w:type="dxa"/>
            <w:tcBorders>
              <w:left w:val="nil"/>
              <w:bottom w:val="nil"/>
              <w:right w:val="nil"/>
            </w:tcBorders>
            <w:vAlign w:val="center"/>
          </w:tcPr>
          <w:p w:rsidR="007A03FC" w:rsidRPr="00765C97" w:rsidRDefault="00BA0DE1" w:rsidP="00BA0DE1">
            <w:pPr>
              <w:rPr>
                <w:rFonts w:ascii="Arial" w:hAnsi="Arial"/>
                <w:sz w:val="20"/>
                <w:lang w:val="pl-PL"/>
              </w:rPr>
            </w:pPr>
            <w:r w:rsidRPr="00765C97">
              <w:rPr>
                <w:rFonts w:ascii="Arial" w:hAnsi="Arial"/>
                <w:spacing w:val="-1"/>
                <w:sz w:val="20"/>
                <w:lang w:val="pl-PL"/>
              </w:rPr>
              <w:t xml:space="preserve">  - k</w:t>
            </w:r>
            <w:r w:rsidR="007A03FC" w:rsidRPr="00765C97">
              <w:rPr>
                <w:rFonts w:ascii="Arial" w:hAnsi="Arial"/>
                <w:spacing w:val="-1"/>
                <w:sz w:val="20"/>
                <w:lang w:val="pl-PL"/>
              </w:rPr>
              <w:t>orekty konsolidacyjne</w:t>
            </w:r>
          </w:p>
        </w:tc>
        <w:tc>
          <w:tcPr>
            <w:tcW w:w="1710" w:type="dxa"/>
            <w:tcBorders>
              <w:left w:val="nil"/>
              <w:bottom w:val="nil"/>
              <w:right w:val="nil"/>
            </w:tcBorders>
            <w:vAlign w:val="center"/>
          </w:tcPr>
          <w:p w:rsidR="007A03FC" w:rsidRPr="00765C97" w:rsidRDefault="00867F76" w:rsidP="006C684A">
            <w:pPr>
              <w:spacing w:before="20" w:after="20"/>
              <w:ind w:right="130"/>
              <w:jc w:val="right"/>
              <w:rPr>
                <w:rFonts w:ascii="Arial" w:hAnsi="Arial"/>
                <w:sz w:val="20"/>
                <w:lang w:val="pl-PL"/>
              </w:rPr>
            </w:pPr>
            <w:r w:rsidRPr="00765C97">
              <w:rPr>
                <w:rFonts w:ascii="Arial" w:hAnsi="Arial"/>
                <w:sz w:val="20"/>
                <w:lang w:val="pl-PL"/>
              </w:rPr>
              <w:t>(16 675)</w:t>
            </w:r>
          </w:p>
        </w:tc>
        <w:tc>
          <w:tcPr>
            <w:tcW w:w="1710" w:type="dxa"/>
            <w:tcBorders>
              <w:left w:val="nil"/>
              <w:bottom w:val="nil"/>
              <w:right w:val="nil"/>
            </w:tcBorders>
            <w:vAlign w:val="center"/>
          </w:tcPr>
          <w:p w:rsidR="007A03FC" w:rsidRPr="00765C97" w:rsidRDefault="007A03FC" w:rsidP="007A03FC">
            <w:pPr>
              <w:spacing w:before="20" w:after="20"/>
              <w:ind w:right="130"/>
              <w:jc w:val="right"/>
              <w:rPr>
                <w:rFonts w:ascii="Arial" w:hAnsi="Arial"/>
                <w:sz w:val="20"/>
                <w:lang w:val="pl-PL"/>
              </w:rPr>
            </w:pPr>
            <w:r w:rsidRPr="00765C97">
              <w:rPr>
                <w:rFonts w:ascii="Arial" w:hAnsi="Arial"/>
                <w:sz w:val="20"/>
                <w:lang w:val="pl-PL"/>
              </w:rPr>
              <w:t>(23 411)</w:t>
            </w:r>
          </w:p>
        </w:tc>
      </w:tr>
      <w:tr w:rsidR="007A03FC" w:rsidRPr="00765C97" w:rsidTr="00BA0DE1">
        <w:trPr>
          <w:trHeight w:val="255"/>
        </w:trPr>
        <w:tc>
          <w:tcPr>
            <w:tcW w:w="5103" w:type="dxa"/>
            <w:tcBorders>
              <w:top w:val="nil"/>
              <w:left w:val="nil"/>
              <w:bottom w:val="single" w:sz="4" w:space="0" w:color="auto"/>
              <w:right w:val="nil"/>
            </w:tcBorders>
            <w:vAlign w:val="center"/>
          </w:tcPr>
          <w:p w:rsidR="007A03FC" w:rsidRPr="00765C97" w:rsidRDefault="00BA0DE1" w:rsidP="00BA0DE1">
            <w:pPr>
              <w:rPr>
                <w:rFonts w:ascii="Arial" w:hAnsi="Arial"/>
                <w:sz w:val="20"/>
                <w:lang w:val="pl-PL"/>
              </w:rPr>
            </w:pPr>
            <w:r w:rsidRPr="00765C97">
              <w:rPr>
                <w:rFonts w:ascii="Arial" w:hAnsi="Arial"/>
                <w:sz w:val="20"/>
                <w:lang w:val="pl-PL"/>
              </w:rPr>
              <w:t xml:space="preserve">  - w</w:t>
            </w:r>
            <w:r w:rsidR="007A03FC" w:rsidRPr="00765C97">
              <w:rPr>
                <w:rFonts w:ascii="Arial" w:hAnsi="Arial"/>
                <w:sz w:val="20"/>
                <w:lang w:val="pl-PL"/>
              </w:rPr>
              <w:t>yłączenia strat spółek konsolidowanych</w:t>
            </w:r>
          </w:p>
        </w:tc>
        <w:tc>
          <w:tcPr>
            <w:tcW w:w="1710" w:type="dxa"/>
            <w:tcBorders>
              <w:top w:val="nil"/>
              <w:left w:val="nil"/>
              <w:bottom w:val="single" w:sz="4" w:space="0" w:color="auto"/>
              <w:right w:val="nil"/>
            </w:tcBorders>
            <w:vAlign w:val="center"/>
          </w:tcPr>
          <w:p w:rsidR="007A03FC" w:rsidRPr="00765C97" w:rsidRDefault="00867F76" w:rsidP="00FA6124">
            <w:pPr>
              <w:spacing w:before="20" w:after="20"/>
              <w:ind w:right="130"/>
              <w:jc w:val="right"/>
              <w:rPr>
                <w:rFonts w:ascii="Arial" w:hAnsi="Arial"/>
                <w:spacing w:val="-2"/>
                <w:sz w:val="20"/>
                <w:lang w:val="pl-PL"/>
              </w:rPr>
            </w:pPr>
            <w:r w:rsidRPr="00765C97">
              <w:rPr>
                <w:rFonts w:ascii="Arial" w:hAnsi="Arial"/>
                <w:spacing w:val="-2"/>
                <w:sz w:val="20"/>
                <w:lang w:val="pl-PL"/>
              </w:rPr>
              <w:t>55 484</w:t>
            </w:r>
          </w:p>
        </w:tc>
        <w:tc>
          <w:tcPr>
            <w:tcW w:w="1710" w:type="dxa"/>
            <w:tcBorders>
              <w:top w:val="nil"/>
              <w:left w:val="nil"/>
              <w:bottom w:val="single" w:sz="4" w:space="0" w:color="auto"/>
              <w:right w:val="nil"/>
            </w:tcBorders>
            <w:vAlign w:val="center"/>
          </w:tcPr>
          <w:p w:rsidR="007A03FC" w:rsidRPr="00765C97" w:rsidRDefault="007A03FC" w:rsidP="007A03FC">
            <w:pPr>
              <w:spacing w:before="20" w:after="20"/>
              <w:ind w:right="130"/>
              <w:jc w:val="right"/>
              <w:rPr>
                <w:rFonts w:ascii="Arial" w:hAnsi="Arial"/>
                <w:spacing w:val="-2"/>
                <w:sz w:val="20"/>
                <w:lang w:val="pl-PL"/>
              </w:rPr>
            </w:pPr>
            <w:r w:rsidRPr="00765C97">
              <w:rPr>
                <w:rFonts w:ascii="Arial" w:hAnsi="Arial"/>
                <w:spacing w:val="-2"/>
                <w:sz w:val="20"/>
                <w:lang w:val="pl-PL"/>
              </w:rPr>
              <w:t>67 971</w:t>
            </w:r>
          </w:p>
        </w:tc>
      </w:tr>
      <w:tr w:rsidR="007A03FC" w:rsidRPr="00765C97" w:rsidTr="00BA0DE1">
        <w:trPr>
          <w:trHeight w:val="255"/>
        </w:trPr>
        <w:tc>
          <w:tcPr>
            <w:tcW w:w="5103" w:type="dxa"/>
            <w:tcBorders>
              <w:top w:val="single" w:sz="4" w:space="0" w:color="auto"/>
              <w:left w:val="nil"/>
              <w:bottom w:val="single" w:sz="4" w:space="0" w:color="auto"/>
              <w:right w:val="nil"/>
            </w:tcBorders>
            <w:vAlign w:val="center"/>
          </w:tcPr>
          <w:p w:rsidR="007A03FC" w:rsidRPr="00765C97" w:rsidRDefault="007A03FC">
            <w:pPr>
              <w:rPr>
                <w:rFonts w:ascii="Arial" w:hAnsi="Arial"/>
                <w:b/>
                <w:sz w:val="20"/>
                <w:lang w:val="pl-PL"/>
              </w:rPr>
            </w:pPr>
            <w:r w:rsidRPr="00765C97">
              <w:rPr>
                <w:rFonts w:ascii="Arial" w:hAnsi="Arial"/>
                <w:b/>
                <w:sz w:val="20"/>
                <w:lang w:val="pl-PL"/>
              </w:rPr>
              <w:t>Suma zysków brutto jednostek konsolidowanych (nominalna podstawa opodatkowania podatkiem dochodowym przy założeniu zgodności zysku bilansowego z podstawą opodatkowania)</w:t>
            </w:r>
          </w:p>
        </w:tc>
        <w:tc>
          <w:tcPr>
            <w:tcW w:w="1710" w:type="dxa"/>
            <w:tcBorders>
              <w:top w:val="single" w:sz="4" w:space="0" w:color="auto"/>
              <w:left w:val="nil"/>
              <w:bottom w:val="single" w:sz="4" w:space="0" w:color="auto"/>
              <w:right w:val="nil"/>
            </w:tcBorders>
            <w:vAlign w:val="center"/>
          </w:tcPr>
          <w:p w:rsidR="007A03FC" w:rsidRPr="00765C97" w:rsidRDefault="00867F76" w:rsidP="00FA6124">
            <w:pPr>
              <w:spacing w:before="20" w:after="20"/>
              <w:ind w:right="130"/>
              <w:jc w:val="right"/>
              <w:rPr>
                <w:rFonts w:ascii="Arial" w:hAnsi="Arial"/>
                <w:b/>
                <w:color w:val="000000"/>
                <w:sz w:val="20"/>
                <w:lang w:val="pl-PL"/>
              </w:rPr>
            </w:pPr>
            <w:r w:rsidRPr="00765C97">
              <w:rPr>
                <w:rFonts w:ascii="Arial" w:hAnsi="Arial"/>
                <w:b/>
                <w:color w:val="000000"/>
                <w:sz w:val="20"/>
                <w:lang w:val="pl-PL"/>
              </w:rPr>
              <w:t>78 546</w:t>
            </w:r>
          </w:p>
        </w:tc>
        <w:tc>
          <w:tcPr>
            <w:tcW w:w="1710" w:type="dxa"/>
            <w:tcBorders>
              <w:top w:val="single" w:sz="4" w:space="0" w:color="auto"/>
              <w:left w:val="nil"/>
              <w:bottom w:val="single" w:sz="4" w:space="0" w:color="auto"/>
              <w:right w:val="nil"/>
            </w:tcBorders>
            <w:vAlign w:val="center"/>
          </w:tcPr>
          <w:p w:rsidR="007A03FC" w:rsidRPr="00765C97" w:rsidRDefault="007A03FC" w:rsidP="007A03FC">
            <w:pPr>
              <w:spacing w:before="20" w:after="20"/>
              <w:ind w:right="130"/>
              <w:jc w:val="right"/>
              <w:rPr>
                <w:rFonts w:ascii="Arial" w:hAnsi="Arial"/>
                <w:b/>
                <w:color w:val="000000"/>
                <w:sz w:val="20"/>
                <w:lang w:val="pl-PL"/>
              </w:rPr>
            </w:pPr>
            <w:r w:rsidRPr="00765C97">
              <w:rPr>
                <w:rFonts w:ascii="Arial" w:hAnsi="Arial"/>
                <w:b/>
                <w:color w:val="000000"/>
                <w:sz w:val="20"/>
                <w:lang w:val="pl-PL"/>
              </w:rPr>
              <w:t>84 325</w:t>
            </w:r>
          </w:p>
        </w:tc>
      </w:tr>
      <w:tr w:rsidR="007A03FC" w:rsidRPr="00765C97" w:rsidTr="00BA0DE1">
        <w:trPr>
          <w:trHeight w:val="255"/>
        </w:trPr>
        <w:tc>
          <w:tcPr>
            <w:tcW w:w="5103" w:type="dxa"/>
            <w:tcBorders>
              <w:top w:val="single" w:sz="4" w:space="0" w:color="auto"/>
              <w:left w:val="nil"/>
              <w:right w:val="nil"/>
            </w:tcBorders>
            <w:vAlign w:val="center"/>
          </w:tcPr>
          <w:p w:rsidR="007A03FC" w:rsidRPr="00765C97" w:rsidRDefault="007A03FC" w:rsidP="00FE543B">
            <w:pPr>
              <w:rPr>
                <w:rFonts w:ascii="Arial" w:hAnsi="Arial"/>
                <w:sz w:val="20"/>
                <w:lang w:val="pl-PL"/>
              </w:rPr>
            </w:pPr>
            <w:r w:rsidRPr="00765C97">
              <w:rPr>
                <w:rFonts w:ascii="Arial" w:hAnsi="Arial"/>
                <w:sz w:val="20"/>
                <w:lang w:val="pl-PL"/>
              </w:rPr>
              <w:t xml:space="preserve">Trwałe i przejściowe różnice pomiędzy zyskiem brutto a rzeczywistą podstawą opodatkowania, w tym: </w:t>
            </w:r>
          </w:p>
        </w:tc>
        <w:tc>
          <w:tcPr>
            <w:tcW w:w="1710" w:type="dxa"/>
            <w:tcBorders>
              <w:top w:val="single" w:sz="4" w:space="0" w:color="auto"/>
              <w:left w:val="nil"/>
              <w:bottom w:val="nil"/>
              <w:right w:val="nil"/>
            </w:tcBorders>
            <w:vAlign w:val="center"/>
          </w:tcPr>
          <w:p w:rsidR="007A03FC" w:rsidRPr="00765C97" w:rsidRDefault="00867F76" w:rsidP="00FA6124">
            <w:pPr>
              <w:spacing w:before="20" w:after="20"/>
              <w:ind w:right="130"/>
              <w:jc w:val="right"/>
              <w:rPr>
                <w:rFonts w:ascii="Arial" w:hAnsi="Arial"/>
                <w:color w:val="000000"/>
                <w:sz w:val="20"/>
                <w:lang w:val="pl-PL"/>
              </w:rPr>
            </w:pPr>
            <w:r w:rsidRPr="00765C97">
              <w:rPr>
                <w:rFonts w:ascii="Arial" w:hAnsi="Arial"/>
                <w:color w:val="000000"/>
                <w:sz w:val="20"/>
                <w:lang w:val="pl-PL"/>
              </w:rPr>
              <w:t>(26 488)</w:t>
            </w:r>
          </w:p>
        </w:tc>
        <w:tc>
          <w:tcPr>
            <w:tcW w:w="1710" w:type="dxa"/>
            <w:tcBorders>
              <w:top w:val="single" w:sz="4" w:space="0" w:color="auto"/>
              <w:left w:val="nil"/>
              <w:bottom w:val="nil"/>
              <w:right w:val="nil"/>
            </w:tcBorders>
            <w:vAlign w:val="center"/>
          </w:tcPr>
          <w:p w:rsidR="007A03FC" w:rsidRPr="00765C97" w:rsidRDefault="007A03FC" w:rsidP="007A03FC">
            <w:pPr>
              <w:spacing w:before="20" w:after="20"/>
              <w:ind w:right="130"/>
              <w:jc w:val="right"/>
              <w:rPr>
                <w:rFonts w:ascii="Arial" w:hAnsi="Arial"/>
                <w:color w:val="000000"/>
                <w:sz w:val="20"/>
                <w:lang w:val="pl-PL"/>
              </w:rPr>
            </w:pPr>
            <w:r w:rsidRPr="00765C97">
              <w:rPr>
                <w:rFonts w:ascii="Arial" w:hAnsi="Arial"/>
                <w:color w:val="000000"/>
                <w:sz w:val="20"/>
                <w:lang w:val="pl-PL"/>
              </w:rPr>
              <w:t>(20 956)</w:t>
            </w:r>
          </w:p>
        </w:tc>
      </w:tr>
      <w:tr w:rsidR="007A03FC" w:rsidRPr="00765C97" w:rsidTr="003E2351">
        <w:trPr>
          <w:trHeight w:val="255"/>
        </w:trPr>
        <w:tc>
          <w:tcPr>
            <w:tcW w:w="5103" w:type="dxa"/>
            <w:tcBorders>
              <w:top w:val="nil"/>
              <w:left w:val="nil"/>
              <w:right w:val="nil"/>
            </w:tcBorders>
            <w:vAlign w:val="center"/>
          </w:tcPr>
          <w:p w:rsidR="007A03FC" w:rsidRPr="00765C97" w:rsidRDefault="00BA0DE1" w:rsidP="00BA0DE1">
            <w:pPr>
              <w:ind w:left="180"/>
              <w:rPr>
                <w:rFonts w:ascii="Arial" w:hAnsi="Arial"/>
                <w:i/>
                <w:sz w:val="18"/>
                <w:lang w:val="pl-PL"/>
              </w:rPr>
            </w:pPr>
            <w:r w:rsidRPr="00765C97">
              <w:rPr>
                <w:rFonts w:ascii="Arial" w:hAnsi="Arial"/>
                <w:i/>
                <w:sz w:val="18"/>
                <w:lang w:val="pl-PL"/>
              </w:rPr>
              <w:t>- w</w:t>
            </w:r>
            <w:r w:rsidR="007A03FC" w:rsidRPr="00765C97">
              <w:rPr>
                <w:rFonts w:ascii="Arial" w:hAnsi="Arial"/>
                <w:i/>
                <w:sz w:val="18"/>
                <w:lang w:val="pl-PL"/>
              </w:rPr>
              <w:t>ykorzystanie uprzednio rozpoznanych strat podatkowych</w:t>
            </w:r>
          </w:p>
        </w:tc>
        <w:tc>
          <w:tcPr>
            <w:tcW w:w="1710" w:type="dxa"/>
            <w:tcBorders>
              <w:top w:val="nil"/>
              <w:left w:val="nil"/>
              <w:bottom w:val="nil"/>
              <w:right w:val="nil"/>
            </w:tcBorders>
            <w:vAlign w:val="center"/>
          </w:tcPr>
          <w:p w:rsidR="007A03FC" w:rsidRPr="00765C97" w:rsidRDefault="00867F76" w:rsidP="00FA6124">
            <w:pPr>
              <w:spacing w:before="20" w:after="20"/>
              <w:ind w:right="130"/>
              <w:jc w:val="right"/>
              <w:rPr>
                <w:rFonts w:ascii="Arial" w:hAnsi="Arial"/>
                <w:i/>
                <w:color w:val="000000"/>
                <w:sz w:val="18"/>
                <w:lang w:val="pl-PL"/>
              </w:rPr>
            </w:pPr>
            <w:r w:rsidRPr="00765C97">
              <w:rPr>
                <w:rFonts w:ascii="Arial" w:hAnsi="Arial"/>
                <w:i/>
                <w:color w:val="000000"/>
                <w:sz w:val="18"/>
                <w:lang w:val="pl-PL"/>
              </w:rPr>
              <w:t>(27 667)</w:t>
            </w:r>
          </w:p>
        </w:tc>
        <w:tc>
          <w:tcPr>
            <w:tcW w:w="1710" w:type="dxa"/>
            <w:tcBorders>
              <w:top w:val="nil"/>
              <w:left w:val="nil"/>
              <w:bottom w:val="nil"/>
              <w:right w:val="nil"/>
            </w:tcBorders>
            <w:vAlign w:val="center"/>
          </w:tcPr>
          <w:p w:rsidR="007A03FC" w:rsidRPr="00765C97" w:rsidRDefault="007A03FC" w:rsidP="007A03FC">
            <w:pPr>
              <w:spacing w:before="20" w:after="20"/>
              <w:ind w:right="130"/>
              <w:jc w:val="right"/>
              <w:rPr>
                <w:rFonts w:ascii="Arial" w:hAnsi="Arial"/>
                <w:i/>
                <w:color w:val="000000"/>
                <w:sz w:val="18"/>
                <w:lang w:val="pl-PL"/>
              </w:rPr>
            </w:pPr>
            <w:r w:rsidRPr="00765C97">
              <w:rPr>
                <w:rFonts w:ascii="Arial" w:hAnsi="Arial"/>
                <w:i/>
                <w:color w:val="000000"/>
                <w:sz w:val="18"/>
                <w:lang w:val="pl-PL"/>
              </w:rPr>
              <w:t>13 690</w:t>
            </w:r>
          </w:p>
        </w:tc>
      </w:tr>
      <w:tr w:rsidR="007A03FC" w:rsidRPr="00765C97" w:rsidTr="003E2351">
        <w:trPr>
          <w:trHeight w:val="255"/>
        </w:trPr>
        <w:tc>
          <w:tcPr>
            <w:tcW w:w="5103" w:type="dxa"/>
            <w:tcBorders>
              <w:top w:val="nil"/>
              <w:left w:val="nil"/>
              <w:right w:val="nil"/>
            </w:tcBorders>
            <w:vAlign w:val="center"/>
          </w:tcPr>
          <w:p w:rsidR="007A03FC" w:rsidRPr="00765C97" w:rsidRDefault="00BA0DE1">
            <w:pPr>
              <w:ind w:left="180"/>
              <w:rPr>
                <w:rFonts w:ascii="Arial" w:hAnsi="Arial"/>
                <w:i/>
                <w:spacing w:val="-2"/>
                <w:sz w:val="18"/>
                <w:lang w:val="pl-PL"/>
              </w:rPr>
            </w:pPr>
            <w:r w:rsidRPr="00765C97">
              <w:rPr>
                <w:rFonts w:ascii="Arial" w:hAnsi="Arial"/>
                <w:i/>
                <w:spacing w:val="-2"/>
                <w:sz w:val="18"/>
                <w:lang w:val="pl-PL"/>
              </w:rPr>
              <w:t>- r</w:t>
            </w:r>
            <w:r w:rsidR="007A03FC" w:rsidRPr="00765C97">
              <w:rPr>
                <w:rFonts w:ascii="Arial" w:hAnsi="Arial"/>
                <w:i/>
                <w:spacing w:val="-2"/>
                <w:sz w:val="18"/>
                <w:lang w:val="pl-PL"/>
              </w:rPr>
              <w:t>óżnice pomiędzy podstawą opodatkowania podatkiem a zyskiem brutto</w:t>
            </w:r>
          </w:p>
        </w:tc>
        <w:tc>
          <w:tcPr>
            <w:tcW w:w="1710" w:type="dxa"/>
            <w:tcBorders>
              <w:top w:val="nil"/>
              <w:left w:val="nil"/>
              <w:right w:val="nil"/>
            </w:tcBorders>
            <w:vAlign w:val="center"/>
          </w:tcPr>
          <w:p w:rsidR="007A03FC" w:rsidRPr="00765C97" w:rsidRDefault="00867F76" w:rsidP="00FA6124">
            <w:pPr>
              <w:spacing w:before="20" w:after="20"/>
              <w:ind w:right="130"/>
              <w:jc w:val="right"/>
              <w:rPr>
                <w:rFonts w:ascii="Arial" w:hAnsi="Arial"/>
                <w:i/>
                <w:color w:val="000000"/>
                <w:sz w:val="18"/>
                <w:lang w:val="pl-PL"/>
              </w:rPr>
            </w:pPr>
            <w:r w:rsidRPr="00765C97">
              <w:rPr>
                <w:rFonts w:ascii="Arial" w:hAnsi="Arial"/>
                <w:i/>
                <w:color w:val="000000"/>
                <w:sz w:val="18"/>
                <w:lang w:val="pl-PL"/>
              </w:rPr>
              <w:t>49 259</w:t>
            </w:r>
          </w:p>
        </w:tc>
        <w:tc>
          <w:tcPr>
            <w:tcW w:w="1710" w:type="dxa"/>
            <w:tcBorders>
              <w:top w:val="nil"/>
              <w:left w:val="nil"/>
              <w:right w:val="nil"/>
            </w:tcBorders>
            <w:vAlign w:val="center"/>
          </w:tcPr>
          <w:p w:rsidR="007A03FC" w:rsidRPr="00765C97" w:rsidRDefault="007A03FC" w:rsidP="007A03FC">
            <w:pPr>
              <w:spacing w:before="20" w:after="20"/>
              <w:ind w:right="130"/>
              <w:jc w:val="right"/>
              <w:rPr>
                <w:rFonts w:ascii="Arial" w:hAnsi="Arial"/>
                <w:i/>
                <w:color w:val="000000"/>
                <w:sz w:val="18"/>
                <w:lang w:val="pl-PL"/>
              </w:rPr>
            </w:pPr>
            <w:r w:rsidRPr="00765C97">
              <w:rPr>
                <w:rFonts w:ascii="Arial" w:hAnsi="Arial"/>
                <w:i/>
                <w:color w:val="000000"/>
                <w:sz w:val="18"/>
                <w:lang w:val="pl-PL"/>
              </w:rPr>
              <w:t>27 457</w:t>
            </w:r>
          </w:p>
        </w:tc>
      </w:tr>
      <w:tr w:rsidR="007A03FC" w:rsidRPr="00765C97" w:rsidTr="003E2351">
        <w:trPr>
          <w:trHeight w:val="255"/>
        </w:trPr>
        <w:tc>
          <w:tcPr>
            <w:tcW w:w="5103" w:type="dxa"/>
            <w:tcBorders>
              <w:left w:val="nil"/>
              <w:right w:val="nil"/>
            </w:tcBorders>
            <w:vAlign w:val="center"/>
          </w:tcPr>
          <w:p w:rsidR="007A03FC" w:rsidRPr="00765C97" w:rsidRDefault="00BA0DE1">
            <w:pPr>
              <w:ind w:left="180"/>
              <w:rPr>
                <w:rFonts w:ascii="Arial" w:hAnsi="Arial"/>
                <w:i/>
                <w:sz w:val="18"/>
                <w:lang w:val="pl-PL"/>
              </w:rPr>
            </w:pPr>
            <w:r w:rsidRPr="00765C97">
              <w:rPr>
                <w:rFonts w:ascii="Arial" w:hAnsi="Arial"/>
                <w:i/>
                <w:sz w:val="18"/>
                <w:lang w:val="pl-PL"/>
              </w:rPr>
              <w:t>- d</w:t>
            </w:r>
            <w:r w:rsidR="007A03FC" w:rsidRPr="00765C97">
              <w:rPr>
                <w:rFonts w:ascii="Arial" w:hAnsi="Arial"/>
                <w:i/>
                <w:sz w:val="18"/>
                <w:lang w:val="pl-PL"/>
              </w:rPr>
              <w:t>ochód zwolniony z tytułu prowadzenia działalności w SSE</w:t>
            </w:r>
          </w:p>
        </w:tc>
        <w:tc>
          <w:tcPr>
            <w:tcW w:w="1710" w:type="dxa"/>
            <w:tcBorders>
              <w:left w:val="nil"/>
              <w:right w:val="nil"/>
            </w:tcBorders>
            <w:vAlign w:val="center"/>
          </w:tcPr>
          <w:p w:rsidR="007A03FC" w:rsidRPr="00765C97" w:rsidRDefault="00867F76" w:rsidP="00FA6124">
            <w:pPr>
              <w:spacing w:before="20" w:after="20"/>
              <w:ind w:right="130"/>
              <w:jc w:val="right"/>
              <w:rPr>
                <w:rFonts w:ascii="Arial" w:hAnsi="Arial"/>
                <w:i/>
                <w:color w:val="000000"/>
                <w:sz w:val="18"/>
                <w:lang w:val="pl-PL"/>
              </w:rPr>
            </w:pPr>
            <w:r w:rsidRPr="00765C97">
              <w:rPr>
                <w:rFonts w:ascii="Arial" w:hAnsi="Arial"/>
                <w:i/>
                <w:color w:val="000000"/>
                <w:sz w:val="18"/>
                <w:lang w:val="pl-PL"/>
              </w:rPr>
              <w:t>(45 229)</w:t>
            </w:r>
          </w:p>
        </w:tc>
        <w:tc>
          <w:tcPr>
            <w:tcW w:w="1710" w:type="dxa"/>
            <w:tcBorders>
              <w:left w:val="nil"/>
              <w:right w:val="nil"/>
            </w:tcBorders>
            <w:vAlign w:val="center"/>
          </w:tcPr>
          <w:p w:rsidR="007A03FC" w:rsidRPr="00765C97" w:rsidRDefault="007A03FC" w:rsidP="007A03FC">
            <w:pPr>
              <w:spacing w:before="20" w:after="20"/>
              <w:ind w:right="130"/>
              <w:jc w:val="right"/>
              <w:rPr>
                <w:rFonts w:ascii="Arial" w:hAnsi="Arial"/>
                <w:i/>
                <w:color w:val="000000"/>
                <w:sz w:val="18"/>
                <w:lang w:val="pl-PL"/>
              </w:rPr>
            </w:pPr>
            <w:r w:rsidRPr="00765C97">
              <w:rPr>
                <w:rFonts w:ascii="Arial" w:hAnsi="Arial"/>
                <w:i/>
                <w:color w:val="000000"/>
                <w:sz w:val="18"/>
                <w:lang w:val="pl-PL"/>
              </w:rPr>
              <w:t>(55 961)</w:t>
            </w:r>
          </w:p>
        </w:tc>
      </w:tr>
      <w:tr w:rsidR="007A03FC" w:rsidRPr="00765C97" w:rsidTr="003E2351">
        <w:trPr>
          <w:trHeight w:val="255"/>
        </w:trPr>
        <w:tc>
          <w:tcPr>
            <w:tcW w:w="5103" w:type="dxa"/>
            <w:tcBorders>
              <w:left w:val="nil"/>
              <w:right w:val="nil"/>
            </w:tcBorders>
            <w:vAlign w:val="center"/>
          </w:tcPr>
          <w:p w:rsidR="007A03FC" w:rsidRPr="00765C97" w:rsidRDefault="00BA0DE1" w:rsidP="00BA0DE1">
            <w:pPr>
              <w:ind w:left="180"/>
              <w:rPr>
                <w:rFonts w:ascii="Arial" w:hAnsi="Arial"/>
                <w:i/>
                <w:sz w:val="18"/>
                <w:lang w:val="pl-PL"/>
              </w:rPr>
            </w:pPr>
            <w:r w:rsidRPr="00765C97">
              <w:rPr>
                <w:rFonts w:ascii="Arial" w:hAnsi="Arial"/>
                <w:i/>
                <w:sz w:val="18"/>
                <w:lang w:val="pl-PL"/>
              </w:rPr>
              <w:t>- d</w:t>
            </w:r>
            <w:r w:rsidR="007A03FC" w:rsidRPr="00765C97">
              <w:rPr>
                <w:rFonts w:ascii="Arial" w:hAnsi="Arial"/>
                <w:i/>
                <w:sz w:val="18"/>
                <w:lang w:val="pl-PL"/>
              </w:rPr>
              <w:t>ochód nie podlegający opodatkowaniu (płatnikami podatku są udziałowcy)</w:t>
            </w:r>
          </w:p>
        </w:tc>
        <w:tc>
          <w:tcPr>
            <w:tcW w:w="1710" w:type="dxa"/>
            <w:tcBorders>
              <w:left w:val="nil"/>
              <w:right w:val="nil"/>
            </w:tcBorders>
            <w:vAlign w:val="center"/>
          </w:tcPr>
          <w:p w:rsidR="007A03FC" w:rsidRPr="00765C97" w:rsidRDefault="00867F76" w:rsidP="00FA6124">
            <w:pPr>
              <w:spacing w:before="20" w:after="20"/>
              <w:ind w:right="130"/>
              <w:jc w:val="right"/>
              <w:rPr>
                <w:rFonts w:ascii="Arial" w:hAnsi="Arial"/>
                <w:i/>
                <w:color w:val="000000"/>
                <w:sz w:val="18"/>
                <w:lang w:val="pl-PL"/>
              </w:rPr>
            </w:pPr>
            <w:r w:rsidRPr="00765C97">
              <w:rPr>
                <w:rFonts w:ascii="Arial" w:hAnsi="Arial"/>
                <w:i/>
                <w:color w:val="000000"/>
                <w:sz w:val="18"/>
                <w:lang w:val="pl-PL"/>
              </w:rPr>
              <w:t>(2 851)</w:t>
            </w:r>
          </w:p>
        </w:tc>
        <w:tc>
          <w:tcPr>
            <w:tcW w:w="1710" w:type="dxa"/>
            <w:tcBorders>
              <w:left w:val="nil"/>
              <w:right w:val="nil"/>
            </w:tcBorders>
            <w:vAlign w:val="center"/>
          </w:tcPr>
          <w:p w:rsidR="007A03FC" w:rsidRPr="00765C97" w:rsidRDefault="007A03FC" w:rsidP="007A03FC">
            <w:pPr>
              <w:spacing w:before="20" w:after="20"/>
              <w:ind w:right="130"/>
              <w:jc w:val="right"/>
              <w:rPr>
                <w:rFonts w:ascii="Arial" w:hAnsi="Arial"/>
                <w:i/>
                <w:color w:val="000000"/>
                <w:sz w:val="18"/>
                <w:lang w:val="pl-PL"/>
              </w:rPr>
            </w:pPr>
            <w:r w:rsidRPr="00765C97">
              <w:rPr>
                <w:rFonts w:ascii="Arial" w:hAnsi="Arial"/>
                <w:i/>
                <w:color w:val="000000"/>
                <w:sz w:val="18"/>
                <w:lang w:val="pl-PL"/>
              </w:rPr>
              <w:t>(5 518)</w:t>
            </w:r>
          </w:p>
        </w:tc>
      </w:tr>
      <w:tr w:rsidR="007A03FC" w:rsidRPr="00765C97" w:rsidTr="00DE2D6C">
        <w:trPr>
          <w:trHeight w:val="255"/>
        </w:trPr>
        <w:tc>
          <w:tcPr>
            <w:tcW w:w="5103" w:type="dxa"/>
            <w:tcBorders>
              <w:left w:val="nil"/>
              <w:bottom w:val="single" w:sz="4" w:space="0" w:color="auto"/>
              <w:right w:val="nil"/>
            </w:tcBorders>
            <w:vAlign w:val="center"/>
          </w:tcPr>
          <w:p w:rsidR="007A03FC" w:rsidRPr="00765C97" w:rsidRDefault="00BA0DE1" w:rsidP="00BA0DE1">
            <w:pPr>
              <w:ind w:left="180"/>
              <w:rPr>
                <w:rFonts w:ascii="Arial" w:hAnsi="Arial"/>
                <w:i/>
                <w:sz w:val="18"/>
                <w:lang w:val="pl-PL"/>
              </w:rPr>
            </w:pPr>
            <w:r w:rsidRPr="00765C97">
              <w:rPr>
                <w:rFonts w:ascii="Arial" w:hAnsi="Arial"/>
                <w:i/>
                <w:sz w:val="18"/>
                <w:lang w:val="pl-PL"/>
              </w:rPr>
              <w:t>- i</w:t>
            </w:r>
            <w:r w:rsidR="007A03FC" w:rsidRPr="00765C97">
              <w:rPr>
                <w:rFonts w:ascii="Arial" w:hAnsi="Arial"/>
                <w:i/>
                <w:sz w:val="18"/>
                <w:lang w:val="pl-PL"/>
              </w:rPr>
              <w:t>nne - dochody zwolnione</w:t>
            </w:r>
          </w:p>
        </w:tc>
        <w:tc>
          <w:tcPr>
            <w:tcW w:w="1710" w:type="dxa"/>
            <w:tcBorders>
              <w:left w:val="nil"/>
              <w:bottom w:val="single" w:sz="4" w:space="0" w:color="auto"/>
              <w:right w:val="nil"/>
            </w:tcBorders>
            <w:vAlign w:val="center"/>
          </w:tcPr>
          <w:p w:rsidR="007A03FC" w:rsidRPr="00765C97" w:rsidRDefault="00867F76" w:rsidP="00FA6124">
            <w:pPr>
              <w:spacing w:before="20" w:after="20"/>
              <w:ind w:right="130"/>
              <w:jc w:val="right"/>
              <w:rPr>
                <w:rFonts w:ascii="Arial" w:hAnsi="Arial"/>
                <w:i/>
                <w:color w:val="000000"/>
                <w:sz w:val="18"/>
                <w:lang w:val="pl-PL"/>
              </w:rPr>
            </w:pPr>
            <w:r w:rsidRPr="00765C97">
              <w:rPr>
                <w:rFonts w:ascii="Arial" w:hAnsi="Arial"/>
                <w:i/>
                <w:color w:val="000000"/>
                <w:sz w:val="18"/>
                <w:lang w:val="pl-PL"/>
              </w:rPr>
              <w:t>-</w:t>
            </w:r>
          </w:p>
        </w:tc>
        <w:tc>
          <w:tcPr>
            <w:tcW w:w="1710" w:type="dxa"/>
            <w:tcBorders>
              <w:left w:val="nil"/>
              <w:bottom w:val="single" w:sz="4" w:space="0" w:color="auto"/>
              <w:right w:val="nil"/>
            </w:tcBorders>
            <w:vAlign w:val="center"/>
          </w:tcPr>
          <w:p w:rsidR="007A03FC" w:rsidRPr="00765C97" w:rsidRDefault="007A03FC" w:rsidP="007A03FC">
            <w:pPr>
              <w:spacing w:before="20" w:after="20"/>
              <w:ind w:right="130"/>
              <w:jc w:val="right"/>
              <w:rPr>
                <w:rFonts w:ascii="Arial" w:hAnsi="Arial"/>
                <w:i/>
                <w:color w:val="000000"/>
                <w:sz w:val="18"/>
                <w:lang w:val="pl-PL"/>
              </w:rPr>
            </w:pPr>
            <w:r w:rsidRPr="00765C97">
              <w:rPr>
                <w:rFonts w:ascii="Arial" w:hAnsi="Arial"/>
                <w:i/>
                <w:color w:val="000000"/>
                <w:sz w:val="18"/>
                <w:lang w:val="pl-PL"/>
              </w:rPr>
              <w:t>(626)</w:t>
            </w:r>
          </w:p>
        </w:tc>
      </w:tr>
      <w:tr w:rsidR="007A03FC" w:rsidRPr="00765C97" w:rsidTr="00DE2D6C">
        <w:trPr>
          <w:trHeight w:val="255"/>
        </w:trPr>
        <w:tc>
          <w:tcPr>
            <w:tcW w:w="5103" w:type="dxa"/>
            <w:tcBorders>
              <w:top w:val="single" w:sz="4" w:space="0" w:color="auto"/>
              <w:left w:val="nil"/>
              <w:bottom w:val="single" w:sz="4" w:space="0" w:color="auto"/>
              <w:right w:val="nil"/>
            </w:tcBorders>
            <w:vAlign w:val="center"/>
          </w:tcPr>
          <w:p w:rsidR="007A03FC" w:rsidRPr="00765C97" w:rsidRDefault="007A03FC">
            <w:pPr>
              <w:rPr>
                <w:rFonts w:ascii="Arial" w:hAnsi="Arial"/>
                <w:b/>
                <w:sz w:val="20"/>
                <w:lang w:val="pl-PL"/>
              </w:rPr>
            </w:pPr>
            <w:r w:rsidRPr="00765C97">
              <w:rPr>
                <w:rFonts w:ascii="Arial" w:hAnsi="Arial"/>
                <w:b/>
                <w:sz w:val="20"/>
                <w:lang w:val="pl-PL"/>
              </w:rPr>
              <w:t>Podstawa opodatkowania podatkiem dochodowym</w:t>
            </w:r>
          </w:p>
        </w:tc>
        <w:tc>
          <w:tcPr>
            <w:tcW w:w="1710" w:type="dxa"/>
            <w:tcBorders>
              <w:top w:val="single" w:sz="4" w:space="0" w:color="auto"/>
              <w:left w:val="nil"/>
              <w:bottom w:val="single" w:sz="4" w:space="0" w:color="auto"/>
              <w:right w:val="nil"/>
            </w:tcBorders>
            <w:vAlign w:val="center"/>
          </w:tcPr>
          <w:p w:rsidR="007A03FC" w:rsidRPr="00765C97" w:rsidRDefault="00867F76" w:rsidP="00FA6124">
            <w:pPr>
              <w:spacing w:before="20" w:after="20"/>
              <w:ind w:right="130"/>
              <w:jc w:val="right"/>
              <w:rPr>
                <w:rFonts w:ascii="Arial" w:hAnsi="Arial"/>
                <w:b/>
                <w:color w:val="000000"/>
                <w:sz w:val="20"/>
                <w:lang w:val="pl-PL"/>
              </w:rPr>
            </w:pPr>
            <w:r w:rsidRPr="00765C97">
              <w:rPr>
                <w:rFonts w:ascii="Arial" w:hAnsi="Arial"/>
                <w:b/>
                <w:color w:val="000000"/>
                <w:sz w:val="20"/>
                <w:lang w:val="pl-PL"/>
              </w:rPr>
              <w:t>52 058</w:t>
            </w:r>
          </w:p>
        </w:tc>
        <w:tc>
          <w:tcPr>
            <w:tcW w:w="1710" w:type="dxa"/>
            <w:tcBorders>
              <w:top w:val="single" w:sz="4" w:space="0" w:color="auto"/>
              <w:left w:val="nil"/>
              <w:bottom w:val="single" w:sz="4" w:space="0" w:color="auto"/>
              <w:right w:val="nil"/>
            </w:tcBorders>
            <w:vAlign w:val="center"/>
          </w:tcPr>
          <w:p w:rsidR="007A03FC" w:rsidRPr="00765C97" w:rsidRDefault="007A03FC" w:rsidP="007A03FC">
            <w:pPr>
              <w:spacing w:before="20" w:after="20"/>
              <w:ind w:right="130"/>
              <w:jc w:val="right"/>
              <w:rPr>
                <w:rFonts w:ascii="Arial" w:hAnsi="Arial"/>
                <w:b/>
                <w:color w:val="000000"/>
                <w:sz w:val="20"/>
                <w:lang w:val="pl-PL"/>
              </w:rPr>
            </w:pPr>
            <w:r w:rsidRPr="00765C97">
              <w:rPr>
                <w:rFonts w:ascii="Arial" w:hAnsi="Arial"/>
                <w:b/>
                <w:color w:val="000000"/>
                <w:sz w:val="20"/>
                <w:lang w:val="pl-PL"/>
              </w:rPr>
              <w:t>63 369</w:t>
            </w:r>
          </w:p>
        </w:tc>
      </w:tr>
      <w:tr w:rsidR="007A03FC" w:rsidRPr="00765C97" w:rsidTr="00DE2D6C">
        <w:trPr>
          <w:trHeight w:val="255"/>
        </w:trPr>
        <w:tc>
          <w:tcPr>
            <w:tcW w:w="5103" w:type="dxa"/>
            <w:tcBorders>
              <w:top w:val="single" w:sz="4" w:space="0" w:color="auto"/>
              <w:left w:val="nil"/>
              <w:right w:val="nil"/>
            </w:tcBorders>
            <w:vAlign w:val="center"/>
          </w:tcPr>
          <w:p w:rsidR="007A03FC" w:rsidRPr="00765C97" w:rsidRDefault="007A03FC">
            <w:pPr>
              <w:ind w:right="-63"/>
              <w:rPr>
                <w:rFonts w:ascii="Arial" w:hAnsi="Arial"/>
                <w:i/>
                <w:sz w:val="20"/>
                <w:lang w:val="pl-PL"/>
              </w:rPr>
            </w:pPr>
            <w:r w:rsidRPr="00765C97">
              <w:rPr>
                <w:rFonts w:ascii="Arial" w:hAnsi="Arial"/>
                <w:i/>
                <w:sz w:val="20"/>
                <w:lang w:val="pl-PL"/>
              </w:rPr>
              <w:t>Podatek wyliczony według stawki podatkowej w Grupie</w:t>
            </w:r>
          </w:p>
        </w:tc>
        <w:tc>
          <w:tcPr>
            <w:tcW w:w="1710" w:type="dxa"/>
            <w:tcBorders>
              <w:top w:val="single" w:sz="4" w:space="0" w:color="auto"/>
              <w:left w:val="nil"/>
              <w:right w:val="nil"/>
            </w:tcBorders>
            <w:vAlign w:val="center"/>
          </w:tcPr>
          <w:p w:rsidR="007A03FC" w:rsidRPr="00765C97" w:rsidRDefault="00867F76" w:rsidP="00FA6124">
            <w:pPr>
              <w:spacing w:before="20" w:after="20"/>
              <w:ind w:right="130"/>
              <w:jc w:val="right"/>
              <w:rPr>
                <w:rFonts w:ascii="Arial" w:hAnsi="Arial"/>
                <w:i/>
                <w:color w:val="000000"/>
                <w:sz w:val="20"/>
                <w:lang w:val="pl-PL"/>
              </w:rPr>
            </w:pPr>
            <w:r w:rsidRPr="00765C97">
              <w:rPr>
                <w:rFonts w:ascii="Arial" w:hAnsi="Arial"/>
                <w:i/>
                <w:color w:val="000000"/>
                <w:sz w:val="20"/>
                <w:lang w:val="pl-PL"/>
              </w:rPr>
              <w:t>11 959</w:t>
            </w:r>
          </w:p>
        </w:tc>
        <w:tc>
          <w:tcPr>
            <w:tcW w:w="1710" w:type="dxa"/>
            <w:tcBorders>
              <w:top w:val="single" w:sz="4" w:space="0" w:color="auto"/>
              <w:left w:val="nil"/>
              <w:right w:val="nil"/>
            </w:tcBorders>
            <w:vAlign w:val="center"/>
          </w:tcPr>
          <w:p w:rsidR="007A03FC" w:rsidRPr="00765C97" w:rsidRDefault="007A03FC" w:rsidP="007A03FC">
            <w:pPr>
              <w:spacing w:before="20" w:after="20"/>
              <w:ind w:right="130"/>
              <w:jc w:val="right"/>
              <w:rPr>
                <w:rFonts w:ascii="Arial" w:hAnsi="Arial"/>
                <w:i/>
                <w:color w:val="000000"/>
                <w:sz w:val="20"/>
                <w:lang w:val="pl-PL"/>
              </w:rPr>
            </w:pPr>
            <w:r w:rsidRPr="00765C97">
              <w:rPr>
                <w:rFonts w:ascii="Arial" w:hAnsi="Arial"/>
                <w:i/>
                <w:color w:val="000000"/>
                <w:sz w:val="20"/>
                <w:lang w:val="pl-PL"/>
              </w:rPr>
              <w:t>12 568</w:t>
            </w:r>
          </w:p>
        </w:tc>
      </w:tr>
      <w:tr w:rsidR="007A03FC" w:rsidRPr="00765C97" w:rsidTr="003E2351">
        <w:trPr>
          <w:trHeight w:val="255"/>
        </w:trPr>
        <w:tc>
          <w:tcPr>
            <w:tcW w:w="5103" w:type="dxa"/>
            <w:tcBorders>
              <w:left w:val="nil"/>
              <w:right w:val="nil"/>
            </w:tcBorders>
            <w:vAlign w:val="center"/>
          </w:tcPr>
          <w:p w:rsidR="007A03FC" w:rsidRPr="00765C97" w:rsidRDefault="007A03FC">
            <w:pPr>
              <w:rPr>
                <w:rFonts w:ascii="Arial" w:hAnsi="Arial"/>
                <w:sz w:val="20"/>
                <w:lang w:val="pl-PL"/>
              </w:rPr>
            </w:pPr>
            <w:r w:rsidRPr="00765C97">
              <w:rPr>
                <w:rFonts w:ascii="Arial" w:hAnsi="Arial"/>
                <w:sz w:val="20"/>
                <w:lang w:val="pl-PL"/>
              </w:rPr>
              <w:t>Wielkość efektywnej stawki podatkowej</w:t>
            </w:r>
          </w:p>
        </w:tc>
        <w:tc>
          <w:tcPr>
            <w:tcW w:w="1710" w:type="dxa"/>
            <w:tcBorders>
              <w:left w:val="nil"/>
              <w:right w:val="nil"/>
            </w:tcBorders>
            <w:vAlign w:val="center"/>
          </w:tcPr>
          <w:p w:rsidR="007A03FC" w:rsidRPr="00765C97" w:rsidRDefault="00867F76" w:rsidP="00FA6124">
            <w:pPr>
              <w:spacing w:before="20" w:after="20"/>
              <w:ind w:right="130"/>
              <w:jc w:val="right"/>
              <w:rPr>
                <w:rFonts w:ascii="Arial" w:hAnsi="Arial"/>
                <w:color w:val="000000"/>
                <w:sz w:val="20"/>
                <w:lang w:val="pl-PL"/>
              </w:rPr>
            </w:pPr>
            <w:r w:rsidRPr="00765C97">
              <w:rPr>
                <w:rFonts w:ascii="Arial" w:hAnsi="Arial"/>
                <w:color w:val="000000"/>
                <w:sz w:val="20"/>
                <w:lang w:val="pl-PL"/>
              </w:rPr>
              <w:t>15,23%</w:t>
            </w:r>
          </w:p>
        </w:tc>
        <w:tc>
          <w:tcPr>
            <w:tcW w:w="1710" w:type="dxa"/>
            <w:tcBorders>
              <w:left w:val="nil"/>
              <w:right w:val="nil"/>
            </w:tcBorders>
            <w:vAlign w:val="center"/>
          </w:tcPr>
          <w:p w:rsidR="007A03FC" w:rsidRPr="00765C97" w:rsidRDefault="007A03FC" w:rsidP="007A03FC">
            <w:pPr>
              <w:spacing w:before="20" w:after="20"/>
              <w:ind w:right="130"/>
              <w:jc w:val="right"/>
              <w:rPr>
                <w:rFonts w:ascii="Arial" w:hAnsi="Arial"/>
                <w:color w:val="000000"/>
                <w:sz w:val="20"/>
                <w:lang w:val="pl-PL"/>
              </w:rPr>
            </w:pPr>
            <w:r w:rsidRPr="00765C97">
              <w:rPr>
                <w:rFonts w:ascii="Arial" w:hAnsi="Arial"/>
                <w:color w:val="000000"/>
                <w:sz w:val="20"/>
                <w:lang w:val="pl-PL"/>
              </w:rPr>
              <w:t>14,90%</w:t>
            </w:r>
          </w:p>
        </w:tc>
      </w:tr>
    </w:tbl>
    <w:p w:rsidR="00B24DA9" w:rsidRPr="00765C97" w:rsidRDefault="00B24DA9">
      <w:pPr>
        <w:ind w:left="180" w:right="72"/>
        <w:jc w:val="both"/>
        <w:rPr>
          <w:rFonts w:ascii="Arial" w:hAnsi="Arial"/>
          <w:spacing w:val="-3"/>
          <w:sz w:val="20"/>
          <w:lang w:val="pl-PL"/>
        </w:rPr>
      </w:pPr>
    </w:p>
    <w:p w:rsidR="00B24DA9" w:rsidRPr="00765C97" w:rsidRDefault="00A7654F" w:rsidP="003D6C36">
      <w:pPr>
        <w:ind w:right="21"/>
        <w:jc w:val="both"/>
        <w:rPr>
          <w:rFonts w:ascii="Arial" w:hAnsi="Arial"/>
          <w:sz w:val="20"/>
          <w:lang w:val="pl-PL"/>
        </w:rPr>
      </w:pPr>
      <w:r w:rsidRPr="00765C97">
        <w:rPr>
          <w:rFonts w:ascii="Arial" w:hAnsi="Arial"/>
          <w:sz w:val="20"/>
          <w:lang w:val="pl-PL"/>
        </w:rPr>
        <w:t>Mająca zastosowani</w:t>
      </w:r>
      <w:r w:rsidR="005A0991" w:rsidRPr="00765C97">
        <w:rPr>
          <w:rFonts w:ascii="Arial" w:hAnsi="Arial"/>
          <w:sz w:val="20"/>
          <w:lang w:val="pl-PL"/>
        </w:rPr>
        <w:t>e stawka podatku wyniosła w 201</w:t>
      </w:r>
      <w:r w:rsidR="007A03FC" w:rsidRPr="00765C97">
        <w:rPr>
          <w:rFonts w:ascii="Arial" w:hAnsi="Arial"/>
          <w:sz w:val="20"/>
          <w:lang w:val="pl-PL"/>
        </w:rPr>
        <w:t>2</w:t>
      </w:r>
      <w:r w:rsidR="005A0991" w:rsidRPr="00765C97">
        <w:rPr>
          <w:rFonts w:ascii="Arial" w:hAnsi="Arial"/>
          <w:sz w:val="20"/>
          <w:lang w:val="pl-PL"/>
        </w:rPr>
        <w:t xml:space="preserve"> roku </w:t>
      </w:r>
      <w:r w:rsidR="00867F76" w:rsidRPr="00765C97">
        <w:rPr>
          <w:rFonts w:ascii="Arial" w:hAnsi="Arial"/>
          <w:sz w:val="20"/>
          <w:lang w:val="pl-PL"/>
        </w:rPr>
        <w:t>22,97</w:t>
      </w:r>
      <w:r w:rsidRPr="00765C97">
        <w:rPr>
          <w:rFonts w:ascii="Arial" w:hAnsi="Arial"/>
          <w:sz w:val="20"/>
          <w:lang w:val="pl-PL"/>
        </w:rPr>
        <w:t>% i wynikała z przeciętnych stawek podatkowych stosowanych w krajach spółek objętych konsolidacją. Mająca zastosowani</w:t>
      </w:r>
      <w:r w:rsidR="005A0991" w:rsidRPr="00765C97">
        <w:rPr>
          <w:rFonts w:ascii="Arial" w:hAnsi="Arial"/>
          <w:sz w:val="20"/>
          <w:lang w:val="pl-PL"/>
        </w:rPr>
        <w:t>e stawka podatku wyniosła w 20</w:t>
      </w:r>
      <w:r w:rsidR="00E14080" w:rsidRPr="00765C97">
        <w:rPr>
          <w:rFonts w:ascii="Arial" w:hAnsi="Arial"/>
          <w:sz w:val="20"/>
          <w:lang w:val="pl-PL"/>
        </w:rPr>
        <w:t>1</w:t>
      </w:r>
      <w:r w:rsidR="007A03FC" w:rsidRPr="00765C97">
        <w:rPr>
          <w:rFonts w:ascii="Arial" w:hAnsi="Arial"/>
          <w:sz w:val="20"/>
          <w:lang w:val="pl-PL"/>
        </w:rPr>
        <w:t>1</w:t>
      </w:r>
      <w:r w:rsidR="005A0991" w:rsidRPr="00765C97">
        <w:rPr>
          <w:rFonts w:ascii="Arial" w:hAnsi="Arial"/>
          <w:sz w:val="20"/>
          <w:lang w:val="pl-PL"/>
        </w:rPr>
        <w:t xml:space="preserve"> roku </w:t>
      </w:r>
      <w:r w:rsidR="00E14080" w:rsidRPr="00765C97">
        <w:rPr>
          <w:rFonts w:ascii="Arial" w:hAnsi="Arial"/>
          <w:sz w:val="20"/>
          <w:lang w:val="pl-PL"/>
        </w:rPr>
        <w:t>19,</w:t>
      </w:r>
      <w:r w:rsidR="007A03FC" w:rsidRPr="00765C97">
        <w:rPr>
          <w:rFonts w:ascii="Arial" w:hAnsi="Arial"/>
          <w:sz w:val="20"/>
          <w:lang w:val="pl-PL"/>
        </w:rPr>
        <w:t>83</w:t>
      </w:r>
      <w:r w:rsidRPr="00765C97">
        <w:rPr>
          <w:rFonts w:ascii="Arial" w:hAnsi="Arial"/>
          <w:sz w:val="20"/>
          <w:lang w:val="pl-PL"/>
        </w:rPr>
        <w:t xml:space="preserve">% i wynikała z przeciętnych stawek podatkowych stosowanych w krajach spółek objętych konsolidacją. Władze podatkowe kraju </w:t>
      </w:r>
      <w:r w:rsidR="00F35BD0" w:rsidRPr="00765C97">
        <w:rPr>
          <w:rFonts w:ascii="Arial" w:hAnsi="Arial"/>
          <w:sz w:val="20"/>
          <w:lang w:val="pl-PL"/>
        </w:rPr>
        <w:t>j</w:t>
      </w:r>
      <w:r w:rsidRPr="00765C97">
        <w:rPr>
          <w:rFonts w:ascii="Arial" w:hAnsi="Arial"/>
          <w:sz w:val="20"/>
          <w:lang w:val="pl-PL"/>
        </w:rPr>
        <w:t xml:space="preserve">ednostki dominującej mogą przeprowadzić kontrolę ksiąg rachunkowych i rozliczeń podatkowych w ciągu 5 lat od zakończenia roku, w którym złożono deklaracje podatkowe i obciążyć Grupę dodatkowym wymiarem podatku wraz z karami i odsetkami. W opinii Zarządu </w:t>
      </w:r>
      <w:r w:rsidR="00F35BD0" w:rsidRPr="00765C97">
        <w:rPr>
          <w:rFonts w:ascii="Arial" w:hAnsi="Arial"/>
          <w:sz w:val="20"/>
          <w:lang w:val="pl-PL"/>
        </w:rPr>
        <w:t>j</w:t>
      </w:r>
      <w:r w:rsidRPr="00765C97">
        <w:rPr>
          <w:rFonts w:ascii="Arial" w:hAnsi="Arial"/>
          <w:sz w:val="20"/>
          <w:lang w:val="pl-PL"/>
        </w:rPr>
        <w:t>ednostki dominującej nie istnieją okoliczności wskazujące na możliwość powstania istotnych zobowiązań z tego tytułu.</w:t>
      </w:r>
    </w:p>
    <w:p w:rsidR="00CD033C" w:rsidRPr="00765C97" w:rsidRDefault="00CD033C">
      <w:pPr>
        <w:ind w:left="180" w:right="21"/>
        <w:jc w:val="both"/>
        <w:rPr>
          <w:rFonts w:ascii="Arial" w:hAnsi="Arial"/>
          <w:sz w:val="20"/>
          <w:lang w:val="pl-PL"/>
        </w:rPr>
      </w:pPr>
    </w:p>
    <w:p w:rsidR="00B24DA9" w:rsidRPr="00765C97" w:rsidRDefault="00CD033C" w:rsidP="00135A9A">
      <w:pPr>
        <w:pStyle w:val="Nagwek3"/>
        <w:numPr>
          <w:ilvl w:val="1"/>
          <w:numId w:val="22"/>
        </w:numPr>
        <w:spacing w:after="240"/>
        <w:ind w:left="709" w:hanging="567"/>
        <w:rPr>
          <w:sz w:val="20"/>
          <w:lang w:val="pl-PL"/>
        </w:rPr>
      </w:pPr>
      <w:r w:rsidRPr="00765C97">
        <w:rPr>
          <w:sz w:val="20"/>
          <w:lang w:val="pl-PL"/>
        </w:rPr>
        <w:br w:type="page"/>
      </w:r>
      <w:bookmarkStart w:id="86" w:name="_Toc353973239"/>
      <w:r w:rsidR="00B24DA9" w:rsidRPr="00765C97">
        <w:rPr>
          <w:sz w:val="20"/>
          <w:lang w:val="pl-PL"/>
        </w:rPr>
        <w:t>Zyski (straty) kursowe – netto</w:t>
      </w:r>
      <w:bookmarkEnd w:id="86"/>
    </w:p>
    <w:p w:rsidR="00B24DA9" w:rsidRPr="00765C97" w:rsidRDefault="00B24DA9" w:rsidP="003D6C36">
      <w:pPr>
        <w:tabs>
          <w:tab w:val="left" w:pos="2250"/>
          <w:tab w:val="left" w:pos="8792"/>
          <w:tab w:val="left" w:pos="9296"/>
        </w:tabs>
        <w:spacing w:after="72"/>
        <w:jc w:val="both"/>
        <w:rPr>
          <w:rFonts w:ascii="Arial" w:hAnsi="Arial"/>
          <w:sz w:val="20"/>
          <w:lang w:val="pl-PL"/>
        </w:rPr>
      </w:pPr>
      <w:r w:rsidRPr="00765C97">
        <w:rPr>
          <w:rFonts w:ascii="Arial" w:hAnsi="Arial"/>
          <w:sz w:val="20"/>
          <w:lang w:val="pl-PL"/>
        </w:rPr>
        <w:t>Różnice kursowe powiększające (koszty)/przychody w rachunku zysków i strat uwzględnione zostały w następujących pozycjach:</w:t>
      </w:r>
    </w:p>
    <w:tbl>
      <w:tblPr>
        <w:tblW w:w="8523" w:type="dxa"/>
        <w:tblLayout w:type="fixed"/>
        <w:tblCellMar>
          <w:left w:w="0" w:type="dxa"/>
          <w:right w:w="0" w:type="dxa"/>
        </w:tblCellMar>
        <w:tblLook w:val="0000"/>
      </w:tblPr>
      <w:tblGrid>
        <w:gridCol w:w="5103"/>
        <w:gridCol w:w="1710"/>
        <w:gridCol w:w="1710"/>
      </w:tblGrid>
      <w:tr w:rsidR="00B24DA9" w:rsidRPr="00765C97" w:rsidTr="003E2351">
        <w:trPr>
          <w:trHeight w:val="255"/>
        </w:trPr>
        <w:tc>
          <w:tcPr>
            <w:tcW w:w="5103" w:type="dxa"/>
            <w:tcBorders>
              <w:top w:val="nil"/>
              <w:left w:val="nil"/>
              <w:bottom w:val="nil"/>
              <w:right w:val="nil"/>
            </w:tcBorders>
          </w:tcPr>
          <w:p w:rsidR="00B24DA9" w:rsidRPr="00765C97" w:rsidRDefault="00B24DA9">
            <w:pPr>
              <w:spacing w:before="20" w:after="20"/>
              <w:rPr>
                <w:rFonts w:ascii="Arial" w:hAnsi="Arial"/>
                <w:sz w:val="20"/>
                <w:lang w:val="pl-PL"/>
              </w:rPr>
            </w:pPr>
          </w:p>
        </w:tc>
        <w:tc>
          <w:tcPr>
            <w:tcW w:w="1710" w:type="dxa"/>
            <w:tcBorders>
              <w:top w:val="nil"/>
              <w:left w:val="nil"/>
              <w:bottom w:val="nil"/>
              <w:right w:val="nil"/>
            </w:tcBorders>
            <w:vAlign w:val="center"/>
          </w:tcPr>
          <w:p w:rsidR="00B24DA9" w:rsidRPr="00765C97" w:rsidRDefault="00B24DA9">
            <w:pPr>
              <w:ind w:right="180"/>
              <w:jc w:val="right"/>
              <w:rPr>
                <w:rFonts w:ascii="Arial" w:hAnsi="Arial"/>
                <w:b/>
                <w:sz w:val="20"/>
                <w:lang w:val="pl-PL"/>
              </w:rPr>
            </w:pPr>
            <w:r w:rsidRPr="00765C97">
              <w:rPr>
                <w:rFonts w:ascii="Arial" w:hAnsi="Arial"/>
                <w:b/>
                <w:sz w:val="20"/>
                <w:lang w:val="pl-PL"/>
              </w:rPr>
              <w:t>12 miesięcy</w:t>
            </w:r>
          </w:p>
          <w:p w:rsidR="00B24DA9" w:rsidRPr="00765C97" w:rsidRDefault="00B24DA9" w:rsidP="007A03FC">
            <w:pPr>
              <w:ind w:right="180"/>
              <w:jc w:val="right"/>
              <w:rPr>
                <w:rFonts w:ascii="Arial" w:hAnsi="Arial"/>
                <w:b/>
                <w:sz w:val="20"/>
                <w:lang w:val="pl-PL"/>
              </w:rPr>
            </w:pPr>
            <w:r w:rsidRPr="00765C97">
              <w:rPr>
                <w:rFonts w:ascii="Arial" w:hAnsi="Arial"/>
                <w:b/>
                <w:sz w:val="20"/>
                <w:lang w:val="pl-PL"/>
              </w:rPr>
              <w:t>20</w:t>
            </w:r>
            <w:r w:rsidR="004B1467" w:rsidRPr="00765C97">
              <w:rPr>
                <w:rFonts w:ascii="Arial" w:hAnsi="Arial"/>
                <w:b/>
                <w:sz w:val="20"/>
                <w:lang w:val="pl-PL"/>
              </w:rPr>
              <w:t>1</w:t>
            </w:r>
            <w:r w:rsidR="007A03FC" w:rsidRPr="00765C97">
              <w:rPr>
                <w:rFonts w:ascii="Arial" w:hAnsi="Arial"/>
                <w:b/>
                <w:sz w:val="20"/>
                <w:lang w:val="pl-PL"/>
              </w:rPr>
              <w:t>2</w:t>
            </w:r>
          </w:p>
        </w:tc>
        <w:tc>
          <w:tcPr>
            <w:tcW w:w="1710" w:type="dxa"/>
            <w:tcBorders>
              <w:top w:val="nil"/>
              <w:left w:val="nil"/>
              <w:bottom w:val="nil"/>
              <w:right w:val="nil"/>
            </w:tcBorders>
            <w:vAlign w:val="center"/>
          </w:tcPr>
          <w:p w:rsidR="00B24DA9" w:rsidRPr="00765C97" w:rsidRDefault="00B24DA9">
            <w:pPr>
              <w:ind w:right="180"/>
              <w:jc w:val="right"/>
              <w:rPr>
                <w:rFonts w:ascii="Arial" w:hAnsi="Arial"/>
                <w:b/>
                <w:sz w:val="20"/>
                <w:lang w:val="pl-PL"/>
              </w:rPr>
            </w:pPr>
            <w:r w:rsidRPr="00765C97">
              <w:rPr>
                <w:rFonts w:ascii="Arial" w:hAnsi="Arial"/>
                <w:b/>
                <w:sz w:val="20"/>
                <w:lang w:val="pl-PL"/>
              </w:rPr>
              <w:t>12 miesięcy</w:t>
            </w:r>
          </w:p>
          <w:p w:rsidR="00B24DA9" w:rsidRPr="00765C97" w:rsidRDefault="00B24DA9" w:rsidP="007A03FC">
            <w:pPr>
              <w:ind w:right="180"/>
              <w:jc w:val="right"/>
              <w:rPr>
                <w:rFonts w:ascii="Arial" w:hAnsi="Arial"/>
                <w:b/>
                <w:sz w:val="20"/>
                <w:lang w:val="pl-PL"/>
              </w:rPr>
            </w:pPr>
            <w:r w:rsidRPr="00765C97">
              <w:rPr>
                <w:rFonts w:ascii="Arial" w:hAnsi="Arial"/>
                <w:b/>
                <w:sz w:val="20"/>
                <w:lang w:val="pl-PL"/>
              </w:rPr>
              <w:t>20</w:t>
            </w:r>
            <w:r w:rsidR="00E14080" w:rsidRPr="00765C97">
              <w:rPr>
                <w:rFonts w:ascii="Arial" w:hAnsi="Arial"/>
                <w:b/>
                <w:sz w:val="20"/>
                <w:lang w:val="pl-PL"/>
              </w:rPr>
              <w:t>1</w:t>
            </w:r>
            <w:r w:rsidR="007A03FC" w:rsidRPr="00765C97">
              <w:rPr>
                <w:rFonts w:ascii="Arial" w:hAnsi="Arial"/>
                <w:b/>
                <w:sz w:val="20"/>
                <w:lang w:val="pl-PL"/>
              </w:rPr>
              <w:t>1</w:t>
            </w:r>
          </w:p>
        </w:tc>
      </w:tr>
      <w:tr w:rsidR="007A03FC" w:rsidRPr="00765C97" w:rsidTr="003E2351">
        <w:trPr>
          <w:trHeight w:val="255"/>
        </w:trPr>
        <w:tc>
          <w:tcPr>
            <w:tcW w:w="5103" w:type="dxa"/>
            <w:tcBorders>
              <w:top w:val="nil"/>
              <w:left w:val="nil"/>
              <w:bottom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Przychody ze sprzedaży</w:t>
            </w:r>
          </w:p>
        </w:tc>
        <w:tc>
          <w:tcPr>
            <w:tcW w:w="1710" w:type="dxa"/>
            <w:tcBorders>
              <w:top w:val="nil"/>
              <w:left w:val="nil"/>
              <w:bottom w:val="nil"/>
              <w:right w:val="nil"/>
            </w:tcBorders>
            <w:vAlign w:val="center"/>
          </w:tcPr>
          <w:p w:rsidR="007A03FC" w:rsidRPr="00765C97" w:rsidRDefault="00FF3CF7" w:rsidP="00F355D6">
            <w:pPr>
              <w:spacing w:before="20" w:after="20"/>
              <w:ind w:right="180"/>
              <w:jc w:val="right"/>
              <w:rPr>
                <w:rFonts w:ascii="Arial" w:hAnsi="Arial"/>
                <w:spacing w:val="-2"/>
                <w:sz w:val="20"/>
                <w:lang w:val="pl-PL"/>
              </w:rPr>
            </w:pPr>
            <w:r w:rsidRPr="00765C97">
              <w:rPr>
                <w:rFonts w:ascii="Arial" w:hAnsi="Arial"/>
                <w:spacing w:val="-2"/>
                <w:sz w:val="20"/>
                <w:lang w:val="pl-PL"/>
              </w:rPr>
              <w:t>(12 020)</w:t>
            </w:r>
          </w:p>
        </w:tc>
        <w:tc>
          <w:tcPr>
            <w:tcW w:w="1710" w:type="dxa"/>
            <w:tcBorders>
              <w:top w:val="nil"/>
              <w:left w:val="nil"/>
              <w:bottom w:val="nil"/>
              <w:right w:val="nil"/>
            </w:tcBorders>
            <w:vAlign w:val="center"/>
          </w:tcPr>
          <w:p w:rsidR="007A03FC" w:rsidRPr="00765C97" w:rsidRDefault="007A03FC" w:rsidP="007A03FC">
            <w:pPr>
              <w:spacing w:before="20" w:after="20"/>
              <w:ind w:right="180"/>
              <w:jc w:val="right"/>
              <w:rPr>
                <w:rFonts w:ascii="Arial" w:hAnsi="Arial"/>
                <w:spacing w:val="-2"/>
                <w:sz w:val="20"/>
                <w:lang w:val="pl-PL"/>
              </w:rPr>
            </w:pPr>
            <w:r w:rsidRPr="00765C97">
              <w:rPr>
                <w:rFonts w:ascii="Arial" w:hAnsi="Arial"/>
                <w:spacing w:val="-2"/>
                <w:sz w:val="20"/>
                <w:lang w:val="pl-PL"/>
              </w:rPr>
              <w:t>14 552</w:t>
            </w:r>
          </w:p>
        </w:tc>
      </w:tr>
      <w:tr w:rsidR="007A03FC" w:rsidRPr="00765C97" w:rsidTr="003E2351">
        <w:trPr>
          <w:trHeight w:val="255"/>
        </w:trPr>
        <w:tc>
          <w:tcPr>
            <w:tcW w:w="5103" w:type="dxa"/>
            <w:tcBorders>
              <w:top w:val="nil"/>
              <w:left w:val="nil"/>
              <w:bottom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Koszty sprzedanych produktów, towarów i materiałów</w:t>
            </w:r>
          </w:p>
        </w:tc>
        <w:tc>
          <w:tcPr>
            <w:tcW w:w="1710" w:type="dxa"/>
            <w:tcBorders>
              <w:top w:val="nil"/>
              <w:left w:val="nil"/>
              <w:bottom w:val="nil"/>
              <w:right w:val="nil"/>
            </w:tcBorders>
            <w:vAlign w:val="center"/>
          </w:tcPr>
          <w:p w:rsidR="007A03FC" w:rsidRPr="00765C97" w:rsidRDefault="00FF3CF7">
            <w:pPr>
              <w:spacing w:before="20" w:after="20"/>
              <w:ind w:right="180"/>
              <w:jc w:val="right"/>
              <w:rPr>
                <w:rFonts w:ascii="Arial" w:hAnsi="Arial"/>
                <w:sz w:val="20"/>
                <w:lang w:val="pl-PL"/>
              </w:rPr>
            </w:pPr>
            <w:r w:rsidRPr="00765C97">
              <w:rPr>
                <w:rFonts w:ascii="Arial" w:hAnsi="Arial"/>
                <w:sz w:val="20"/>
                <w:lang w:val="pl-PL"/>
              </w:rPr>
              <w:t>840</w:t>
            </w:r>
          </w:p>
        </w:tc>
        <w:tc>
          <w:tcPr>
            <w:tcW w:w="1710" w:type="dxa"/>
            <w:tcBorders>
              <w:top w:val="nil"/>
              <w:left w:val="nil"/>
              <w:bottom w:val="nil"/>
              <w:right w:val="nil"/>
            </w:tcBorders>
            <w:vAlign w:val="center"/>
          </w:tcPr>
          <w:p w:rsidR="007A03FC" w:rsidRPr="00765C97" w:rsidRDefault="007A03FC" w:rsidP="007A03FC">
            <w:pPr>
              <w:spacing w:before="20" w:after="20"/>
              <w:ind w:right="180"/>
              <w:jc w:val="right"/>
              <w:rPr>
                <w:rFonts w:ascii="Arial" w:hAnsi="Arial"/>
                <w:sz w:val="20"/>
                <w:lang w:val="pl-PL"/>
              </w:rPr>
            </w:pPr>
            <w:r w:rsidRPr="00765C97">
              <w:rPr>
                <w:rFonts w:ascii="Arial" w:hAnsi="Arial"/>
                <w:sz w:val="20"/>
                <w:lang w:val="pl-PL"/>
              </w:rPr>
              <w:t>(3 198)</w:t>
            </w:r>
          </w:p>
        </w:tc>
      </w:tr>
      <w:tr w:rsidR="007A03FC" w:rsidRPr="00765C97" w:rsidTr="003E2351">
        <w:trPr>
          <w:trHeight w:val="255"/>
        </w:trPr>
        <w:tc>
          <w:tcPr>
            <w:tcW w:w="5103" w:type="dxa"/>
            <w:tcBorders>
              <w:top w:val="nil"/>
              <w:left w:val="nil"/>
              <w:right w:val="nil"/>
            </w:tcBorders>
            <w:vAlign w:val="center"/>
          </w:tcPr>
          <w:p w:rsidR="007A03FC" w:rsidRPr="00765C97" w:rsidRDefault="007A03FC">
            <w:pPr>
              <w:spacing w:before="20" w:after="20"/>
              <w:rPr>
                <w:rFonts w:ascii="Arial" w:hAnsi="Arial"/>
                <w:sz w:val="20"/>
                <w:lang w:val="pl-PL"/>
              </w:rPr>
            </w:pPr>
            <w:r w:rsidRPr="00765C97">
              <w:rPr>
                <w:rFonts w:ascii="Arial" w:hAnsi="Arial"/>
                <w:sz w:val="20"/>
                <w:lang w:val="pl-PL"/>
              </w:rPr>
              <w:t>Koszty finansowe netto</w:t>
            </w:r>
          </w:p>
        </w:tc>
        <w:tc>
          <w:tcPr>
            <w:tcW w:w="1710" w:type="dxa"/>
            <w:tcBorders>
              <w:top w:val="nil"/>
              <w:left w:val="nil"/>
              <w:bottom w:val="single" w:sz="2" w:space="0" w:color="auto"/>
              <w:right w:val="nil"/>
            </w:tcBorders>
            <w:vAlign w:val="center"/>
          </w:tcPr>
          <w:p w:rsidR="007A03FC" w:rsidRPr="00765C97" w:rsidRDefault="00FF3CF7">
            <w:pPr>
              <w:spacing w:before="20" w:after="20"/>
              <w:ind w:right="180"/>
              <w:jc w:val="right"/>
              <w:rPr>
                <w:rFonts w:ascii="Arial" w:hAnsi="Arial"/>
                <w:sz w:val="20"/>
                <w:lang w:val="pl-PL"/>
              </w:rPr>
            </w:pPr>
            <w:r w:rsidRPr="00765C97">
              <w:rPr>
                <w:rFonts w:ascii="Arial" w:hAnsi="Arial"/>
                <w:sz w:val="20"/>
                <w:lang w:val="pl-PL"/>
              </w:rPr>
              <w:t>7 071</w:t>
            </w:r>
          </w:p>
        </w:tc>
        <w:tc>
          <w:tcPr>
            <w:tcW w:w="1710" w:type="dxa"/>
            <w:tcBorders>
              <w:top w:val="nil"/>
              <w:left w:val="nil"/>
              <w:bottom w:val="single" w:sz="2" w:space="0" w:color="auto"/>
              <w:right w:val="nil"/>
            </w:tcBorders>
            <w:vAlign w:val="center"/>
          </w:tcPr>
          <w:p w:rsidR="007A03FC" w:rsidRPr="00765C97" w:rsidRDefault="007A03FC" w:rsidP="007A03FC">
            <w:pPr>
              <w:spacing w:before="20" w:after="20"/>
              <w:ind w:right="180"/>
              <w:jc w:val="right"/>
              <w:rPr>
                <w:rFonts w:ascii="Arial" w:hAnsi="Arial"/>
                <w:sz w:val="20"/>
                <w:lang w:val="pl-PL"/>
              </w:rPr>
            </w:pPr>
            <w:r w:rsidRPr="00765C97">
              <w:rPr>
                <w:rFonts w:ascii="Arial" w:hAnsi="Arial"/>
                <w:sz w:val="20"/>
                <w:lang w:val="pl-PL"/>
              </w:rPr>
              <w:t>1 287</w:t>
            </w:r>
          </w:p>
        </w:tc>
      </w:tr>
      <w:tr w:rsidR="007A03FC" w:rsidRPr="00765C97" w:rsidTr="003E2351">
        <w:trPr>
          <w:trHeight w:val="255"/>
        </w:trPr>
        <w:tc>
          <w:tcPr>
            <w:tcW w:w="5103" w:type="dxa"/>
            <w:tcBorders>
              <w:left w:val="nil"/>
              <w:right w:val="nil"/>
            </w:tcBorders>
            <w:vAlign w:val="center"/>
          </w:tcPr>
          <w:p w:rsidR="007A03FC" w:rsidRPr="00765C97" w:rsidRDefault="007A03FC">
            <w:pPr>
              <w:spacing w:before="20" w:after="20"/>
              <w:rPr>
                <w:rFonts w:ascii="Arial" w:hAnsi="Arial"/>
                <w:b/>
                <w:sz w:val="20"/>
                <w:lang w:val="pl-PL"/>
              </w:rPr>
            </w:pPr>
            <w:r w:rsidRPr="00765C97">
              <w:rPr>
                <w:rFonts w:ascii="Arial" w:hAnsi="Arial"/>
                <w:b/>
                <w:sz w:val="20"/>
                <w:lang w:val="pl-PL"/>
              </w:rPr>
              <w:t>Razem</w:t>
            </w:r>
          </w:p>
        </w:tc>
        <w:tc>
          <w:tcPr>
            <w:tcW w:w="1710" w:type="dxa"/>
            <w:tcBorders>
              <w:top w:val="single" w:sz="2" w:space="0" w:color="auto"/>
              <w:left w:val="nil"/>
              <w:bottom w:val="single" w:sz="2" w:space="0" w:color="auto"/>
              <w:right w:val="nil"/>
            </w:tcBorders>
            <w:vAlign w:val="center"/>
          </w:tcPr>
          <w:p w:rsidR="007A03FC" w:rsidRPr="00765C97" w:rsidRDefault="00FF3CF7" w:rsidP="00F355D6">
            <w:pPr>
              <w:spacing w:before="20" w:after="20"/>
              <w:ind w:right="180"/>
              <w:jc w:val="right"/>
              <w:rPr>
                <w:rFonts w:ascii="Arial" w:hAnsi="Arial"/>
                <w:b/>
                <w:sz w:val="20"/>
                <w:lang w:val="pl-PL"/>
              </w:rPr>
            </w:pPr>
            <w:r w:rsidRPr="00765C97">
              <w:rPr>
                <w:rFonts w:ascii="Arial" w:hAnsi="Arial"/>
                <w:b/>
                <w:sz w:val="20"/>
                <w:lang w:val="pl-PL"/>
              </w:rPr>
              <w:t>(4 109)</w:t>
            </w:r>
          </w:p>
        </w:tc>
        <w:tc>
          <w:tcPr>
            <w:tcW w:w="1710" w:type="dxa"/>
            <w:tcBorders>
              <w:top w:val="single" w:sz="2" w:space="0" w:color="auto"/>
              <w:left w:val="nil"/>
              <w:bottom w:val="single" w:sz="2" w:space="0" w:color="auto"/>
              <w:right w:val="nil"/>
            </w:tcBorders>
            <w:vAlign w:val="center"/>
          </w:tcPr>
          <w:p w:rsidR="007A03FC" w:rsidRPr="00765C97" w:rsidRDefault="007A03FC" w:rsidP="007A03FC">
            <w:pPr>
              <w:spacing w:before="20" w:after="20"/>
              <w:ind w:right="180"/>
              <w:jc w:val="right"/>
              <w:rPr>
                <w:rFonts w:ascii="Arial" w:hAnsi="Arial"/>
                <w:b/>
                <w:sz w:val="20"/>
                <w:lang w:val="pl-PL"/>
              </w:rPr>
            </w:pPr>
            <w:r w:rsidRPr="00765C97">
              <w:rPr>
                <w:rFonts w:ascii="Arial" w:hAnsi="Arial"/>
                <w:b/>
                <w:sz w:val="20"/>
                <w:lang w:val="pl-PL"/>
              </w:rPr>
              <w:t>12 641</w:t>
            </w:r>
          </w:p>
        </w:tc>
      </w:tr>
    </w:tbl>
    <w:p w:rsidR="00B24DA9" w:rsidRPr="00765C97" w:rsidRDefault="00B24DA9" w:rsidP="00135A9A">
      <w:pPr>
        <w:pStyle w:val="Nagwek3"/>
        <w:numPr>
          <w:ilvl w:val="1"/>
          <w:numId w:val="22"/>
        </w:numPr>
        <w:spacing w:after="240"/>
        <w:ind w:left="709" w:hanging="567"/>
        <w:rPr>
          <w:sz w:val="20"/>
          <w:lang w:val="pl-PL"/>
        </w:rPr>
      </w:pPr>
      <w:bookmarkStart w:id="87" w:name="_Toc353973240"/>
      <w:r w:rsidRPr="00765C97">
        <w:rPr>
          <w:sz w:val="20"/>
          <w:lang w:val="pl-PL"/>
        </w:rPr>
        <w:t>Zysk na akcję</w:t>
      </w:r>
      <w:bookmarkEnd w:id="87"/>
    </w:p>
    <w:tbl>
      <w:tblPr>
        <w:tblW w:w="8523" w:type="dxa"/>
        <w:tblLayout w:type="fixed"/>
        <w:tblCellMar>
          <w:left w:w="0" w:type="dxa"/>
          <w:right w:w="0" w:type="dxa"/>
        </w:tblCellMar>
        <w:tblLook w:val="0000"/>
      </w:tblPr>
      <w:tblGrid>
        <w:gridCol w:w="5103"/>
        <w:gridCol w:w="1710"/>
        <w:gridCol w:w="1710"/>
      </w:tblGrid>
      <w:tr w:rsidR="00B24DA9" w:rsidRPr="00765C97" w:rsidTr="003E2351">
        <w:trPr>
          <w:trHeight w:val="255"/>
        </w:trPr>
        <w:tc>
          <w:tcPr>
            <w:tcW w:w="5103" w:type="dxa"/>
            <w:tcBorders>
              <w:top w:val="nil"/>
              <w:left w:val="nil"/>
              <w:right w:val="nil"/>
            </w:tcBorders>
            <w:vAlign w:val="center"/>
          </w:tcPr>
          <w:p w:rsidR="00B24DA9" w:rsidRPr="00765C97" w:rsidRDefault="00B24DA9">
            <w:pPr>
              <w:rPr>
                <w:rFonts w:ascii="Arial" w:hAnsi="Arial"/>
                <w:sz w:val="20"/>
                <w:lang w:val="pl-PL"/>
              </w:rPr>
            </w:pPr>
          </w:p>
        </w:tc>
        <w:tc>
          <w:tcPr>
            <w:tcW w:w="1710" w:type="dxa"/>
            <w:tcBorders>
              <w:top w:val="nil"/>
              <w:left w:val="nil"/>
              <w:bottom w:val="nil"/>
              <w:right w:val="nil"/>
            </w:tcBorders>
            <w:vAlign w:val="center"/>
          </w:tcPr>
          <w:p w:rsidR="00B24DA9" w:rsidRPr="00765C97" w:rsidRDefault="00B24DA9">
            <w:pPr>
              <w:ind w:right="130"/>
              <w:jc w:val="right"/>
              <w:rPr>
                <w:rFonts w:ascii="Arial" w:hAnsi="Arial"/>
                <w:b/>
                <w:sz w:val="20"/>
                <w:lang w:val="pl-PL"/>
              </w:rPr>
            </w:pPr>
            <w:r w:rsidRPr="00765C97">
              <w:rPr>
                <w:rFonts w:ascii="Arial" w:hAnsi="Arial"/>
                <w:b/>
                <w:sz w:val="20"/>
                <w:lang w:val="pl-PL"/>
              </w:rPr>
              <w:t>12 miesięcy</w:t>
            </w:r>
          </w:p>
          <w:p w:rsidR="00B24DA9" w:rsidRPr="00765C97" w:rsidRDefault="004B1467" w:rsidP="00E14080">
            <w:pPr>
              <w:ind w:right="130"/>
              <w:jc w:val="right"/>
              <w:rPr>
                <w:rFonts w:ascii="Arial" w:hAnsi="Arial"/>
                <w:b/>
                <w:sz w:val="20"/>
                <w:lang w:val="pl-PL"/>
              </w:rPr>
            </w:pPr>
            <w:r w:rsidRPr="00765C97">
              <w:rPr>
                <w:rFonts w:ascii="Arial" w:hAnsi="Arial"/>
                <w:b/>
                <w:sz w:val="20"/>
                <w:lang w:val="pl-PL"/>
              </w:rPr>
              <w:t>201</w:t>
            </w:r>
            <w:r w:rsidR="007A03FC" w:rsidRPr="00765C97">
              <w:rPr>
                <w:rFonts w:ascii="Arial" w:hAnsi="Arial"/>
                <w:b/>
                <w:sz w:val="20"/>
                <w:lang w:val="pl-PL"/>
              </w:rPr>
              <w:t>2</w:t>
            </w:r>
          </w:p>
        </w:tc>
        <w:tc>
          <w:tcPr>
            <w:tcW w:w="1710" w:type="dxa"/>
            <w:tcBorders>
              <w:top w:val="nil"/>
              <w:left w:val="nil"/>
              <w:bottom w:val="nil"/>
              <w:right w:val="nil"/>
            </w:tcBorders>
            <w:vAlign w:val="center"/>
          </w:tcPr>
          <w:p w:rsidR="00B24DA9" w:rsidRPr="00765C97" w:rsidRDefault="00B24DA9">
            <w:pPr>
              <w:ind w:right="141"/>
              <w:jc w:val="right"/>
              <w:rPr>
                <w:rFonts w:ascii="Arial" w:hAnsi="Arial"/>
                <w:b/>
                <w:sz w:val="20"/>
                <w:lang w:val="pl-PL"/>
              </w:rPr>
            </w:pPr>
            <w:r w:rsidRPr="00765C97">
              <w:rPr>
                <w:rFonts w:ascii="Arial" w:hAnsi="Arial"/>
                <w:b/>
                <w:sz w:val="20"/>
                <w:lang w:val="pl-PL"/>
              </w:rPr>
              <w:t>12 miesięcy</w:t>
            </w:r>
          </w:p>
          <w:p w:rsidR="00B24DA9" w:rsidRPr="00765C97" w:rsidRDefault="00B24DA9" w:rsidP="007A03FC">
            <w:pPr>
              <w:ind w:right="141"/>
              <w:jc w:val="right"/>
              <w:rPr>
                <w:rFonts w:ascii="Arial" w:hAnsi="Arial"/>
                <w:b/>
                <w:sz w:val="20"/>
                <w:lang w:val="pl-PL"/>
              </w:rPr>
            </w:pPr>
            <w:r w:rsidRPr="00765C97">
              <w:rPr>
                <w:rFonts w:ascii="Arial" w:hAnsi="Arial"/>
                <w:b/>
                <w:sz w:val="20"/>
                <w:lang w:val="pl-PL"/>
              </w:rPr>
              <w:t>20</w:t>
            </w:r>
            <w:r w:rsidR="00E14080" w:rsidRPr="00765C97">
              <w:rPr>
                <w:rFonts w:ascii="Arial" w:hAnsi="Arial"/>
                <w:b/>
                <w:sz w:val="20"/>
                <w:lang w:val="pl-PL"/>
              </w:rPr>
              <w:t>1</w:t>
            </w:r>
            <w:r w:rsidR="007A03FC" w:rsidRPr="00765C97">
              <w:rPr>
                <w:rFonts w:ascii="Arial" w:hAnsi="Arial"/>
                <w:b/>
                <w:sz w:val="20"/>
                <w:lang w:val="pl-PL"/>
              </w:rPr>
              <w:t>1</w:t>
            </w:r>
          </w:p>
        </w:tc>
      </w:tr>
      <w:tr w:rsidR="007A03FC" w:rsidRPr="00765C97" w:rsidTr="003E2351">
        <w:trPr>
          <w:trHeight w:val="255"/>
        </w:trPr>
        <w:tc>
          <w:tcPr>
            <w:tcW w:w="5103" w:type="dxa"/>
            <w:tcBorders>
              <w:top w:val="nil"/>
              <w:left w:val="nil"/>
              <w:right w:val="nil"/>
            </w:tcBorders>
            <w:vAlign w:val="center"/>
          </w:tcPr>
          <w:p w:rsidR="007A03FC" w:rsidRPr="00765C97" w:rsidRDefault="007A03FC" w:rsidP="00774B67">
            <w:pPr>
              <w:rPr>
                <w:rFonts w:ascii="Arial" w:hAnsi="Arial"/>
                <w:sz w:val="20"/>
                <w:lang w:val="pl-PL"/>
              </w:rPr>
            </w:pPr>
            <w:r w:rsidRPr="00765C97">
              <w:rPr>
                <w:rFonts w:ascii="Arial" w:hAnsi="Arial"/>
                <w:sz w:val="20"/>
                <w:lang w:val="pl-PL"/>
              </w:rPr>
              <w:t>Zysk netto za okres przypadający na akcjonariuszy Spółki</w:t>
            </w:r>
          </w:p>
        </w:tc>
        <w:tc>
          <w:tcPr>
            <w:tcW w:w="1710" w:type="dxa"/>
            <w:tcBorders>
              <w:top w:val="nil"/>
              <w:left w:val="nil"/>
              <w:bottom w:val="single" w:sz="2" w:space="0" w:color="auto"/>
              <w:right w:val="nil"/>
            </w:tcBorders>
            <w:vAlign w:val="center"/>
          </w:tcPr>
          <w:p w:rsidR="007A03FC" w:rsidRPr="00765C97" w:rsidRDefault="00B93388" w:rsidP="00E14080">
            <w:pPr>
              <w:ind w:right="141"/>
              <w:jc w:val="right"/>
              <w:rPr>
                <w:rFonts w:ascii="Arial" w:hAnsi="Arial"/>
                <w:sz w:val="20"/>
                <w:szCs w:val="20"/>
                <w:lang w:val="pl-PL"/>
              </w:rPr>
            </w:pPr>
            <w:r w:rsidRPr="00765C97">
              <w:rPr>
                <w:rFonts w:ascii="Arial" w:hAnsi="Arial"/>
                <w:sz w:val="20"/>
                <w:szCs w:val="20"/>
                <w:lang w:val="pl-PL"/>
              </w:rPr>
              <w:t>40 660</w:t>
            </w:r>
          </w:p>
        </w:tc>
        <w:tc>
          <w:tcPr>
            <w:tcW w:w="1710" w:type="dxa"/>
            <w:tcBorders>
              <w:top w:val="nil"/>
              <w:left w:val="nil"/>
              <w:bottom w:val="single" w:sz="2" w:space="0" w:color="auto"/>
              <w:right w:val="nil"/>
            </w:tcBorders>
            <w:vAlign w:val="center"/>
          </w:tcPr>
          <w:p w:rsidR="007A03FC" w:rsidRPr="00765C97" w:rsidRDefault="007A03FC" w:rsidP="007A03FC">
            <w:pPr>
              <w:ind w:right="141"/>
              <w:jc w:val="right"/>
              <w:rPr>
                <w:rFonts w:ascii="Arial" w:hAnsi="Arial"/>
                <w:sz w:val="20"/>
                <w:szCs w:val="20"/>
                <w:lang w:val="pl-PL"/>
              </w:rPr>
            </w:pPr>
            <w:r w:rsidRPr="00765C97">
              <w:rPr>
                <w:rFonts w:ascii="Arial" w:hAnsi="Arial"/>
                <w:sz w:val="20"/>
                <w:szCs w:val="20"/>
                <w:lang w:val="pl-PL"/>
              </w:rPr>
              <w:t>36 257</w:t>
            </w:r>
          </w:p>
        </w:tc>
      </w:tr>
      <w:tr w:rsidR="007A03FC" w:rsidRPr="00765C97" w:rsidTr="003E2351">
        <w:trPr>
          <w:trHeight w:val="255"/>
        </w:trPr>
        <w:tc>
          <w:tcPr>
            <w:tcW w:w="5103" w:type="dxa"/>
            <w:tcBorders>
              <w:left w:val="nil"/>
              <w:right w:val="nil"/>
            </w:tcBorders>
            <w:vAlign w:val="center"/>
          </w:tcPr>
          <w:p w:rsidR="007A03FC" w:rsidRPr="00765C97" w:rsidRDefault="007A03FC">
            <w:pPr>
              <w:rPr>
                <w:rFonts w:ascii="Arial" w:hAnsi="Arial"/>
                <w:spacing w:val="-1"/>
                <w:sz w:val="20"/>
                <w:lang w:val="pl-PL"/>
              </w:rPr>
            </w:pPr>
            <w:r w:rsidRPr="00765C97">
              <w:rPr>
                <w:rFonts w:ascii="Arial" w:hAnsi="Arial"/>
                <w:spacing w:val="-1"/>
                <w:sz w:val="20"/>
                <w:lang w:val="pl-PL"/>
              </w:rPr>
              <w:t>Średnia ważona liczba akcji zwykłych (w tys. szt.)</w:t>
            </w:r>
          </w:p>
        </w:tc>
        <w:tc>
          <w:tcPr>
            <w:tcW w:w="1710" w:type="dxa"/>
            <w:tcBorders>
              <w:top w:val="single" w:sz="2" w:space="0" w:color="auto"/>
              <w:left w:val="nil"/>
              <w:bottom w:val="single" w:sz="2" w:space="0" w:color="auto"/>
              <w:right w:val="nil"/>
            </w:tcBorders>
            <w:vAlign w:val="center"/>
          </w:tcPr>
          <w:p w:rsidR="007A03FC" w:rsidRPr="00765C97" w:rsidRDefault="00B93388" w:rsidP="00E14080">
            <w:pPr>
              <w:ind w:right="141"/>
              <w:jc w:val="right"/>
              <w:rPr>
                <w:rFonts w:ascii="Arial" w:hAnsi="Arial"/>
                <w:sz w:val="20"/>
                <w:szCs w:val="20"/>
                <w:lang w:val="pl-PL"/>
              </w:rPr>
            </w:pPr>
            <w:r w:rsidRPr="00765C97">
              <w:rPr>
                <w:rFonts w:ascii="Arial" w:hAnsi="Arial"/>
                <w:sz w:val="20"/>
                <w:szCs w:val="20"/>
                <w:lang w:val="pl-PL"/>
              </w:rPr>
              <w:t>8 051</w:t>
            </w:r>
          </w:p>
        </w:tc>
        <w:tc>
          <w:tcPr>
            <w:tcW w:w="1710" w:type="dxa"/>
            <w:tcBorders>
              <w:top w:val="single" w:sz="2" w:space="0" w:color="auto"/>
              <w:left w:val="nil"/>
              <w:bottom w:val="single" w:sz="2" w:space="0" w:color="auto"/>
              <w:right w:val="nil"/>
            </w:tcBorders>
            <w:vAlign w:val="center"/>
          </w:tcPr>
          <w:p w:rsidR="007A03FC" w:rsidRPr="00765C97" w:rsidRDefault="007A03FC" w:rsidP="007A03FC">
            <w:pPr>
              <w:ind w:right="141"/>
              <w:jc w:val="right"/>
              <w:rPr>
                <w:rFonts w:ascii="Arial" w:hAnsi="Arial"/>
                <w:sz w:val="20"/>
                <w:szCs w:val="20"/>
                <w:lang w:val="pl-PL"/>
              </w:rPr>
            </w:pPr>
            <w:r w:rsidRPr="00765C97">
              <w:rPr>
                <w:rFonts w:ascii="Arial" w:hAnsi="Arial"/>
                <w:sz w:val="20"/>
                <w:szCs w:val="20"/>
                <w:lang w:val="pl-PL"/>
              </w:rPr>
              <w:t>8 051</w:t>
            </w:r>
          </w:p>
        </w:tc>
      </w:tr>
      <w:tr w:rsidR="007A03FC" w:rsidRPr="00765C97" w:rsidTr="003E2351">
        <w:trPr>
          <w:trHeight w:val="255"/>
        </w:trPr>
        <w:tc>
          <w:tcPr>
            <w:tcW w:w="5103" w:type="dxa"/>
            <w:tcBorders>
              <w:left w:val="nil"/>
              <w:right w:val="nil"/>
            </w:tcBorders>
            <w:vAlign w:val="center"/>
          </w:tcPr>
          <w:p w:rsidR="007A03FC" w:rsidRPr="00765C97" w:rsidRDefault="007A03FC">
            <w:pPr>
              <w:rPr>
                <w:rFonts w:ascii="Arial" w:hAnsi="Arial"/>
                <w:b/>
                <w:sz w:val="20"/>
                <w:lang w:val="pl-PL"/>
              </w:rPr>
            </w:pPr>
            <w:r w:rsidRPr="00765C97">
              <w:rPr>
                <w:rFonts w:ascii="Arial" w:hAnsi="Arial"/>
                <w:b/>
                <w:sz w:val="20"/>
                <w:lang w:val="pl-PL"/>
              </w:rPr>
              <w:t xml:space="preserve">Zysk na akcję zwykłą (w zł) </w:t>
            </w:r>
          </w:p>
        </w:tc>
        <w:tc>
          <w:tcPr>
            <w:tcW w:w="1710" w:type="dxa"/>
            <w:tcBorders>
              <w:top w:val="single" w:sz="2" w:space="0" w:color="auto"/>
              <w:left w:val="nil"/>
              <w:bottom w:val="single" w:sz="2" w:space="0" w:color="auto"/>
              <w:right w:val="nil"/>
            </w:tcBorders>
            <w:vAlign w:val="center"/>
          </w:tcPr>
          <w:p w:rsidR="007A03FC" w:rsidRPr="00765C97" w:rsidRDefault="00B93388" w:rsidP="00E42646">
            <w:pPr>
              <w:ind w:right="141"/>
              <w:jc w:val="right"/>
              <w:rPr>
                <w:rFonts w:ascii="Arial" w:hAnsi="Arial"/>
                <w:b/>
                <w:sz w:val="20"/>
                <w:szCs w:val="20"/>
                <w:lang w:val="pl-PL"/>
              </w:rPr>
            </w:pPr>
            <w:r w:rsidRPr="00765C97">
              <w:rPr>
                <w:rFonts w:ascii="Arial" w:hAnsi="Arial"/>
                <w:b/>
                <w:sz w:val="20"/>
                <w:szCs w:val="20"/>
                <w:lang w:val="pl-PL"/>
              </w:rPr>
              <w:t>5,05</w:t>
            </w:r>
          </w:p>
        </w:tc>
        <w:tc>
          <w:tcPr>
            <w:tcW w:w="1710" w:type="dxa"/>
            <w:tcBorders>
              <w:top w:val="single" w:sz="2" w:space="0" w:color="auto"/>
              <w:left w:val="nil"/>
              <w:bottom w:val="single" w:sz="2" w:space="0" w:color="auto"/>
              <w:right w:val="nil"/>
            </w:tcBorders>
            <w:vAlign w:val="center"/>
          </w:tcPr>
          <w:p w:rsidR="007A03FC" w:rsidRPr="00765C97" w:rsidRDefault="007A03FC" w:rsidP="007A03FC">
            <w:pPr>
              <w:ind w:right="141"/>
              <w:jc w:val="right"/>
              <w:rPr>
                <w:rFonts w:ascii="Arial" w:hAnsi="Arial"/>
                <w:b/>
                <w:sz w:val="20"/>
                <w:szCs w:val="20"/>
                <w:lang w:val="pl-PL"/>
              </w:rPr>
            </w:pPr>
            <w:r w:rsidRPr="00765C97">
              <w:rPr>
                <w:rFonts w:ascii="Arial" w:hAnsi="Arial"/>
                <w:b/>
                <w:sz w:val="20"/>
                <w:szCs w:val="20"/>
                <w:lang w:val="pl-PL"/>
              </w:rPr>
              <w:t>4,50</w:t>
            </w:r>
          </w:p>
        </w:tc>
      </w:tr>
      <w:tr w:rsidR="007A03FC" w:rsidRPr="00765C97" w:rsidTr="003E2351">
        <w:trPr>
          <w:trHeight w:val="255"/>
        </w:trPr>
        <w:tc>
          <w:tcPr>
            <w:tcW w:w="5103" w:type="dxa"/>
            <w:tcBorders>
              <w:left w:val="nil"/>
              <w:right w:val="nil"/>
            </w:tcBorders>
            <w:vAlign w:val="center"/>
          </w:tcPr>
          <w:p w:rsidR="007A03FC" w:rsidRPr="00765C97" w:rsidRDefault="007A03FC">
            <w:pPr>
              <w:rPr>
                <w:rFonts w:ascii="Arial" w:hAnsi="Arial"/>
                <w:spacing w:val="-1"/>
                <w:sz w:val="20"/>
                <w:lang w:val="pl-PL"/>
              </w:rPr>
            </w:pPr>
            <w:r w:rsidRPr="00765C97">
              <w:rPr>
                <w:rFonts w:ascii="Arial" w:hAnsi="Arial"/>
                <w:sz w:val="20"/>
                <w:lang w:val="pl-PL"/>
              </w:rPr>
              <w:t xml:space="preserve">Rozwodniona średnia ważona liczba akcji </w:t>
            </w:r>
            <w:r w:rsidRPr="00765C97">
              <w:rPr>
                <w:rFonts w:ascii="Arial" w:hAnsi="Arial"/>
                <w:spacing w:val="-1"/>
                <w:sz w:val="20"/>
                <w:lang w:val="pl-PL"/>
              </w:rPr>
              <w:t xml:space="preserve">zwykłych </w:t>
            </w:r>
          </w:p>
          <w:p w:rsidR="007A03FC" w:rsidRPr="00765C97" w:rsidRDefault="007A03FC">
            <w:pPr>
              <w:rPr>
                <w:rFonts w:ascii="Arial" w:hAnsi="Arial"/>
                <w:sz w:val="20"/>
                <w:lang w:val="pl-PL"/>
              </w:rPr>
            </w:pPr>
            <w:r w:rsidRPr="00765C97">
              <w:rPr>
                <w:rFonts w:ascii="Arial" w:hAnsi="Arial"/>
                <w:spacing w:val="-1"/>
                <w:sz w:val="20"/>
                <w:lang w:val="pl-PL"/>
              </w:rPr>
              <w:t>(w tys. szt.)</w:t>
            </w:r>
          </w:p>
        </w:tc>
        <w:tc>
          <w:tcPr>
            <w:tcW w:w="1710" w:type="dxa"/>
            <w:tcBorders>
              <w:top w:val="single" w:sz="2" w:space="0" w:color="auto"/>
              <w:left w:val="nil"/>
              <w:bottom w:val="single" w:sz="2" w:space="0" w:color="auto"/>
              <w:right w:val="nil"/>
            </w:tcBorders>
            <w:vAlign w:val="center"/>
          </w:tcPr>
          <w:p w:rsidR="007A03FC" w:rsidRPr="00765C97" w:rsidRDefault="00B93388" w:rsidP="00E14080">
            <w:pPr>
              <w:ind w:right="141"/>
              <w:jc w:val="right"/>
              <w:rPr>
                <w:rFonts w:ascii="Arial" w:hAnsi="Arial"/>
                <w:sz w:val="20"/>
                <w:szCs w:val="20"/>
                <w:lang w:val="pl-PL"/>
              </w:rPr>
            </w:pPr>
            <w:r w:rsidRPr="00765C97">
              <w:rPr>
                <w:rFonts w:ascii="Arial" w:hAnsi="Arial"/>
                <w:sz w:val="20"/>
                <w:szCs w:val="20"/>
                <w:lang w:val="pl-PL"/>
              </w:rPr>
              <w:t>8 051</w:t>
            </w:r>
          </w:p>
        </w:tc>
        <w:tc>
          <w:tcPr>
            <w:tcW w:w="1710" w:type="dxa"/>
            <w:tcBorders>
              <w:top w:val="single" w:sz="2" w:space="0" w:color="auto"/>
              <w:left w:val="nil"/>
              <w:bottom w:val="single" w:sz="2" w:space="0" w:color="auto"/>
              <w:right w:val="nil"/>
            </w:tcBorders>
            <w:vAlign w:val="center"/>
          </w:tcPr>
          <w:p w:rsidR="007A03FC" w:rsidRPr="00765C97" w:rsidRDefault="007A03FC" w:rsidP="007A03FC">
            <w:pPr>
              <w:ind w:right="141"/>
              <w:jc w:val="right"/>
              <w:rPr>
                <w:rFonts w:ascii="Arial" w:hAnsi="Arial"/>
                <w:sz w:val="20"/>
                <w:szCs w:val="20"/>
                <w:lang w:val="pl-PL"/>
              </w:rPr>
            </w:pPr>
            <w:r w:rsidRPr="00765C97">
              <w:rPr>
                <w:rFonts w:ascii="Arial" w:hAnsi="Arial"/>
                <w:sz w:val="20"/>
                <w:szCs w:val="20"/>
                <w:lang w:val="pl-PL"/>
              </w:rPr>
              <w:t>8 051</w:t>
            </w:r>
          </w:p>
        </w:tc>
      </w:tr>
      <w:tr w:rsidR="007A03FC" w:rsidRPr="00765C97" w:rsidTr="003E2351">
        <w:trPr>
          <w:trHeight w:val="255"/>
        </w:trPr>
        <w:tc>
          <w:tcPr>
            <w:tcW w:w="5103" w:type="dxa"/>
            <w:tcBorders>
              <w:left w:val="nil"/>
              <w:right w:val="nil"/>
            </w:tcBorders>
            <w:vAlign w:val="center"/>
          </w:tcPr>
          <w:p w:rsidR="007A03FC" w:rsidRPr="00765C97" w:rsidRDefault="007A03FC">
            <w:pPr>
              <w:rPr>
                <w:rFonts w:ascii="Arial" w:hAnsi="Arial"/>
                <w:b/>
                <w:sz w:val="20"/>
                <w:lang w:val="pl-PL"/>
              </w:rPr>
            </w:pPr>
            <w:r w:rsidRPr="00765C97">
              <w:rPr>
                <w:rFonts w:ascii="Arial" w:hAnsi="Arial"/>
                <w:b/>
                <w:sz w:val="20"/>
                <w:lang w:val="pl-PL"/>
              </w:rPr>
              <w:t xml:space="preserve">Rozwodniony zysk na akcję zwykłą (w zł) </w:t>
            </w:r>
          </w:p>
        </w:tc>
        <w:tc>
          <w:tcPr>
            <w:tcW w:w="1710" w:type="dxa"/>
            <w:tcBorders>
              <w:top w:val="single" w:sz="2" w:space="0" w:color="auto"/>
              <w:left w:val="nil"/>
              <w:bottom w:val="single" w:sz="2" w:space="0" w:color="auto"/>
              <w:right w:val="nil"/>
            </w:tcBorders>
            <w:vAlign w:val="center"/>
          </w:tcPr>
          <w:p w:rsidR="007A03FC" w:rsidRPr="00765C97" w:rsidRDefault="00B93388" w:rsidP="00E14080">
            <w:pPr>
              <w:ind w:right="141"/>
              <w:jc w:val="right"/>
              <w:rPr>
                <w:rFonts w:ascii="Arial" w:hAnsi="Arial"/>
                <w:b/>
                <w:sz w:val="20"/>
                <w:lang w:val="pl-PL"/>
              </w:rPr>
            </w:pPr>
            <w:r w:rsidRPr="00765C97">
              <w:rPr>
                <w:rFonts w:ascii="Arial" w:hAnsi="Arial"/>
                <w:b/>
                <w:sz w:val="20"/>
                <w:lang w:val="pl-PL"/>
              </w:rPr>
              <w:t>5,05</w:t>
            </w:r>
          </w:p>
        </w:tc>
        <w:tc>
          <w:tcPr>
            <w:tcW w:w="1710" w:type="dxa"/>
            <w:tcBorders>
              <w:top w:val="single" w:sz="2" w:space="0" w:color="auto"/>
              <w:left w:val="nil"/>
              <w:bottom w:val="single" w:sz="2" w:space="0" w:color="auto"/>
              <w:right w:val="nil"/>
            </w:tcBorders>
            <w:vAlign w:val="center"/>
          </w:tcPr>
          <w:p w:rsidR="007A03FC" w:rsidRPr="00765C97" w:rsidRDefault="007A03FC" w:rsidP="007A03FC">
            <w:pPr>
              <w:ind w:right="141"/>
              <w:jc w:val="right"/>
              <w:rPr>
                <w:rFonts w:ascii="Arial" w:hAnsi="Arial"/>
                <w:b/>
                <w:sz w:val="20"/>
                <w:lang w:val="pl-PL"/>
              </w:rPr>
            </w:pPr>
            <w:r w:rsidRPr="00765C97">
              <w:rPr>
                <w:rFonts w:ascii="Arial" w:hAnsi="Arial"/>
                <w:b/>
                <w:sz w:val="20"/>
                <w:szCs w:val="20"/>
                <w:lang w:val="pl-PL"/>
              </w:rPr>
              <w:t>4,50</w:t>
            </w:r>
          </w:p>
        </w:tc>
      </w:tr>
    </w:tbl>
    <w:p w:rsidR="00E14080" w:rsidRPr="00765C97" w:rsidRDefault="00E14080" w:rsidP="00E14080">
      <w:pPr>
        <w:pStyle w:val="NormalnyWeb"/>
        <w:spacing w:before="0" w:beforeAutospacing="0" w:after="0" w:afterAutospacing="0"/>
        <w:ind w:left="181"/>
        <w:jc w:val="both"/>
        <w:rPr>
          <w:rFonts w:ascii="Arial" w:hAnsi="Arial"/>
          <w:sz w:val="20"/>
        </w:rPr>
      </w:pPr>
    </w:p>
    <w:p w:rsidR="004B1467" w:rsidRPr="00765C97" w:rsidRDefault="004B1467" w:rsidP="003D6C36">
      <w:pPr>
        <w:pStyle w:val="NormalnyWeb"/>
        <w:spacing w:before="0" w:beforeAutospacing="0" w:after="0" w:afterAutospacing="0"/>
        <w:jc w:val="both"/>
        <w:rPr>
          <w:rFonts w:ascii="Arial" w:hAnsi="Arial"/>
          <w:sz w:val="20"/>
        </w:rPr>
      </w:pPr>
      <w:r w:rsidRPr="00765C97">
        <w:rPr>
          <w:rFonts w:ascii="Arial" w:hAnsi="Arial"/>
          <w:sz w:val="20"/>
        </w:rPr>
        <w:t xml:space="preserve">Podstawowy </w:t>
      </w:r>
      <w:r w:rsidR="00E14080" w:rsidRPr="00765C97">
        <w:rPr>
          <w:rFonts w:ascii="Arial" w:hAnsi="Arial"/>
          <w:sz w:val="20"/>
        </w:rPr>
        <w:t>zysk netto na 1 ak</w:t>
      </w:r>
      <w:r w:rsidR="000972FB" w:rsidRPr="00765C97">
        <w:rPr>
          <w:rFonts w:ascii="Arial" w:hAnsi="Arial"/>
          <w:sz w:val="20"/>
        </w:rPr>
        <w:t>cję w kolumnie "12 miesięcy 2012</w:t>
      </w:r>
      <w:r w:rsidR="00E14080" w:rsidRPr="00765C97">
        <w:rPr>
          <w:rFonts w:ascii="Arial" w:hAnsi="Arial"/>
          <w:sz w:val="20"/>
        </w:rPr>
        <w:t xml:space="preserve">" został obliczony jako iloraz skonsolidowanego zysku netto przypadającego na akcjonariuszy Comarch S.A. osiągniętego w okresie </w:t>
      </w:r>
      <w:r w:rsidR="000972FB" w:rsidRPr="00765C97">
        <w:rPr>
          <w:rFonts w:ascii="Arial" w:hAnsi="Arial"/>
          <w:sz w:val="20"/>
        </w:rPr>
        <w:t>od 1 stycznia do 31 grudnia 2012</w:t>
      </w:r>
      <w:r w:rsidR="00E14080" w:rsidRPr="00765C97">
        <w:rPr>
          <w:rFonts w:ascii="Arial" w:hAnsi="Arial"/>
          <w:sz w:val="20"/>
        </w:rPr>
        <w:t xml:space="preserve"> roku oraz średniej ważonej ilości akcji w okresie </w:t>
      </w:r>
      <w:r w:rsidR="000972FB" w:rsidRPr="00765C97">
        <w:rPr>
          <w:rFonts w:ascii="Arial" w:hAnsi="Arial"/>
          <w:sz w:val="20"/>
        </w:rPr>
        <w:t>od 1 stycznia do 31 grudnia 2012</w:t>
      </w:r>
      <w:r w:rsidR="00E14080" w:rsidRPr="00765C97">
        <w:rPr>
          <w:rFonts w:ascii="Arial" w:hAnsi="Arial"/>
          <w:sz w:val="20"/>
        </w:rPr>
        <w:t xml:space="preserve"> roku, gdzie wagą jest ilość dni.</w:t>
      </w:r>
      <w:r w:rsidR="00E14080" w:rsidRPr="00765C97">
        <w:rPr>
          <w:rFonts w:ascii="Arial" w:hAnsi="Arial" w:cs="Arial"/>
          <w:sz w:val="20"/>
          <w:szCs w:val="20"/>
        </w:rPr>
        <w:t xml:space="preserve"> </w:t>
      </w:r>
      <w:r w:rsidR="00E14080" w:rsidRPr="00765C97">
        <w:rPr>
          <w:rFonts w:ascii="Arial" w:hAnsi="Arial"/>
          <w:sz w:val="20"/>
        </w:rPr>
        <w:t>Podstawowy zysk netto na 1 akcję w kolumnie "12</w:t>
      </w:r>
      <w:r w:rsidR="000972FB" w:rsidRPr="00765C97">
        <w:rPr>
          <w:rFonts w:ascii="Arial" w:hAnsi="Arial"/>
          <w:sz w:val="20"/>
        </w:rPr>
        <w:t xml:space="preserve"> miesięcy 2011</w:t>
      </w:r>
      <w:r w:rsidR="00E14080" w:rsidRPr="00765C97">
        <w:rPr>
          <w:rFonts w:ascii="Arial" w:hAnsi="Arial"/>
          <w:sz w:val="20"/>
        </w:rPr>
        <w:t xml:space="preserve">" został obliczony jako iloraz skonsolidowanego zysku netto przypadającego na akcjonariuszy Comarch S.A. osiągniętego w okresie </w:t>
      </w:r>
      <w:r w:rsidR="000972FB" w:rsidRPr="00765C97">
        <w:rPr>
          <w:rFonts w:ascii="Arial" w:hAnsi="Arial"/>
          <w:sz w:val="20"/>
        </w:rPr>
        <w:t>od 1 stycznia do 31 grudnia 2011</w:t>
      </w:r>
      <w:r w:rsidR="00E14080" w:rsidRPr="00765C97">
        <w:rPr>
          <w:rFonts w:ascii="Arial" w:hAnsi="Arial"/>
          <w:sz w:val="20"/>
        </w:rPr>
        <w:t xml:space="preserve"> roku oraz średniej ważonej ilości akcji w okresie od 1 stycznia do 31 grudnia 201</w:t>
      </w:r>
      <w:r w:rsidR="000972FB" w:rsidRPr="00765C97">
        <w:rPr>
          <w:rFonts w:ascii="Arial" w:hAnsi="Arial"/>
          <w:sz w:val="20"/>
        </w:rPr>
        <w:t>1</w:t>
      </w:r>
      <w:r w:rsidR="00E14080" w:rsidRPr="00765C97">
        <w:rPr>
          <w:rFonts w:ascii="Arial" w:hAnsi="Arial"/>
          <w:sz w:val="20"/>
        </w:rPr>
        <w:t xml:space="preserve"> roku, gdzie wagą jest ilość dni.</w:t>
      </w:r>
    </w:p>
    <w:p w:rsidR="00BE152D" w:rsidRPr="00765C97" w:rsidRDefault="00BE152D" w:rsidP="003D6C36">
      <w:pPr>
        <w:pStyle w:val="NormalnyWeb"/>
        <w:spacing w:before="0" w:beforeAutospacing="0" w:after="0" w:afterAutospacing="0"/>
        <w:jc w:val="both"/>
        <w:rPr>
          <w:rFonts w:ascii="Arial" w:hAnsi="Arial"/>
          <w:sz w:val="20"/>
        </w:rPr>
      </w:pPr>
    </w:p>
    <w:p w:rsidR="00B24DA9" w:rsidRPr="00765C97" w:rsidRDefault="00920F2F" w:rsidP="003D6C36">
      <w:pPr>
        <w:pStyle w:val="NormalnyWeb"/>
        <w:spacing w:before="0" w:beforeAutospacing="0" w:after="0" w:afterAutospacing="0"/>
        <w:jc w:val="both"/>
        <w:rPr>
          <w:rFonts w:ascii="Arial" w:hAnsi="Arial"/>
          <w:sz w:val="20"/>
        </w:rPr>
      </w:pPr>
      <w:r w:rsidRPr="00765C97">
        <w:rPr>
          <w:rFonts w:ascii="Arial" w:hAnsi="Arial"/>
          <w:sz w:val="20"/>
        </w:rPr>
        <w:t>Rozwodniony zysk netto na 1 ak</w:t>
      </w:r>
      <w:r w:rsidR="000972FB" w:rsidRPr="00765C97">
        <w:rPr>
          <w:rFonts w:ascii="Arial" w:hAnsi="Arial"/>
          <w:sz w:val="20"/>
        </w:rPr>
        <w:t>cję w kolumnie "12 miesięcy 2012</w:t>
      </w:r>
      <w:r w:rsidRPr="00765C97">
        <w:rPr>
          <w:rFonts w:ascii="Arial" w:hAnsi="Arial"/>
          <w:sz w:val="20"/>
        </w:rPr>
        <w:t>" został obliczony jako iloraz skonsolidowanego zysku netto przypadającego na akcjonariuszy Comarch S.A. osiągniętego w okresie od 1 stycznia do 31 grudnia 201</w:t>
      </w:r>
      <w:r w:rsidR="000972FB" w:rsidRPr="00765C97">
        <w:rPr>
          <w:rFonts w:ascii="Arial" w:hAnsi="Arial"/>
          <w:sz w:val="20"/>
        </w:rPr>
        <w:t>2</w:t>
      </w:r>
      <w:r w:rsidRPr="00765C97">
        <w:rPr>
          <w:rFonts w:ascii="Arial" w:hAnsi="Arial"/>
          <w:sz w:val="20"/>
        </w:rPr>
        <w:t xml:space="preserve"> roku oraz sumy średniej ważonej ilości akcji w okresie </w:t>
      </w:r>
      <w:r w:rsidR="000972FB" w:rsidRPr="00765C97">
        <w:rPr>
          <w:rFonts w:ascii="Arial" w:hAnsi="Arial"/>
          <w:sz w:val="20"/>
        </w:rPr>
        <w:t>od 1 stycznia do 31 grudnia 2012</w:t>
      </w:r>
      <w:r w:rsidRPr="00765C97">
        <w:rPr>
          <w:rFonts w:ascii="Arial" w:hAnsi="Arial"/>
          <w:sz w:val="20"/>
        </w:rPr>
        <w:t xml:space="preserve"> roku, gdzie wagą jest ilość dni oraz obliczonej zgodnie z MSR 33 rozwodnionej ilości </w:t>
      </w:r>
      <w:r w:rsidR="00BE3F95" w:rsidRPr="00765C97">
        <w:rPr>
          <w:rFonts w:ascii="Arial" w:hAnsi="Arial"/>
          <w:sz w:val="20"/>
        </w:rPr>
        <w:t xml:space="preserve">(równej zero) </w:t>
      </w:r>
      <w:r w:rsidRPr="00765C97">
        <w:rPr>
          <w:rFonts w:ascii="Arial" w:hAnsi="Arial"/>
          <w:sz w:val="20"/>
        </w:rPr>
        <w:t>potencjalnych akcji wynikających z wykonania opcji menedżerskiej, przyznanych za rok 201</w:t>
      </w:r>
      <w:r w:rsidR="000972FB" w:rsidRPr="00765C97">
        <w:rPr>
          <w:rFonts w:ascii="Arial" w:hAnsi="Arial"/>
          <w:sz w:val="20"/>
        </w:rPr>
        <w:t>2</w:t>
      </w:r>
      <w:r w:rsidR="00BE3F95" w:rsidRPr="00765C97">
        <w:rPr>
          <w:rFonts w:ascii="Arial" w:hAnsi="Arial"/>
          <w:sz w:val="20"/>
        </w:rPr>
        <w:t xml:space="preserve">. </w:t>
      </w:r>
      <w:r w:rsidRPr="00765C97">
        <w:rPr>
          <w:rFonts w:ascii="Arial" w:hAnsi="Arial"/>
          <w:sz w:val="20"/>
        </w:rPr>
        <w:t>Rozwodniony zysk netto na 1 akcję w kolumnie "12 miesięcy 201</w:t>
      </w:r>
      <w:r w:rsidR="000972FB" w:rsidRPr="00765C97">
        <w:rPr>
          <w:rFonts w:ascii="Arial" w:hAnsi="Arial"/>
          <w:sz w:val="20"/>
        </w:rPr>
        <w:t>1</w:t>
      </w:r>
      <w:r w:rsidRPr="00765C97">
        <w:rPr>
          <w:rFonts w:ascii="Arial" w:hAnsi="Arial"/>
          <w:sz w:val="20"/>
        </w:rPr>
        <w:t>" został obliczony jako iloraz skonsolidowanego zysku netto przypadającego na akcjonariuszy Comarch S.A. osiągniętego w okresie od 1 stycznia do 31 grudnia 201</w:t>
      </w:r>
      <w:r w:rsidR="000972FB" w:rsidRPr="00765C97">
        <w:rPr>
          <w:rFonts w:ascii="Arial" w:hAnsi="Arial"/>
          <w:sz w:val="20"/>
        </w:rPr>
        <w:t>1</w:t>
      </w:r>
      <w:r w:rsidRPr="00765C97">
        <w:rPr>
          <w:rFonts w:ascii="Arial" w:hAnsi="Arial"/>
          <w:sz w:val="20"/>
        </w:rPr>
        <w:t xml:space="preserve"> roku oraz sumy średniej ważonej ilości akcji w okresie od 1 stycznia do 31 grudnia 201</w:t>
      </w:r>
      <w:r w:rsidR="000972FB" w:rsidRPr="00765C97">
        <w:rPr>
          <w:rFonts w:ascii="Arial" w:hAnsi="Arial"/>
          <w:sz w:val="20"/>
        </w:rPr>
        <w:t>1</w:t>
      </w:r>
      <w:r w:rsidRPr="00765C97">
        <w:rPr>
          <w:rFonts w:ascii="Arial" w:hAnsi="Arial"/>
          <w:sz w:val="20"/>
        </w:rPr>
        <w:t xml:space="preserve"> roku, gdzie wagą jest ilość dni oraz obliczonej zgodnie z MSR 33 rozwodnionej ilości </w:t>
      </w:r>
      <w:r w:rsidR="00BE3F95" w:rsidRPr="00765C97">
        <w:rPr>
          <w:rFonts w:ascii="Arial" w:hAnsi="Arial"/>
          <w:sz w:val="20"/>
        </w:rPr>
        <w:t xml:space="preserve">(równej zero) </w:t>
      </w:r>
      <w:r w:rsidRPr="00765C97">
        <w:rPr>
          <w:rFonts w:ascii="Arial" w:hAnsi="Arial"/>
          <w:sz w:val="20"/>
        </w:rPr>
        <w:t>potencjalnych akcji wynikających z wykonania opcji menedżerskiej, przyznanych za rok 201</w:t>
      </w:r>
      <w:r w:rsidR="000972FB" w:rsidRPr="00765C97">
        <w:rPr>
          <w:rFonts w:ascii="Arial" w:hAnsi="Arial"/>
          <w:sz w:val="20"/>
        </w:rPr>
        <w:t>1</w:t>
      </w:r>
      <w:r w:rsidRPr="00765C97">
        <w:rPr>
          <w:rFonts w:ascii="Arial" w:hAnsi="Arial"/>
          <w:sz w:val="20"/>
        </w:rPr>
        <w:t>.</w:t>
      </w:r>
    </w:p>
    <w:p w:rsidR="00B24DA9" w:rsidRPr="00765C97" w:rsidRDefault="00B24DA9" w:rsidP="00135A9A">
      <w:pPr>
        <w:pStyle w:val="Nagwek3"/>
        <w:numPr>
          <w:ilvl w:val="1"/>
          <w:numId w:val="22"/>
        </w:numPr>
        <w:spacing w:after="240"/>
        <w:ind w:left="709" w:hanging="567"/>
        <w:rPr>
          <w:sz w:val="20"/>
          <w:lang w:val="pl-PL"/>
        </w:rPr>
      </w:pPr>
      <w:bookmarkStart w:id="88" w:name="_Toc353973241"/>
      <w:r w:rsidRPr="00765C97">
        <w:rPr>
          <w:sz w:val="20"/>
          <w:lang w:val="pl-PL"/>
        </w:rPr>
        <w:t>Transakcje z podmiotami powiązanymi</w:t>
      </w:r>
      <w:bookmarkEnd w:id="88"/>
    </w:p>
    <w:p w:rsidR="00B24DA9" w:rsidRPr="00765C97" w:rsidRDefault="00B24DA9" w:rsidP="00496FB7">
      <w:pPr>
        <w:pStyle w:val="Nagwek4"/>
        <w:numPr>
          <w:ilvl w:val="2"/>
          <w:numId w:val="28"/>
        </w:numPr>
        <w:spacing w:before="240" w:after="120" w:line="240" w:lineRule="auto"/>
        <w:ind w:left="1276" w:hanging="851"/>
        <w:rPr>
          <w:rFonts w:ascii="Arial" w:hAnsi="Arial"/>
          <w:sz w:val="20"/>
          <w:lang w:val="pl-PL"/>
        </w:rPr>
      </w:pPr>
      <w:r w:rsidRPr="00765C97">
        <w:rPr>
          <w:rFonts w:ascii="Arial" w:hAnsi="Arial"/>
          <w:sz w:val="20"/>
          <w:lang w:val="pl-PL"/>
        </w:rPr>
        <w:t>Przychody ze sprzedaży towarów i usług</w:t>
      </w:r>
    </w:p>
    <w:tbl>
      <w:tblPr>
        <w:tblW w:w="8523" w:type="dxa"/>
        <w:tblLayout w:type="fixed"/>
        <w:tblCellMar>
          <w:left w:w="0" w:type="dxa"/>
          <w:right w:w="0" w:type="dxa"/>
        </w:tblCellMar>
        <w:tblLook w:val="0000"/>
      </w:tblPr>
      <w:tblGrid>
        <w:gridCol w:w="5103"/>
        <w:gridCol w:w="1710"/>
        <w:gridCol w:w="1710"/>
      </w:tblGrid>
      <w:tr w:rsidR="00B24DA9" w:rsidRPr="00765C97" w:rsidTr="00440CC1">
        <w:trPr>
          <w:trHeight w:val="255"/>
        </w:trPr>
        <w:tc>
          <w:tcPr>
            <w:tcW w:w="5103" w:type="dxa"/>
            <w:tcBorders>
              <w:top w:val="nil"/>
              <w:left w:val="nil"/>
              <w:bottom w:val="nil"/>
              <w:right w:val="nil"/>
            </w:tcBorders>
            <w:vAlign w:val="center"/>
          </w:tcPr>
          <w:p w:rsidR="00B24DA9" w:rsidRPr="00765C97" w:rsidRDefault="00B24DA9">
            <w:pPr>
              <w:rPr>
                <w:rFonts w:ascii="Arial" w:hAnsi="Arial"/>
                <w:sz w:val="20"/>
                <w:lang w:val="pl-PL"/>
              </w:rPr>
            </w:pPr>
          </w:p>
        </w:tc>
        <w:tc>
          <w:tcPr>
            <w:tcW w:w="1710" w:type="dxa"/>
            <w:tcBorders>
              <w:top w:val="nil"/>
              <w:left w:val="nil"/>
              <w:bottom w:val="nil"/>
              <w:right w:val="nil"/>
            </w:tcBorders>
            <w:vAlign w:val="center"/>
          </w:tcPr>
          <w:p w:rsidR="00B24DA9" w:rsidRPr="00765C97" w:rsidRDefault="00B24DA9">
            <w:pPr>
              <w:ind w:right="141"/>
              <w:jc w:val="right"/>
              <w:rPr>
                <w:rFonts w:ascii="Arial" w:hAnsi="Arial"/>
                <w:b/>
                <w:sz w:val="20"/>
                <w:lang w:val="pl-PL"/>
              </w:rPr>
            </w:pPr>
            <w:r w:rsidRPr="00765C97">
              <w:rPr>
                <w:rFonts w:ascii="Arial" w:hAnsi="Arial"/>
                <w:b/>
                <w:sz w:val="20"/>
                <w:lang w:val="pl-PL"/>
              </w:rPr>
              <w:t xml:space="preserve">12 miesięcy </w:t>
            </w:r>
          </w:p>
          <w:p w:rsidR="00B24DA9" w:rsidRPr="00765C97" w:rsidRDefault="00B24DA9" w:rsidP="000C4D38">
            <w:pPr>
              <w:ind w:right="130"/>
              <w:jc w:val="right"/>
              <w:rPr>
                <w:rFonts w:ascii="Arial" w:hAnsi="Arial"/>
                <w:b/>
                <w:sz w:val="20"/>
                <w:lang w:val="pl-PL"/>
              </w:rPr>
            </w:pPr>
            <w:r w:rsidRPr="00765C97">
              <w:rPr>
                <w:rFonts w:ascii="Arial" w:hAnsi="Arial"/>
                <w:b/>
                <w:sz w:val="20"/>
                <w:lang w:val="pl-PL"/>
              </w:rPr>
              <w:t>20</w:t>
            </w:r>
            <w:r w:rsidR="004B1467" w:rsidRPr="00765C97">
              <w:rPr>
                <w:rFonts w:ascii="Arial" w:hAnsi="Arial"/>
                <w:b/>
                <w:sz w:val="20"/>
                <w:lang w:val="pl-PL"/>
              </w:rPr>
              <w:t>1</w:t>
            </w:r>
            <w:r w:rsidR="000C4D38" w:rsidRPr="00765C97">
              <w:rPr>
                <w:rFonts w:ascii="Arial" w:hAnsi="Arial"/>
                <w:b/>
                <w:sz w:val="20"/>
                <w:lang w:val="pl-PL"/>
              </w:rPr>
              <w:t>2</w:t>
            </w:r>
          </w:p>
        </w:tc>
        <w:tc>
          <w:tcPr>
            <w:tcW w:w="1710" w:type="dxa"/>
            <w:tcBorders>
              <w:top w:val="nil"/>
              <w:left w:val="nil"/>
              <w:bottom w:val="nil"/>
              <w:right w:val="nil"/>
            </w:tcBorders>
            <w:vAlign w:val="center"/>
          </w:tcPr>
          <w:p w:rsidR="00B24DA9" w:rsidRPr="00765C97" w:rsidRDefault="00B24DA9">
            <w:pPr>
              <w:ind w:right="141"/>
              <w:jc w:val="right"/>
              <w:rPr>
                <w:rFonts w:ascii="Arial" w:hAnsi="Arial"/>
                <w:b/>
                <w:sz w:val="20"/>
                <w:lang w:val="pl-PL"/>
              </w:rPr>
            </w:pPr>
            <w:r w:rsidRPr="00765C97">
              <w:rPr>
                <w:rFonts w:ascii="Arial" w:hAnsi="Arial"/>
                <w:b/>
                <w:sz w:val="20"/>
                <w:lang w:val="pl-PL"/>
              </w:rPr>
              <w:t xml:space="preserve">12 miesięcy </w:t>
            </w:r>
          </w:p>
          <w:p w:rsidR="00B24DA9" w:rsidRPr="00765C97" w:rsidRDefault="00B24DA9" w:rsidP="000C4D38">
            <w:pPr>
              <w:ind w:right="141"/>
              <w:jc w:val="right"/>
              <w:rPr>
                <w:rFonts w:ascii="Arial" w:hAnsi="Arial"/>
                <w:b/>
                <w:color w:val="FF0000"/>
                <w:sz w:val="20"/>
                <w:lang w:val="pl-PL"/>
              </w:rPr>
            </w:pPr>
            <w:r w:rsidRPr="00765C97">
              <w:rPr>
                <w:rFonts w:ascii="Arial" w:hAnsi="Arial"/>
                <w:b/>
                <w:sz w:val="20"/>
                <w:lang w:val="pl-PL"/>
              </w:rPr>
              <w:t>20</w:t>
            </w:r>
            <w:r w:rsidR="00B20278" w:rsidRPr="00765C97">
              <w:rPr>
                <w:rFonts w:ascii="Arial" w:hAnsi="Arial"/>
                <w:b/>
                <w:sz w:val="20"/>
                <w:lang w:val="pl-PL"/>
              </w:rPr>
              <w:t>1</w:t>
            </w:r>
            <w:r w:rsidR="000C4D38" w:rsidRPr="00765C97">
              <w:rPr>
                <w:rFonts w:ascii="Arial" w:hAnsi="Arial"/>
                <w:b/>
                <w:sz w:val="20"/>
                <w:lang w:val="pl-PL"/>
              </w:rPr>
              <w:t>1</w:t>
            </w:r>
          </w:p>
        </w:tc>
      </w:tr>
      <w:tr w:rsidR="000C4D38" w:rsidRPr="00765C97" w:rsidTr="00440CC1">
        <w:trPr>
          <w:trHeight w:val="255"/>
        </w:trPr>
        <w:tc>
          <w:tcPr>
            <w:tcW w:w="5103" w:type="dxa"/>
            <w:tcBorders>
              <w:top w:val="nil"/>
              <w:left w:val="nil"/>
              <w:bottom w:val="nil"/>
              <w:right w:val="nil"/>
            </w:tcBorders>
            <w:vAlign w:val="center"/>
          </w:tcPr>
          <w:p w:rsidR="000C4D38" w:rsidRPr="00765C97" w:rsidRDefault="000C4D38">
            <w:pPr>
              <w:ind w:left="76"/>
              <w:rPr>
                <w:rFonts w:ascii="Arial" w:hAnsi="Arial"/>
                <w:sz w:val="20"/>
                <w:lang w:val="pl-PL"/>
              </w:rPr>
            </w:pPr>
            <w:r w:rsidRPr="00765C97">
              <w:rPr>
                <w:rFonts w:ascii="Arial" w:hAnsi="Arial"/>
                <w:sz w:val="20"/>
                <w:lang w:val="pl-PL"/>
              </w:rPr>
              <w:t>Przychody ze sprzedaży towarów:</w:t>
            </w:r>
          </w:p>
        </w:tc>
        <w:tc>
          <w:tcPr>
            <w:tcW w:w="1710" w:type="dxa"/>
            <w:tcBorders>
              <w:top w:val="nil"/>
              <w:left w:val="nil"/>
              <w:bottom w:val="nil"/>
              <w:right w:val="nil"/>
            </w:tcBorders>
            <w:vAlign w:val="center"/>
          </w:tcPr>
          <w:p w:rsidR="000C4D38" w:rsidRPr="00765C97" w:rsidRDefault="000C4D38">
            <w:pPr>
              <w:ind w:right="174"/>
              <w:jc w:val="right"/>
              <w:rPr>
                <w:rFonts w:ascii="Arial" w:hAnsi="Arial"/>
                <w:sz w:val="20"/>
                <w:lang w:val="pl-PL"/>
              </w:rPr>
            </w:pPr>
          </w:p>
        </w:tc>
        <w:tc>
          <w:tcPr>
            <w:tcW w:w="1710" w:type="dxa"/>
            <w:tcBorders>
              <w:top w:val="nil"/>
              <w:left w:val="nil"/>
              <w:bottom w:val="nil"/>
              <w:right w:val="nil"/>
            </w:tcBorders>
            <w:vAlign w:val="center"/>
          </w:tcPr>
          <w:p w:rsidR="000C4D38" w:rsidRPr="00765C97" w:rsidRDefault="000C4D38" w:rsidP="00496C6C">
            <w:pPr>
              <w:ind w:right="174"/>
              <w:jc w:val="right"/>
              <w:rPr>
                <w:rFonts w:ascii="Arial" w:hAnsi="Arial"/>
                <w:sz w:val="20"/>
              </w:rPr>
            </w:pPr>
          </w:p>
        </w:tc>
      </w:tr>
      <w:tr w:rsidR="000C4D38" w:rsidRPr="00765C97" w:rsidTr="00440CC1">
        <w:trPr>
          <w:trHeight w:val="255"/>
        </w:trPr>
        <w:tc>
          <w:tcPr>
            <w:tcW w:w="5103" w:type="dxa"/>
            <w:tcBorders>
              <w:top w:val="nil"/>
              <w:left w:val="nil"/>
              <w:bottom w:val="nil"/>
              <w:right w:val="nil"/>
            </w:tcBorders>
            <w:vAlign w:val="center"/>
          </w:tcPr>
          <w:p w:rsidR="000C4D38" w:rsidRPr="00765C97" w:rsidRDefault="000C4D38" w:rsidP="007B0EB3">
            <w:pPr>
              <w:ind w:left="76"/>
              <w:rPr>
                <w:rFonts w:ascii="Arial" w:hAnsi="Arial"/>
                <w:spacing w:val="-3"/>
                <w:sz w:val="20"/>
              </w:rPr>
            </w:pPr>
            <w:r w:rsidRPr="00765C97">
              <w:rPr>
                <w:rFonts w:ascii="Arial" w:hAnsi="Arial"/>
                <w:spacing w:val="-3"/>
                <w:sz w:val="20"/>
              </w:rPr>
              <w:t xml:space="preserve">    SoInteractive S.A.</w:t>
            </w:r>
          </w:p>
        </w:tc>
        <w:tc>
          <w:tcPr>
            <w:tcW w:w="1710" w:type="dxa"/>
            <w:tcBorders>
              <w:top w:val="nil"/>
              <w:left w:val="nil"/>
              <w:bottom w:val="single" w:sz="4" w:space="0" w:color="auto"/>
              <w:right w:val="nil"/>
            </w:tcBorders>
            <w:vAlign w:val="center"/>
          </w:tcPr>
          <w:p w:rsidR="000C4D38" w:rsidRPr="00765C97" w:rsidRDefault="000E70C6" w:rsidP="00DD7567">
            <w:pPr>
              <w:ind w:right="174"/>
              <w:jc w:val="right"/>
              <w:rPr>
                <w:rFonts w:ascii="Arial" w:hAnsi="Arial"/>
                <w:sz w:val="20"/>
              </w:rPr>
            </w:pPr>
            <w:r w:rsidRPr="00765C97">
              <w:rPr>
                <w:rFonts w:ascii="Arial" w:hAnsi="Arial"/>
                <w:sz w:val="20"/>
              </w:rPr>
              <w:t>-</w:t>
            </w:r>
          </w:p>
        </w:tc>
        <w:tc>
          <w:tcPr>
            <w:tcW w:w="1710" w:type="dxa"/>
            <w:tcBorders>
              <w:top w:val="nil"/>
              <w:left w:val="nil"/>
              <w:bottom w:val="single" w:sz="4" w:space="0" w:color="auto"/>
              <w:right w:val="nil"/>
            </w:tcBorders>
            <w:vAlign w:val="center"/>
          </w:tcPr>
          <w:p w:rsidR="000C4D38" w:rsidRPr="00765C97" w:rsidRDefault="000C4D38" w:rsidP="00496C6C">
            <w:pPr>
              <w:ind w:right="174"/>
              <w:jc w:val="right"/>
              <w:rPr>
                <w:rFonts w:ascii="Arial" w:hAnsi="Arial"/>
                <w:sz w:val="20"/>
              </w:rPr>
            </w:pPr>
            <w:r w:rsidRPr="00765C97">
              <w:rPr>
                <w:rFonts w:ascii="Arial" w:hAnsi="Arial"/>
                <w:sz w:val="20"/>
              </w:rPr>
              <w:t>-</w:t>
            </w:r>
          </w:p>
        </w:tc>
      </w:tr>
      <w:tr w:rsidR="000C4D38" w:rsidRPr="00765C97" w:rsidTr="00440CC1">
        <w:trPr>
          <w:trHeight w:val="255"/>
        </w:trPr>
        <w:tc>
          <w:tcPr>
            <w:tcW w:w="5103" w:type="dxa"/>
            <w:tcBorders>
              <w:top w:val="nil"/>
              <w:left w:val="nil"/>
              <w:bottom w:val="nil"/>
              <w:right w:val="nil"/>
            </w:tcBorders>
            <w:vAlign w:val="center"/>
          </w:tcPr>
          <w:p w:rsidR="000C4D38" w:rsidRPr="00765C97" w:rsidRDefault="000C4D38">
            <w:pPr>
              <w:ind w:left="76"/>
              <w:rPr>
                <w:rFonts w:ascii="Arial" w:hAnsi="Arial"/>
                <w:sz w:val="20"/>
                <w:lang w:val="pl-PL"/>
              </w:rPr>
            </w:pPr>
          </w:p>
        </w:tc>
        <w:tc>
          <w:tcPr>
            <w:tcW w:w="1710" w:type="dxa"/>
            <w:tcBorders>
              <w:top w:val="single" w:sz="4" w:space="0" w:color="auto"/>
              <w:left w:val="nil"/>
              <w:right w:val="nil"/>
            </w:tcBorders>
            <w:vAlign w:val="center"/>
          </w:tcPr>
          <w:p w:rsidR="000C4D38" w:rsidRPr="00765C97" w:rsidRDefault="0063679C">
            <w:pPr>
              <w:ind w:right="174"/>
              <w:jc w:val="right"/>
              <w:rPr>
                <w:rFonts w:ascii="Arial" w:hAnsi="Arial"/>
                <w:b/>
                <w:sz w:val="20"/>
                <w:lang w:val="pl-PL"/>
              </w:rPr>
            </w:pPr>
            <w:r w:rsidRPr="00765C97">
              <w:rPr>
                <w:rFonts w:ascii="Arial" w:hAnsi="Arial"/>
                <w:b/>
                <w:sz w:val="20"/>
                <w:lang w:val="pl-PL"/>
              </w:rPr>
              <w:t>-</w:t>
            </w:r>
          </w:p>
        </w:tc>
        <w:tc>
          <w:tcPr>
            <w:tcW w:w="1710" w:type="dxa"/>
            <w:tcBorders>
              <w:top w:val="single" w:sz="4" w:space="0" w:color="auto"/>
              <w:left w:val="nil"/>
              <w:right w:val="nil"/>
            </w:tcBorders>
            <w:vAlign w:val="center"/>
          </w:tcPr>
          <w:p w:rsidR="000C4D38" w:rsidRPr="00765C97" w:rsidRDefault="0063679C" w:rsidP="00496C6C">
            <w:pPr>
              <w:ind w:right="174"/>
              <w:jc w:val="right"/>
              <w:rPr>
                <w:rFonts w:ascii="Arial" w:hAnsi="Arial"/>
                <w:b/>
                <w:sz w:val="20"/>
              </w:rPr>
            </w:pPr>
            <w:r w:rsidRPr="00765C97">
              <w:rPr>
                <w:rFonts w:ascii="Arial" w:hAnsi="Arial"/>
                <w:b/>
                <w:sz w:val="20"/>
              </w:rPr>
              <w:t>-</w:t>
            </w:r>
          </w:p>
        </w:tc>
      </w:tr>
      <w:tr w:rsidR="000C4D38" w:rsidRPr="00765C97" w:rsidTr="00440CC1">
        <w:trPr>
          <w:trHeight w:val="255"/>
        </w:trPr>
        <w:tc>
          <w:tcPr>
            <w:tcW w:w="5103" w:type="dxa"/>
            <w:tcBorders>
              <w:top w:val="nil"/>
              <w:left w:val="nil"/>
              <w:bottom w:val="nil"/>
              <w:right w:val="nil"/>
            </w:tcBorders>
            <w:vAlign w:val="center"/>
          </w:tcPr>
          <w:p w:rsidR="000C4D38" w:rsidRPr="00765C97" w:rsidRDefault="000C4D38">
            <w:pPr>
              <w:ind w:left="76"/>
              <w:rPr>
                <w:rFonts w:ascii="Arial" w:hAnsi="Arial"/>
                <w:sz w:val="20"/>
                <w:lang w:val="pl-PL"/>
              </w:rPr>
            </w:pPr>
            <w:r w:rsidRPr="00765C97">
              <w:rPr>
                <w:rFonts w:ascii="Arial" w:hAnsi="Arial"/>
                <w:sz w:val="20"/>
                <w:lang w:val="pl-PL"/>
              </w:rPr>
              <w:t>Przychody ze sprzedaży usług:</w:t>
            </w:r>
          </w:p>
        </w:tc>
        <w:tc>
          <w:tcPr>
            <w:tcW w:w="1710" w:type="dxa"/>
            <w:tcBorders>
              <w:left w:val="nil"/>
              <w:bottom w:val="nil"/>
              <w:right w:val="nil"/>
            </w:tcBorders>
            <w:vAlign w:val="center"/>
          </w:tcPr>
          <w:p w:rsidR="000C4D38" w:rsidRPr="00765C97" w:rsidRDefault="000C4D38">
            <w:pPr>
              <w:ind w:right="174"/>
              <w:jc w:val="right"/>
              <w:rPr>
                <w:rFonts w:ascii="Arial" w:hAnsi="Arial"/>
                <w:sz w:val="20"/>
                <w:lang w:val="pl-PL"/>
              </w:rPr>
            </w:pPr>
          </w:p>
        </w:tc>
        <w:tc>
          <w:tcPr>
            <w:tcW w:w="1710" w:type="dxa"/>
            <w:tcBorders>
              <w:left w:val="nil"/>
              <w:bottom w:val="nil"/>
              <w:right w:val="nil"/>
            </w:tcBorders>
            <w:vAlign w:val="center"/>
          </w:tcPr>
          <w:p w:rsidR="000C4D38" w:rsidRPr="00765C97" w:rsidRDefault="000C4D38" w:rsidP="00496C6C">
            <w:pPr>
              <w:ind w:right="174"/>
              <w:jc w:val="right"/>
              <w:rPr>
                <w:rFonts w:ascii="Arial" w:hAnsi="Arial"/>
                <w:sz w:val="20"/>
              </w:rPr>
            </w:pPr>
          </w:p>
        </w:tc>
      </w:tr>
      <w:tr w:rsidR="000C4D38" w:rsidRPr="00765C97" w:rsidTr="00EB14CE">
        <w:trPr>
          <w:trHeight w:val="255"/>
        </w:trPr>
        <w:tc>
          <w:tcPr>
            <w:tcW w:w="5103" w:type="dxa"/>
            <w:tcBorders>
              <w:top w:val="nil"/>
              <w:left w:val="nil"/>
              <w:right w:val="nil"/>
            </w:tcBorders>
            <w:vAlign w:val="center"/>
          </w:tcPr>
          <w:p w:rsidR="000C4D38" w:rsidRPr="00765C97" w:rsidRDefault="000C4D38" w:rsidP="007B0EB3">
            <w:pPr>
              <w:ind w:left="76"/>
              <w:rPr>
                <w:rFonts w:ascii="Arial" w:hAnsi="Arial"/>
                <w:spacing w:val="-3"/>
                <w:sz w:val="20"/>
              </w:rPr>
            </w:pPr>
            <w:r w:rsidRPr="00765C97">
              <w:rPr>
                <w:rFonts w:ascii="Arial" w:hAnsi="Arial"/>
                <w:spacing w:val="-3"/>
                <w:sz w:val="20"/>
              </w:rPr>
              <w:t xml:space="preserve">    SoInteractive S.A.</w:t>
            </w:r>
          </w:p>
        </w:tc>
        <w:tc>
          <w:tcPr>
            <w:tcW w:w="1710" w:type="dxa"/>
            <w:tcBorders>
              <w:top w:val="nil"/>
              <w:left w:val="nil"/>
              <w:bottom w:val="single" w:sz="4" w:space="0" w:color="auto"/>
              <w:right w:val="nil"/>
            </w:tcBorders>
            <w:vAlign w:val="center"/>
          </w:tcPr>
          <w:p w:rsidR="000C4D38" w:rsidRPr="00765C97" w:rsidRDefault="000E70C6" w:rsidP="004F2883">
            <w:pPr>
              <w:ind w:right="174"/>
              <w:jc w:val="right"/>
              <w:rPr>
                <w:rFonts w:ascii="Arial" w:hAnsi="Arial"/>
                <w:sz w:val="20"/>
              </w:rPr>
            </w:pPr>
            <w:r w:rsidRPr="00765C97">
              <w:rPr>
                <w:rFonts w:ascii="Arial" w:hAnsi="Arial"/>
                <w:sz w:val="20"/>
              </w:rPr>
              <w:t>201</w:t>
            </w:r>
          </w:p>
        </w:tc>
        <w:tc>
          <w:tcPr>
            <w:tcW w:w="1710" w:type="dxa"/>
            <w:tcBorders>
              <w:top w:val="nil"/>
              <w:left w:val="nil"/>
              <w:bottom w:val="single" w:sz="4" w:space="0" w:color="auto"/>
              <w:right w:val="nil"/>
            </w:tcBorders>
            <w:vAlign w:val="center"/>
          </w:tcPr>
          <w:p w:rsidR="000C4D38" w:rsidRPr="00765C97" w:rsidRDefault="000C4D38" w:rsidP="00496C6C">
            <w:pPr>
              <w:ind w:right="174"/>
              <w:jc w:val="right"/>
              <w:rPr>
                <w:rFonts w:ascii="Arial" w:hAnsi="Arial"/>
                <w:b/>
                <w:sz w:val="20"/>
                <w:lang w:val="pl-PL"/>
              </w:rPr>
            </w:pPr>
            <w:r w:rsidRPr="00765C97">
              <w:rPr>
                <w:rFonts w:ascii="Arial" w:hAnsi="Arial"/>
                <w:b/>
                <w:sz w:val="20"/>
                <w:lang w:val="pl-PL"/>
              </w:rPr>
              <w:t>63</w:t>
            </w:r>
          </w:p>
        </w:tc>
      </w:tr>
      <w:tr w:rsidR="000C4D38" w:rsidRPr="00765C97" w:rsidTr="00EB14CE">
        <w:trPr>
          <w:trHeight w:val="255"/>
        </w:trPr>
        <w:tc>
          <w:tcPr>
            <w:tcW w:w="5103" w:type="dxa"/>
            <w:tcBorders>
              <w:left w:val="nil"/>
              <w:right w:val="nil"/>
            </w:tcBorders>
            <w:vAlign w:val="center"/>
          </w:tcPr>
          <w:p w:rsidR="000C4D38" w:rsidRPr="00765C97" w:rsidRDefault="000C4D38">
            <w:pPr>
              <w:rPr>
                <w:rFonts w:ascii="Arial" w:hAnsi="Arial"/>
                <w:b/>
                <w:sz w:val="20"/>
                <w:lang w:val="pl-PL"/>
              </w:rPr>
            </w:pPr>
          </w:p>
        </w:tc>
        <w:tc>
          <w:tcPr>
            <w:tcW w:w="1710" w:type="dxa"/>
            <w:tcBorders>
              <w:top w:val="single" w:sz="4" w:space="0" w:color="auto"/>
              <w:left w:val="nil"/>
              <w:bottom w:val="single" w:sz="4" w:space="0" w:color="auto"/>
              <w:right w:val="nil"/>
            </w:tcBorders>
            <w:vAlign w:val="center"/>
          </w:tcPr>
          <w:p w:rsidR="000C4D38" w:rsidRPr="00765C97" w:rsidRDefault="000E70C6" w:rsidP="004F2883">
            <w:pPr>
              <w:ind w:right="174"/>
              <w:jc w:val="right"/>
              <w:rPr>
                <w:rFonts w:ascii="Arial" w:hAnsi="Arial"/>
                <w:b/>
                <w:sz w:val="20"/>
                <w:lang w:val="pl-PL"/>
              </w:rPr>
            </w:pPr>
            <w:r w:rsidRPr="00765C97">
              <w:rPr>
                <w:rFonts w:ascii="Arial" w:hAnsi="Arial"/>
                <w:b/>
                <w:sz w:val="20"/>
                <w:lang w:val="pl-PL"/>
              </w:rPr>
              <w:t>201</w:t>
            </w:r>
          </w:p>
        </w:tc>
        <w:tc>
          <w:tcPr>
            <w:tcW w:w="1710" w:type="dxa"/>
            <w:tcBorders>
              <w:top w:val="single" w:sz="4" w:space="0" w:color="auto"/>
              <w:left w:val="nil"/>
              <w:bottom w:val="single" w:sz="4" w:space="0" w:color="auto"/>
              <w:right w:val="nil"/>
            </w:tcBorders>
            <w:vAlign w:val="center"/>
          </w:tcPr>
          <w:p w:rsidR="000C4D38" w:rsidRPr="00765C97" w:rsidRDefault="000C4D38" w:rsidP="00496C6C">
            <w:pPr>
              <w:ind w:right="174"/>
              <w:jc w:val="right"/>
              <w:rPr>
                <w:rFonts w:ascii="Arial" w:hAnsi="Arial"/>
                <w:b/>
                <w:sz w:val="20"/>
                <w:lang w:val="pl-PL"/>
              </w:rPr>
            </w:pPr>
            <w:r w:rsidRPr="00765C97">
              <w:rPr>
                <w:rFonts w:ascii="Arial" w:hAnsi="Arial"/>
                <w:b/>
                <w:sz w:val="20"/>
                <w:lang w:val="pl-PL"/>
              </w:rPr>
              <w:t>63</w:t>
            </w:r>
          </w:p>
        </w:tc>
      </w:tr>
      <w:tr w:rsidR="00EB14CE" w:rsidRPr="00765C97" w:rsidTr="00EB14CE">
        <w:trPr>
          <w:trHeight w:val="255"/>
        </w:trPr>
        <w:tc>
          <w:tcPr>
            <w:tcW w:w="5103" w:type="dxa"/>
            <w:tcBorders>
              <w:left w:val="nil"/>
              <w:right w:val="nil"/>
            </w:tcBorders>
            <w:vAlign w:val="center"/>
          </w:tcPr>
          <w:p w:rsidR="00EB14CE" w:rsidRPr="00765C97" w:rsidRDefault="00EB14CE">
            <w:pPr>
              <w:rPr>
                <w:rFonts w:ascii="Arial" w:hAnsi="Arial"/>
                <w:b/>
                <w:sz w:val="20"/>
                <w:lang w:val="pl-PL"/>
              </w:rPr>
            </w:pPr>
          </w:p>
        </w:tc>
        <w:tc>
          <w:tcPr>
            <w:tcW w:w="1710" w:type="dxa"/>
            <w:tcBorders>
              <w:top w:val="single" w:sz="4" w:space="0" w:color="auto"/>
              <w:left w:val="nil"/>
              <w:bottom w:val="single" w:sz="4" w:space="0" w:color="auto"/>
              <w:right w:val="nil"/>
            </w:tcBorders>
            <w:vAlign w:val="center"/>
          </w:tcPr>
          <w:p w:rsidR="00EB14CE" w:rsidRPr="00765C97" w:rsidRDefault="00EB14CE" w:rsidP="004F2883">
            <w:pPr>
              <w:ind w:right="174"/>
              <w:jc w:val="right"/>
              <w:rPr>
                <w:rFonts w:ascii="Arial" w:hAnsi="Arial"/>
                <w:b/>
                <w:sz w:val="20"/>
                <w:lang w:val="pl-PL"/>
              </w:rPr>
            </w:pPr>
            <w:r w:rsidRPr="00765C97">
              <w:rPr>
                <w:rFonts w:ascii="Arial" w:hAnsi="Arial"/>
                <w:b/>
                <w:sz w:val="20"/>
                <w:lang w:val="pl-PL"/>
              </w:rPr>
              <w:t>201</w:t>
            </w:r>
          </w:p>
        </w:tc>
        <w:tc>
          <w:tcPr>
            <w:tcW w:w="1710" w:type="dxa"/>
            <w:tcBorders>
              <w:top w:val="single" w:sz="4" w:space="0" w:color="auto"/>
              <w:left w:val="nil"/>
              <w:bottom w:val="single" w:sz="4" w:space="0" w:color="auto"/>
              <w:right w:val="nil"/>
            </w:tcBorders>
            <w:vAlign w:val="center"/>
          </w:tcPr>
          <w:p w:rsidR="00EB14CE" w:rsidRPr="00765C97" w:rsidRDefault="00EB14CE" w:rsidP="00496C6C">
            <w:pPr>
              <w:ind w:right="174"/>
              <w:jc w:val="right"/>
              <w:rPr>
                <w:rFonts w:ascii="Arial" w:hAnsi="Arial"/>
                <w:b/>
                <w:sz w:val="20"/>
                <w:lang w:val="pl-PL"/>
              </w:rPr>
            </w:pPr>
            <w:r w:rsidRPr="00765C97">
              <w:rPr>
                <w:rFonts w:ascii="Arial" w:hAnsi="Arial"/>
                <w:b/>
                <w:sz w:val="20"/>
                <w:lang w:val="pl-PL"/>
              </w:rPr>
              <w:t>63</w:t>
            </w:r>
          </w:p>
        </w:tc>
      </w:tr>
    </w:tbl>
    <w:p w:rsidR="00B24DA9" w:rsidRPr="00765C97" w:rsidRDefault="00B24DA9">
      <w:pPr>
        <w:tabs>
          <w:tab w:val="left" w:pos="993"/>
          <w:tab w:val="left" w:pos="8328"/>
        </w:tabs>
        <w:ind w:left="993" w:hanging="993"/>
        <w:rPr>
          <w:rFonts w:ascii="Arial" w:hAnsi="Arial"/>
          <w:sz w:val="20"/>
          <w:lang w:val="pl-PL"/>
        </w:rPr>
      </w:pPr>
    </w:p>
    <w:p w:rsidR="00EE5FF1" w:rsidRPr="00765C97" w:rsidRDefault="00EE5FF1">
      <w:pPr>
        <w:widowControl/>
        <w:autoSpaceDE/>
        <w:autoSpaceDN/>
        <w:rPr>
          <w:rFonts w:ascii="Arial" w:hAnsi="Arial"/>
          <w:spacing w:val="-1"/>
          <w:sz w:val="20"/>
          <w:lang w:val="pl-PL"/>
        </w:rPr>
      </w:pPr>
      <w:r w:rsidRPr="00765C97">
        <w:rPr>
          <w:rFonts w:ascii="Arial" w:hAnsi="Arial"/>
          <w:spacing w:val="-1"/>
          <w:sz w:val="20"/>
          <w:lang w:val="pl-PL"/>
        </w:rPr>
        <w:br w:type="page"/>
      </w:r>
    </w:p>
    <w:p w:rsidR="00B24DA9" w:rsidRPr="00765C97" w:rsidRDefault="00B24DA9" w:rsidP="003D6C36">
      <w:pPr>
        <w:tabs>
          <w:tab w:val="left" w:pos="993"/>
          <w:tab w:val="left" w:pos="8328"/>
        </w:tabs>
        <w:ind w:left="993" w:hanging="993"/>
        <w:rPr>
          <w:rFonts w:ascii="Arial" w:hAnsi="Arial"/>
          <w:spacing w:val="-1"/>
          <w:sz w:val="20"/>
          <w:lang w:val="pl-PL"/>
        </w:rPr>
      </w:pPr>
      <w:r w:rsidRPr="00765C97">
        <w:rPr>
          <w:rFonts w:ascii="Arial" w:hAnsi="Arial"/>
          <w:spacing w:val="-1"/>
          <w:sz w:val="20"/>
          <w:lang w:val="pl-PL"/>
        </w:rPr>
        <w:t>Cenę usług ustala się w zależności od rodzaju transakcji według jednej z trzech metod:</w:t>
      </w:r>
    </w:p>
    <w:p w:rsidR="00B24DA9" w:rsidRPr="00765C97" w:rsidRDefault="00B24DA9" w:rsidP="003D6C36">
      <w:pPr>
        <w:tabs>
          <w:tab w:val="left" w:pos="993"/>
          <w:tab w:val="left" w:pos="8328"/>
        </w:tabs>
        <w:ind w:left="993" w:hanging="993"/>
        <w:rPr>
          <w:rFonts w:ascii="Arial" w:hAnsi="Arial"/>
          <w:spacing w:val="-1"/>
          <w:sz w:val="20"/>
          <w:lang w:val="pl-PL"/>
        </w:rPr>
      </w:pPr>
      <w:r w:rsidRPr="00765C97">
        <w:rPr>
          <w:rFonts w:ascii="Arial" w:hAnsi="Arial"/>
          <w:spacing w:val="-1"/>
          <w:sz w:val="20"/>
          <w:lang w:val="pl-PL"/>
        </w:rPr>
        <w:t>1) porównywalnej ceny rynkowej,</w:t>
      </w:r>
    </w:p>
    <w:p w:rsidR="00B24DA9" w:rsidRPr="00765C97" w:rsidRDefault="00B24DA9" w:rsidP="003D6C36">
      <w:pPr>
        <w:tabs>
          <w:tab w:val="left" w:pos="993"/>
          <w:tab w:val="left" w:pos="8328"/>
        </w:tabs>
        <w:ind w:left="993" w:hanging="993"/>
        <w:rPr>
          <w:rFonts w:ascii="Arial" w:hAnsi="Arial"/>
          <w:spacing w:val="-1"/>
          <w:sz w:val="20"/>
          <w:lang w:val="pl-PL"/>
        </w:rPr>
      </w:pPr>
      <w:r w:rsidRPr="00765C97">
        <w:rPr>
          <w:rFonts w:ascii="Arial" w:hAnsi="Arial"/>
          <w:spacing w:val="-1"/>
          <w:sz w:val="20"/>
          <w:lang w:val="pl-PL"/>
        </w:rPr>
        <w:t>2) metody koszt plus (marża przy towarach 2-3%, przy usługach 5%)</w:t>
      </w:r>
    </w:p>
    <w:p w:rsidR="00B24DA9" w:rsidRPr="00765C97" w:rsidRDefault="00B24DA9" w:rsidP="003D6C36">
      <w:pPr>
        <w:tabs>
          <w:tab w:val="left" w:pos="993"/>
          <w:tab w:val="left" w:pos="8328"/>
        </w:tabs>
        <w:ind w:left="993" w:hanging="993"/>
        <w:rPr>
          <w:rFonts w:ascii="Arial" w:hAnsi="Arial"/>
          <w:spacing w:val="-1"/>
          <w:sz w:val="20"/>
          <w:lang w:val="pl-PL"/>
        </w:rPr>
      </w:pPr>
      <w:r w:rsidRPr="00765C97">
        <w:rPr>
          <w:rFonts w:ascii="Arial" w:hAnsi="Arial"/>
          <w:spacing w:val="-1"/>
          <w:sz w:val="20"/>
          <w:lang w:val="pl-PL"/>
        </w:rPr>
        <w:t>3) marży od sprzedaży usług (marża w wysokości 10-40%)</w:t>
      </w:r>
    </w:p>
    <w:p w:rsidR="00B24DA9" w:rsidRPr="00765C97" w:rsidRDefault="00B24DA9" w:rsidP="00135A9A">
      <w:pPr>
        <w:pStyle w:val="Nagwek4"/>
        <w:numPr>
          <w:ilvl w:val="2"/>
          <w:numId w:val="28"/>
        </w:numPr>
        <w:spacing w:before="240" w:after="120" w:line="240" w:lineRule="auto"/>
        <w:ind w:left="1276" w:hanging="851"/>
        <w:rPr>
          <w:rFonts w:ascii="Arial" w:hAnsi="Arial"/>
          <w:sz w:val="20"/>
          <w:lang w:val="pl-PL"/>
        </w:rPr>
      </w:pPr>
      <w:r w:rsidRPr="00765C97">
        <w:rPr>
          <w:rFonts w:ascii="Arial" w:hAnsi="Arial"/>
          <w:sz w:val="20"/>
          <w:lang w:val="pl-PL"/>
        </w:rPr>
        <w:t>Zakupy towarów i usług</w:t>
      </w:r>
    </w:p>
    <w:tbl>
      <w:tblPr>
        <w:tblW w:w="8523" w:type="dxa"/>
        <w:tblLayout w:type="fixed"/>
        <w:tblCellMar>
          <w:left w:w="0" w:type="dxa"/>
          <w:right w:w="0" w:type="dxa"/>
        </w:tblCellMar>
        <w:tblLook w:val="0000"/>
      </w:tblPr>
      <w:tblGrid>
        <w:gridCol w:w="5103"/>
        <w:gridCol w:w="1710"/>
        <w:gridCol w:w="1710"/>
      </w:tblGrid>
      <w:tr w:rsidR="00B24DA9" w:rsidRPr="00765C97" w:rsidTr="00440CC1">
        <w:trPr>
          <w:trHeight w:val="255"/>
        </w:trPr>
        <w:tc>
          <w:tcPr>
            <w:tcW w:w="5103" w:type="dxa"/>
            <w:tcBorders>
              <w:top w:val="nil"/>
              <w:left w:val="nil"/>
              <w:bottom w:val="nil"/>
              <w:right w:val="nil"/>
            </w:tcBorders>
            <w:vAlign w:val="center"/>
          </w:tcPr>
          <w:p w:rsidR="00B24DA9" w:rsidRPr="00765C97" w:rsidRDefault="00B24DA9">
            <w:pPr>
              <w:rPr>
                <w:rFonts w:ascii="Arial" w:hAnsi="Arial"/>
                <w:sz w:val="20"/>
                <w:lang w:val="pl-PL"/>
              </w:rPr>
            </w:pPr>
          </w:p>
        </w:tc>
        <w:tc>
          <w:tcPr>
            <w:tcW w:w="1710" w:type="dxa"/>
            <w:tcBorders>
              <w:top w:val="nil"/>
              <w:left w:val="nil"/>
              <w:bottom w:val="nil"/>
              <w:right w:val="nil"/>
            </w:tcBorders>
            <w:vAlign w:val="center"/>
          </w:tcPr>
          <w:p w:rsidR="00B24DA9" w:rsidRPr="00765C97" w:rsidRDefault="00B24DA9">
            <w:pPr>
              <w:ind w:right="130"/>
              <w:jc w:val="right"/>
              <w:rPr>
                <w:rFonts w:ascii="Arial" w:hAnsi="Arial"/>
                <w:b/>
                <w:sz w:val="20"/>
                <w:lang w:val="pl-PL"/>
              </w:rPr>
            </w:pPr>
            <w:r w:rsidRPr="00765C97">
              <w:rPr>
                <w:rFonts w:ascii="Arial" w:hAnsi="Arial"/>
                <w:b/>
                <w:sz w:val="20"/>
                <w:lang w:val="pl-PL"/>
              </w:rPr>
              <w:t>12 miesięcy</w:t>
            </w:r>
          </w:p>
          <w:p w:rsidR="00B24DA9" w:rsidRPr="00765C97" w:rsidRDefault="00B24DA9" w:rsidP="000C4D38">
            <w:pPr>
              <w:ind w:right="130"/>
              <w:jc w:val="right"/>
              <w:rPr>
                <w:rFonts w:ascii="Arial" w:hAnsi="Arial"/>
                <w:b/>
                <w:sz w:val="20"/>
                <w:lang w:val="pl-PL"/>
              </w:rPr>
            </w:pPr>
            <w:r w:rsidRPr="00765C97">
              <w:rPr>
                <w:rFonts w:ascii="Arial" w:hAnsi="Arial"/>
                <w:b/>
                <w:sz w:val="20"/>
                <w:lang w:val="pl-PL"/>
              </w:rPr>
              <w:t>20</w:t>
            </w:r>
            <w:r w:rsidR="004B1467" w:rsidRPr="00765C97">
              <w:rPr>
                <w:rFonts w:ascii="Arial" w:hAnsi="Arial"/>
                <w:b/>
                <w:sz w:val="20"/>
                <w:lang w:val="pl-PL"/>
              </w:rPr>
              <w:t>1</w:t>
            </w:r>
            <w:r w:rsidR="000C4D38" w:rsidRPr="00765C97">
              <w:rPr>
                <w:rFonts w:ascii="Arial" w:hAnsi="Arial"/>
                <w:b/>
                <w:sz w:val="20"/>
                <w:lang w:val="pl-PL"/>
              </w:rPr>
              <w:t>2</w:t>
            </w:r>
          </w:p>
        </w:tc>
        <w:tc>
          <w:tcPr>
            <w:tcW w:w="1710" w:type="dxa"/>
            <w:tcBorders>
              <w:top w:val="nil"/>
              <w:left w:val="nil"/>
              <w:bottom w:val="nil"/>
              <w:right w:val="nil"/>
            </w:tcBorders>
            <w:vAlign w:val="center"/>
          </w:tcPr>
          <w:p w:rsidR="00B24DA9" w:rsidRPr="00765C97" w:rsidRDefault="00B24DA9">
            <w:pPr>
              <w:ind w:right="141"/>
              <w:jc w:val="right"/>
              <w:rPr>
                <w:rFonts w:ascii="Arial" w:hAnsi="Arial"/>
                <w:b/>
                <w:sz w:val="20"/>
                <w:lang w:val="pl-PL"/>
              </w:rPr>
            </w:pPr>
            <w:r w:rsidRPr="00765C97">
              <w:rPr>
                <w:rFonts w:ascii="Arial" w:hAnsi="Arial"/>
                <w:b/>
                <w:sz w:val="20"/>
                <w:lang w:val="pl-PL"/>
              </w:rPr>
              <w:t>12 miesięcy</w:t>
            </w:r>
          </w:p>
          <w:p w:rsidR="00B24DA9" w:rsidRPr="00765C97" w:rsidRDefault="00B24DA9" w:rsidP="00B20278">
            <w:pPr>
              <w:ind w:right="141"/>
              <w:jc w:val="right"/>
              <w:rPr>
                <w:rFonts w:ascii="Arial" w:hAnsi="Arial"/>
                <w:b/>
                <w:sz w:val="20"/>
                <w:lang w:val="pl-PL"/>
              </w:rPr>
            </w:pPr>
            <w:r w:rsidRPr="00765C97">
              <w:rPr>
                <w:rFonts w:ascii="Arial" w:hAnsi="Arial"/>
                <w:b/>
                <w:sz w:val="20"/>
                <w:lang w:val="pl-PL"/>
              </w:rPr>
              <w:t>20</w:t>
            </w:r>
            <w:r w:rsidR="00B20278" w:rsidRPr="00765C97">
              <w:rPr>
                <w:rFonts w:ascii="Arial" w:hAnsi="Arial"/>
                <w:b/>
                <w:sz w:val="20"/>
                <w:lang w:val="pl-PL"/>
              </w:rPr>
              <w:t>1</w:t>
            </w:r>
            <w:r w:rsidR="000C4D38" w:rsidRPr="00765C97">
              <w:rPr>
                <w:rFonts w:ascii="Arial" w:hAnsi="Arial"/>
                <w:b/>
                <w:sz w:val="20"/>
                <w:lang w:val="pl-PL"/>
              </w:rPr>
              <w:t>1</w:t>
            </w:r>
          </w:p>
        </w:tc>
      </w:tr>
      <w:tr w:rsidR="00B24DA9" w:rsidRPr="00765C97" w:rsidTr="00440CC1">
        <w:trPr>
          <w:trHeight w:val="255"/>
        </w:trPr>
        <w:tc>
          <w:tcPr>
            <w:tcW w:w="5103" w:type="dxa"/>
            <w:tcBorders>
              <w:top w:val="nil"/>
              <w:left w:val="nil"/>
              <w:bottom w:val="nil"/>
              <w:right w:val="nil"/>
            </w:tcBorders>
            <w:vAlign w:val="center"/>
          </w:tcPr>
          <w:p w:rsidR="00B24DA9" w:rsidRPr="00765C97" w:rsidRDefault="00B24DA9">
            <w:pPr>
              <w:rPr>
                <w:rFonts w:ascii="Arial" w:hAnsi="Arial"/>
                <w:sz w:val="20"/>
                <w:lang w:val="pl-PL"/>
              </w:rPr>
            </w:pPr>
            <w:r w:rsidRPr="00765C97">
              <w:rPr>
                <w:rFonts w:ascii="Arial" w:hAnsi="Arial"/>
                <w:sz w:val="20"/>
                <w:lang w:val="pl-PL"/>
              </w:rPr>
              <w:t>Zakupy towarów:</w:t>
            </w:r>
          </w:p>
        </w:tc>
        <w:tc>
          <w:tcPr>
            <w:tcW w:w="1710" w:type="dxa"/>
            <w:tcBorders>
              <w:top w:val="nil"/>
              <w:left w:val="nil"/>
              <w:bottom w:val="nil"/>
              <w:right w:val="nil"/>
            </w:tcBorders>
            <w:vAlign w:val="center"/>
          </w:tcPr>
          <w:p w:rsidR="00B24DA9" w:rsidRPr="00765C97" w:rsidRDefault="00B24DA9">
            <w:pPr>
              <w:ind w:right="174"/>
              <w:jc w:val="right"/>
              <w:rPr>
                <w:rFonts w:ascii="Arial" w:hAnsi="Arial"/>
                <w:sz w:val="20"/>
                <w:lang w:val="pl-PL"/>
              </w:rPr>
            </w:pPr>
          </w:p>
        </w:tc>
        <w:tc>
          <w:tcPr>
            <w:tcW w:w="1710" w:type="dxa"/>
            <w:tcBorders>
              <w:top w:val="nil"/>
              <w:left w:val="nil"/>
              <w:bottom w:val="nil"/>
              <w:right w:val="nil"/>
            </w:tcBorders>
            <w:vAlign w:val="center"/>
          </w:tcPr>
          <w:p w:rsidR="00B24DA9" w:rsidRPr="00765C97" w:rsidRDefault="00B24DA9">
            <w:pPr>
              <w:ind w:right="174"/>
              <w:jc w:val="right"/>
              <w:rPr>
                <w:rFonts w:ascii="Arial" w:hAnsi="Arial"/>
                <w:sz w:val="20"/>
                <w:lang w:val="pl-PL"/>
              </w:rPr>
            </w:pPr>
          </w:p>
        </w:tc>
      </w:tr>
      <w:tr w:rsidR="000C4D38" w:rsidRPr="00765C97" w:rsidTr="00440CC1">
        <w:trPr>
          <w:trHeight w:val="255"/>
        </w:trPr>
        <w:tc>
          <w:tcPr>
            <w:tcW w:w="5103" w:type="dxa"/>
            <w:tcBorders>
              <w:top w:val="nil"/>
              <w:left w:val="nil"/>
              <w:bottom w:val="nil"/>
              <w:right w:val="nil"/>
            </w:tcBorders>
            <w:vAlign w:val="center"/>
          </w:tcPr>
          <w:p w:rsidR="000C4D38" w:rsidRPr="00765C97" w:rsidRDefault="000C4D38">
            <w:pPr>
              <w:rPr>
                <w:rFonts w:ascii="Arial" w:hAnsi="Arial"/>
                <w:spacing w:val="-3"/>
                <w:sz w:val="20"/>
              </w:rPr>
            </w:pPr>
            <w:r w:rsidRPr="00765C97">
              <w:rPr>
                <w:rFonts w:ascii="Arial" w:hAnsi="Arial"/>
                <w:spacing w:val="-3"/>
                <w:sz w:val="20"/>
              </w:rPr>
              <w:t xml:space="preserve">    SoInteractive S.A.</w:t>
            </w:r>
          </w:p>
        </w:tc>
        <w:tc>
          <w:tcPr>
            <w:tcW w:w="1710" w:type="dxa"/>
            <w:tcBorders>
              <w:top w:val="nil"/>
              <w:left w:val="nil"/>
              <w:bottom w:val="single" w:sz="4" w:space="0" w:color="auto"/>
              <w:right w:val="nil"/>
            </w:tcBorders>
            <w:vAlign w:val="center"/>
          </w:tcPr>
          <w:p w:rsidR="000C4D38" w:rsidRPr="00765C97" w:rsidRDefault="00AC4EDF">
            <w:pPr>
              <w:ind w:right="174"/>
              <w:jc w:val="right"/>
              <w:rPr>
                <w:rFonts w:ascii="Arial" w:hAnsi="Arial"/>
                <w:sz w:val="20"/>
              </w:rPr>
            </w:pPr>
            <w:r w:rsidRPr="00765C97">
              <w:rPr>
                <w:rFonts w:ascii="Arial" w:hAnsi="Arial"/>
                <w:sz w:val="20"/>
              </w:rPr>
              <w:t>60</w:t>
            </w:r>
          </w:p>
        </w:tc>
        <w:tc>
          <w:tcPr>
            <w:tcW w:w="1710" w:type="dxa"/>
            <w:tcBorders>
              <w:top w:val="nil"/>
              <w:left w:val="nil"/>
              <w:bottom w:val="single" w:sz="4" w:space="0" w:color="auto"/>
              <w:right w:val="nil"/>
            </w:tcBorders>
            <w:vAlign w:val="center"/>
          </w:tcPr>
          <w:p w:rsidR="000C4D38" w:rsidRPr="00765C97" w:rsidRDefault="000C4D38" w:rsidP="00496C6C">
            <w:pPr>
              <w:ind w:right="174"/>
              <w:jc w:val="right"/>
              <w:rPr>
                <w:rFonts w:ascii="Arial" w:hAnsi="Arial"/>
                <w:sz w:val="20"/>
              </w:rPr>
            </w:pPr>
            <w:r w:rsidRPr="00765C97">
              <w:rPr>
                <w:rFonts w:ascii="Arial" w:hAnsi="Arial"/>
                <w:sz w:val="20"/>
              </w:rPr>
              <w:t>36</w:t>
            </w:r>
          </w:p>
        </w:tc>
      </w:tr>
      <w:tr w:rsidR="000C4D38" w:rsidRPr="00765C97" w:rsidTr="00440CC1">
        <w:trPr>
          <w:trHeight w:val="255"/>
        </w:trPr>
        <w:tc>
          <w:tcPr>
            <w:tcW w:w="5103" w:type="dxa"/>
            <w:tcBorders>
              <w:top w:val="nil"/>
              <w:left w:val="nil"/>
              <w:right w:val="nil"/>
            </w:tcBorders>
            <w:vAlign w:val="center"/>
          </w:tcPr>
          <w:p w:rsidR="000C4D38" w:rsidRPr="00765C97" w:rsidRDefault="000C4D38">
            <w:pPr>
              <w:rPr>
                <w:rFonts w:ascii="Arial" w:hAnsi="Arial"/>
                <w:sz w:val="20"/>
                <w:lang w:val="pl-PL"/>
              </w:rPr>
            </w:pPr>
          </w:p>
        </w:tc>
        <w:tc>
          <w:tcPr>
            <w:tcW w:w="1710" w:type="dxa"/>
            <w:tcBorders>
              <w:top w:val="single" w:sz="4" w:space="0" w:color="auto"/>
              <w:left w:val="nil"/>
              <w:right w:val="nil"/>
            </w:tcBorders>
            <w:vAlign w:val="center"/>
          </w:tcPr>
          <w:p w:rsidR="000C4D38" w:rsidRPr="00765C97" w:rsidRDefault="00AC4EDF" w:rsidP="00F70E8D">
            <w:pPr>
              <w:ind w:right="174"/>
              <w:jc w:val="right"/>
              <w:rPr>
                <w:rFonts w:ascii="Arial" w:hAnsi="Arial"/>
                <w:b/>
                <w:sz w:val="20"/>
                <w:lang w:val="pl-PL"/>
              </w:rPr>
            </w:pPr>
            <w:r w:rsidRPr="00765C97">
              <w:rPr>
                <w:rFonts w:ascii="Arial" w:hAnsi="Arial"/>
                <w:b/>
                <w:sz w:val="20"/>
                <w:lang w:val="pl-PL"/>
              </w:rPr>
              <w:t>60</w:t>
            </w:r>
          </w:p>
        </w:tc>
        <w:tc>
          <w:tcPr>
            <w:tcW w:w="1710" w:type="dxa"/>
            <w:tcBorders>
              <w:top w:val="single" w:sz="4" w:space="0" w:color="auto"/>
              <w:left w:val="nil"/>
              <w:right w:val="nil"/>
            </w:tcBorders>
            <w:vAlign w:val="center"/>
          </w:tcPr>
          <w:p w:rsidR="000C4D38" w:rsidRPr="00765C97" w:rsidRDefault="000C4D38" w:rsidP="00496C6C">
            <w:pPr>
              <w:ind w:right="174"/>
              <w:jc w:val="right"/>
              <w:rPr>
                <w:rFonts w:ascii="Arial" w:hAnsi="Arial"/>
                <w:b/>
                <w:sz w:val="20"/>
                <w:lang w:val="pl-PL"/>
              </w:rPr>
            </w:pPr>
            <w:r w:rsidRPr="00765C97">
              <w:rPr>
                <w:rFonts w:ascii="Arial" w:hAnsi="Arial"/>
                <w:b/>
                <w:sz w:val="20"/>
                <w:lang w:val="pl-PL"/>
              </w:rPr>
              <w:t>36</w:t>
            </w:r>
          </w:p>
        </w:tc>
      </w:tr>
      <w:tr w:rsidR="000C4D38" w:rsidRPr="00765C97" w:rsidTr="00440CC1">
        <w:trPr>
          <w:trHeight w:val="255"/>
        </w:trPr>
        <w:tc>
          <w:tcPr>
            <w:tcW w:w="5103" w:type="dxa"/>
            <w:tcBorders>
              <w:top w:val="nil"/>
              <w:left w:val="nil"/>
              <w:right w:val="nil"/>
            </w:tcBorders>
            <w:vAlign w:val="center"/>
          </w:tcPr>
          <w:p w:rsidR="000C4D38" w:rsidRPr="00765C97" w:rsidRDefault="000C4D38">
            <w:pPr>
              <w:rPr>
                <w:rFonts w:ascii="Arial" w:hAnsi="Arial"/>
                <w:sz w:val="20"/>
                <w:lang w:val="pl-PL"/>
              </w:rPr>
            </w:pPr>
            <w:r w:rsidRPr="00765C97">
              <w:rPr>
                <w:rFonts w:ascii="Arial" w:hAnsi="Arial"/>
                <w:sz w:val="20"/>
                <w:lang w:val="pl-PL"/>
              </w:rPr>
              <w:t>Zakupy usług:</w:t>
            </w:r>
          </w:p>
        </w:tc>
        <w:tc>
          <w:tcPr>
            <w:tcW w:w="1710" w:type="dxa"/>
            <w:tcBorders>
              <w:left w:val="nil"/>
              <w:bottom w:val="nil"/>
              <w:right w:val="nil"/>
            </w:tcBorders>
            <w:vAlign w:val="center"/>
          </w:tcPr>
          <w:p w:rsidR="000C4D38" w:rsidRPr="00765C97" w:rsidRDefault="000C4D38">
            <w:pPr>
              <w:ind w:right="174"/>
              <w:jc w:val="right"/>
              <w:rPr>
                <w:rFonts w:ascii="Arial" w:hAnsi="Arial"/>
                <w:sz w:val="20"/>
                <w:lang w:val="pl-PL"/>
              </w:rPr>
            </w:pPr>
          </w:p>
        </w:tc>
        <w:tc>
          <w:tcPr>
            <w:tcW w:w="1710" w:type="dxa"/>
            <w:tcBorders>
              <w:left w:val="nil"/>
              <w:bottom w:val="nil"/>
              <w:right w:val="nil"/>
            </w:tcBorders>
            <w:vAlign w:val="center"/>
          </w:tcPr>
          <w:p w:rsidR="000C4D38" w:rsidRPr="00765C97" w:rsidRDefault="000C4D38" w:rsidP="00496C6C">
            <w:pPr>
              <w:ind w:right="174"/>
              <w:jc w:val="right"/>
              <w:rPr>
                <w:rFonts w:ascii="Arial" w:hAnsi="Arial"/>
                <w:sz w:val="20"/>
                <w:lang w:val="pl-PL"/>
              </w:rPr>
            </w:pPr>
          </w:p>
        </w:tc>
      </w:tr>
      <w:tr w:rsidR="000C4D38" w:rsidRPr="00765C97" w:rsidTr="00440CC1">
        <w:trPr>
          <w:trHeight w:val="255"/>
        </w:trPr>
        <w:tc>
          <w:tcPr>
            <w:tcW w:w="5103" w:type="dxa"/>
            <w:tcBorders>
              <w:top w:val="nil"/>
              <w:left w:val="nil"/>
              <w:right w:val="nil"/>
            </w:tcBorders>
            <w:vAlign w:val="center"/>
          </w:tcPr>
          <w:p w:rsidR="000C4D38" w:rsidRPr="00765C97" w:rsidRDefault="000C4D38" w:rsidP="002A0A38">
            <w:pPr>
              <w:rPr>
                <w:rFonts w:ascii="Arial" w:hAnsi="Arial"/>
                <w:spacing w:val="-3"/>
                <w:sz w:val="20"/>
              </w:rPr>
            </w:pPr>
            <w:r w:rsidRPr="00765C97">
              <w:rPr>
                <w:rFonts w:ascii="Arial" w:hAnsi="Arial"/>
                <w:spacing w:val="-3"/>
                <w:sz w:val="20"/>
              </w:rPr>
              <w:t xml:space="preserve">    SoInteractive S.A.</w:t>
            </w:r>
          </w:p>
        </w:tc>
        <w:tc>
          <w:tcPr>
            <w:tcW w:w="1710" w:type="dxa"/>
            <w:tcBorders>
              <w:top w:val="nil"/>
              <w:left w:val="nil"/>
              <w:bottom w:val="nil"/>
              <w:right w:val="nil"/>
            </w:tcBorders>
            <w:vAlign w:val="center"/>
          </w:tcPr>
          <w:p w:rsidR="000C4D38" w:rsidRPr="00765C97" w:rsidRDefault="000C4D38" w:rsidP="002C1BE1">
            <w:pPr>
              <w:ind w:right="174"/>
              <w:jc w:val="right"/>
              <w:rPr>
                <w:rFonts w:ascii="Arial" w:hAnsi="Arial"/>
                <w:sz w:val="20"/>
              </w:rPr>
            </w:pPr>
          </w:p>
        </w:tc>
        <w:tc>
          <w:tcPr>
            <w:tcW w:w="1710" w:type="dxa"/>
            <w:tcBorders>
              <w:top w:val="nil"/>
              <w:left w:val="nil"/>
              <w:bottom w:val="nil"/>
              <w:right w:val="nil"/>
            </w:tcBorders>
            <w:vAlign w:val="center"/>
          </w:tcPr>
          <w:p w:rsidR="000C4D38" w:rsidRPr="00765C97" w:rsidRDefault="000C4D38" w:rsidP="00496C6C">
            <w:pPr>
              <w:ind w:right="174"/>
              <w:jc w:val="right"/>
              <w:rPr>
                <w:rFonts w:ascii="Arial" w:hAnsi="Arial"/>
                <w:sz w:val="20"/>
              </w:rPr>
            </w:pPr>
          </w:p>
        </w:tc>
      </w:tr>
      <w:tr w:rsidR="000C4D38" w:rsidRPr="00765C97" w:rsidTr="00440CC1">
        <w:trPr>
          <w:trHeight w:val="255"/>
        </w:trPr>
        <w:tc>
          <w:tcPr>
            <w:tcW w:w="5103" w:type="dxa"/>
            <w:tcBorders>
              <w:top w:val="nil"/>
              <w:left w:val="nil"/>
              <w:right w:val="nil"/>
            </w:tcBorders>
            <w:vAlign w:val="center"/>
          </w:tcPr>
          <w:p w:rsidR="000C4D38" w:rsidRPr="00765C97" w:rsidRDefault="000C4D38" w:rsidP="002A0A38">
            <w:pPr>
              <w:ind w:left="529"/>
              <w:rPr>
                <w:rFonts w:ascii="Arial" w:hAnsi="Arial"/>
                <w:i/>
                <w:spacing w:val="-3"/>
                <w:sz w:val="20"/>
                <w:lang w:val="pl-PL"/>
              </w:rPr>
            </w:pPr>
            <w:r w:rsidRPr="00765C97">
              <w:rPr>
                <w:rFonts w:ascii="Arial" w:hAnsi="Arial"/>
                <w:i/>
                <w:spacing w:val="-3"/>
                <w:sz w:val="20"/>
                <w:lang w:val="pl-PL"/>
              </w:rPr>
              <w:t>ujęte w kosztach wytworzenia</w:t>
            </w:r>
          </w:p>
        </w:tc>
        <w:tc>
          <w:tcPr>
            <w:tcW w:w="1710" w:type="dxa"/>
            <w:tcBorders>
              <w:top w:val="nil"/>
              <w:left w:val="nil"/>
              <w:bottom w:val="nil"/>
              <w:right w:val="nil"/>
            </w:tcBorders>
            <w:vAlign w:val="center"/>
          </w:tcPr>
          <w:p w:rsidR="000C4D38" w:rsidRPr="00765C97" w:rsidRDefault="00AC4EDF" w:rsidP="002C1BE1">
            <w:pPr>
              <w:ind w:right="174"/>
              <w:jc w:val="right"/>
              <w:rPr>
                <w:rFonts w:ascii="Arial" w:hAnsi="Arial"/>
                <w:i/>
                <w:spacing w:val="-3"/>
                <w:sz w:val="20"/>
                <w:lang w:val="pl-PL"/>
              </w:rPr>
            </w:pPr>
            <w:r w:rsidRPr="00765C97">
              <w:rPr>
                <w:rFonts w:ascii="Arial" w:hAnsi="Arial"/>
                <w:i/>
                <w:spacing w:val="-3"/>
                <w:sz w:val="20"/>
                <w:lang w:val="pl-PL"/>
              </w:rPr>
              <w:t>612</w:t>
            </w:r>
          </w:p>
        </w:tc>
        <w:tc>
          <w:tcPr>
            <w:tcW w:w="1710" w:type="dxa"/>
            <w:tcBorders>
              <w:top w:val="nil"/>
              <w:left w:val="nil"/>
              <w:bottom w:val="nil"/>
              <w:right w:val="nil"/>
            </w:tcBorders>
            <w:vAlign w:val="center"/>
          </w:tcPr>
          <w:p w:rsidR="000C4D38" w:rsidRPr="00765C97" w:rsidRDefault="000C4D38" w:rsidP="00496C6C">
            <w:pPr>
              <w:ind w:right="174"/>
              <w:jc w:val="right"/>
              <w:rPr>
                <w:rFonts w:ascii="Arial" w:hAnsi="Arial"/>
                <w:i/>
                <w:spacing w:val="-3"/>
                <w:sz w:val="20"/>
                <w:lang w:val="pl-PL"/>
              </w:rPr>
            </w:pPr>
            <w:r w:rsidRPr="00765C97">
              <w:rPr>
                <w:rFonts w:ascii="Arial" w:hAnsi="Arial"/>
                <w:i/>
                <w:sz w:val="20"/>
                <w:lang w:val="pl-PL"/>
              </w:rPr>
              <w:t>273</w:t>
            </w:r>
          </w:p>
        </w:tc>
      </w:tr>
      <w:tr w:rsidR="000C4D38" w:rsidRPr="00765C97" w:rsidTr="00EB14CE">
        <w:trPr>
          <w:trHeight w:val="255"/>
        </w:trPr>
        <w:tc>
          <w:tcPr>
            <w:tcW w:w="5103" w:type="dxa"/>
            <w:tcBorders>
              <w:top w:val="nil"/>
              <w:left w:val="nil"/>
              <w:right w:val="nil"/>
            </w:tcBorders>
            <w:vAlign w:val="center"/>
          </w:tcPr>
          <w:p w:rsidR="000C4D38" w:rsidRPr="00765C97" w:rsidRDefault="000C4D38" w:rsidP="002A0A38">
            <w:pPr>
              <w:ind w:left="529"/>
              <w:rPr>
                <w:rFonts w:ascii="Arial" w:hAnsi="Arial"/>
                <w:b/>
                <w:sz w:val="20"/>
                <w:lang w:val="pl-PL"/>
              </w:rPr>
            </w:pPr>
            <w:r w:rsidRPr="00765C97">
              <w:rPr>
                <w:rFonts w:ascii="Arial" w:hAnsi="Arial"/>
                <w:i/>
                <w:spacing w:val="-3"/>
                <w:sz w:val="20"/>
                <w:lang w:val="pl-PL"/>
              </w:rPr>
              <w:t>ujęte w pozostałych kosztach</w:t>
            </w:r>
          </w:p>
        </w:tc>
        <w:tc>
          <w:tcPr>
            <w:tcW w:w="1710" w:type="dxa"/>
            <w:tcBorders>
              <w:top w:val="nil"/>
              <w:left w:val="nil"/>
              <w:bottom w:val="single" w:sz="4" w:space="0" w:color="auto"/>
              <w:right w:val="nil"/>
            </w:tcBorders>
            <w:vAlign w:val="center"/>
          </w:tcPr>
          <w:p w:rsidR="000C4D38" w:rsidRPr="00765C97" w:rsidRDefault="00AC4EDF" w:rsidP="002C1BE1">
            <w:pPr>
              <w:ind w:right="174"/>
              <w:jc w:val="right"/>
              <w:rPr>
                <w:rFonts w:ascii="Arial" w:hAnsi="Arial"/>
                <w:i/>
                <w:sz w:val="20"/>
                <w:lang w:val="pl-PL"/>
              </w:rPr>
            </w:pPr>
            <w:r w:rsidRPr="00765C97">
              <w:rPr>
                <w:rFonts w:ascii="Arial" w:hAnsi="Arial"/>
                <w:i/>
                <w:sz w:val="20"/>
                <w:lang w:val="pl-PL"/>
              </w:rPr>
              <w:t>3 355</w:t>
            </w:r>
          </w:p>
        </w:tc>
        <w:tc>
          <w:tcPr>
            <w:tcW w:w="1710" w:type="dxa"/>
            <w:tcBorders>
              <w:top w:val="nil"/>
              <w:left w:val="nil"/>
              <w:bottom w:val="single" w:sz="4" w:space="0" w:color="auto"/>
              <w:right w:val="nil"/>
            </w:tcBorders>
            <w:vAlign w:val="center"/>
          </w:tcPr>
          <w:p w:rsidR="000C4D38" w:rsidRPr="00765C97" w:rsidRDefault="000C4D38" w:rsidP="00496C6C">
            <w:pPr>
              <w:ind w:right="174"/>
              <w:jc w:val="right"/>
              <w:rPr>
                <w:rFonts w:ascii="Arial" w:hAnsi="Arial"/>
                <w:i/>
                <w:sz w:val="20"/>
                <w:lang w:val="pl-PL"/>
              </w:rPr>
            </w:pPr>
            <w:r w:rsidRPr="00765C97">
              <w:rPr>
                <w:rFonts w:ascii="Arial" w:hAnsi="Arial"/>
                <w:i/>
                <w:spacing w:val="-3"/>
                <w:sz w:val="20"/>
                <w:lang w:val="pl-PL"/>
              </w:rPr>
              <w:t>3 018</w:t>
            </w:r>
          </w:p>
        </w:tc>
      </w:tr>
      <w:tr w:rsidR="000C4D38" w:rsidRPr="00765C97" w:rsidTr="00EB14CE">
        <w:trPr>
          <w:trHeight w:val="255"/>
        </w:trPr>
        <w:tc>
          <w:tcPr>
            <w:tcW w:w="5103" w:type="dxa"/>
            <w:tcBorders>
              <w:top w:val="nil"/>
              <w:left w:val="nil"/>
              <w:right w:val="nil"/>
            </w:tcBorders>
            <w:vAlign w:val="center"/>
          </w:tcPr>
          <w:p w:rsidR="000C4D38" w:rsidRPr="00765C97" w:rsidRDefault="000C4D38" w:rsidP="002C1BE1">
            <w:pPr>
              <w:rPr>
                <w:rFonts w:ascii="Arial" w:hAnsi="Arial"/>
                <w:b/>
                <w:sz w:val="20"/>
                <w:lang w:val="pl-PL"/>
              </w:rPr>
            </w:pPr>
          </w:p>
        </w:tc>
        <w:tc>
          <w:tcPr>
            <w:tcW w:w="1710" w:type="dxa"/>
            <w:tcBorders>
              <w:top w:val="single" w:sz="4" w:space="0" w:color="auto"/>
              <w:left w:val="nil"/>
              <w:bottom w:val="single" w:sz="2" w:space="0" w:color="auto"/>
              <w:right w:val="nil"/>
            </w:tcBorders>
            <w:vAlign w:val="center"/>
          </w:tcPr>
          <w:p w:rsidR="000C4D38" w:rsidRPr="00765C97" w:rsidRDefault="00AC4EDF" w:rsidP="002C1BE1">
            <w:pPr>
              <w:ind w:right="174"/>
              <w:jc w:val="right"/>
              <w:rPr>
                <w:rFonts w:ascii="Arial" w:hAnsi="Arial"/>
                <w:b/>
                <w:sz w:val="20"/>
                <w:lang w:val="pl-PL"/>
              </w:rPr>
            </w:pPr>
            <w:r w:rsidRPr="00765C97">
              <w:rPr>
                <w:rFonts w:ascii="Arial" w:hAnsi="Arial"/>
                <w:b/>
                <w:sz w:val="20"/>
                <w:lang w:val="pl-PL"/>
              </w:rPr>
              <w:t>3 967</w:t>
            </w:r>
          </w:p>
        </w:tc>
        <w:tc>
          <w:tcPr>
            <w:tcW w:w="1710" w:type="dxa"/>
            <w:tcBorders>
              <w:top w:val="single" w:sz="4" w:space="0" w:color="auto"/>
              <w:left w:val="nil"/>
              <w:bottom w:val="single" w:sz="2" w:space="0" w:color="auto"/>
              <w:right w:val="nil"/>
            </w:tcBorders>
            <w:vAlign w:val="center"/>
          </w:tcPr>
          <w:p w:rsidR="000C4D38" w:rsidRPr="00765C97" w:rsidRDefault="000C4D38" w:rsidP="00496C6C">
            <w:pPr>
              <w:ind w:right="174"/>
              <w:jc w:val="right"/>
              <w:rPr>
                <w:rFonts w:ascii="Arial" w:hAnsi="Arial"/>
                <w:b/>
                <w:sz w:val="20"/>
                <w:lang w:val="pl-PL"/>
              </w:rPr>
            </w:pPr>
            <w:r w:rsidRPr="00765C97">
              <w:rPr>
                <w:rFonts w:ascii="Arial" w:hAnsi="Arial"/>
                <w:b/>
                <w:sz w:val="20"/>
                <w:lang w:val="pl-PL"/>
              </w:rPr>
              <w:t>3 291</w:t>
            </w:r>
          </w:p>
        </w:tc>
      </w:tr>
      <w:tr w:rsidR="000C4D38" w:rsidRPr="00765C97" w:rsidTr="00EB14CE">
        <w:trPr>
          <w:trHeight w:val="255"/>
        </w:trPr>
        <w:tc>
          <w:tcPr>
            <w:tcW w:w="5103" w:type="dxa"/>
            <w:tcBorders>
              <w:left w:val="nil"/>
              <w:right w:val="nil"/>
            </w:tcBorders>
            <w:vAlign w:val="center"/>
          </w:tcPr>
          <w:p w:rsidR="000C4D38" w:rsidRPr="00765C97" w:rsidRDefault="000C4D38" w:rsidP="002C1BE1">
            <w:pPr>
              <w:rPr>
                <w:rFonts w:ascii="Arial" w:hAnsi="Arial"/>
                <w:b/>
                <w:sz w:val="20"/>
                <w:lang w:val="pl-PL"/>
              </w:rPr>
            </w:pPr>
          </w:p>
        </w:tc>
        <w:tc>
          <w:tcPr>
            <w:tcW w:w="1710" w:type="dxa"/>
            <w:tcBorders>
              <w:top w:val="single" w:sz="2" w:space="0" w:color="auto"/>
              <w:left w:val="nil"/>
              <w:bottom w:val="single" w:sz="4" w:space="0" w:color="auto"/>
              <w:right w:val="nil"/>
            </w:tcBorders>
            <w:vAlign w:val="center"/>
          </w:tcPr>
          <w:p w:rsidR="000C4D38" w:rsidRPr="00765C97" w:rsidRDefault="00AC4EDF" w:rsidP="002C1BE1">
            <w:pPr>
              <w:ind w:right="174"/>
              <w:jc w:val="right"/>
              <w:rPr>
                <w:rFonts w:ascii="Arial" w:hAnsi="Arial"/>
                <w:b/>
                <w:sz w:val="20"/>
                <w:lang w:val="pl-PL"/>
              </w:rPr>
            </w:pPr>
            <w:r w:rsidRPr="00765C97">
              <w:rPr>
                <w:rFonts w:ascii="Arial" w:hAnsi="Arial"/>
                <w:b/>
                <w:sz w:val="20"/>
                <w:lang w:val="pl-PL"/>
              </w:rPr>
              <w:t>4 027</w:t>
            </w:r>
          </w:p>
        </w:tc>
        <w:tc>
          <w:tcPr>
            <w:tcW w:w="1710" w:type="dxa"/>
            <w:tcBorders>
              <w:top w:val="single" w:sz="2" w:space="0" w:color="auto"/>
              <w:left w:val="nil"/>
              <w:bottom w:val="single" w:sz="4" w:space="0" w:color="auto"/>
              <w:right w:val="nil"/>
            </w:tcBorders>
            <w:vAlign w:val="center"/>
          </w:tcPr>
          <w:p w:rsidR="000C4D38" w:rsidRPr="00765C97" w:rsidRDefault="000C4D38" w:rsidP="00496C6C">
            <w:pPr>
              <w:ind w:right="174"/>
              <w:jc w:val="right"/>
              <w:rPr>
                <w:rFonts w:ascii="Arial" w:hAnsi="Arial"/>
                <w:b/>
                <w:sz w:val="20"/>
                <w:lang w:val="pl-PL"/>
              </w:rPr>
            </w:pPr>
            <w:r w:rsidRPr="00765C97">
              <w:rPr>
                <w:rFonts w:ascii="Arial" w:hAnsi="Arial"/>
                <w:b/>
                <w:sz w:val="20"/>
                <w:lang w:val="pl-PL"/>
              </w:rPr>
              <w:t>3 327</w:t>
            </w:r>
          </w:p>
        </w:tc>
      </w:tr>
    </w:tbl>
    <w:p w:rsidR="00B24DA9" w:rsidRPr="00765C97" w:rsidRDefault="00B24DA9">
      <w:pPr>
        <w:tabs>
          <w:tab w:val="left" w:pos="993"/>
          <w:tab w:val="left" w:pos="8347"/>
        </w:tabs>
        <w:ind w:left="993" w:hanging="993"/>
        <w:rPr>
          <w:rFonts w:ascii="Arial" w:hAnsi="Arial"/>
          <w:b/>
          <w:spacing w:val="-8"/>
          <w:sz w:val="20"/>
          <w:lang w:val="pl-PL"/>
        </w:rPr>
      </w:pPr>
    </w:p>
    <w:p w:rsidR="00B24DA9" w:rsidRPr="00765C97" w:rsidRDefault="00692EAF" w:rsidP="003D6C36">
      <w:pPr>
        <w:tabs>
          <w:tab w:val="left" w:pos="8347"/>
        </w:tabs>
        <w:jc w:val="both"/>
        <w:rPr>
          <w:rFonts w:ascii="Arial" w:hAnsi="Arial"/>
          <w:sz w:val="20"/>
          <w:lang w:val="pl-PL"/>
        </w:rPr>
      </w:pPr>
      <w:r w:rsidRPr="00765C97">
        <w:rPr>
          <w:rFonts w:ascii="Arial" w:hAnsi="Arial"/>
          <w:sz w:val="20"/>
          <w:lang w:val="pl-PL"/>
        </w:rPr>
        <w:t>Cenę usług i towarów negocjuje się zwykle z podmiotami powiązanymi stosując jedna z wymienionych powyżej metod. W okresie objętym sprawozdaniem nie było żadnych istotnych transakcji z innymi niż wymienione powyżej podmiotami powiązanymi.</w:t>
      </w:r>
    </w:p>
    <w:p w:rsidR="00B24DA9" w:rsidRPr="00765C97" w:rsidRDefault="00B24DA9" w:rsidP="00135A9A">
      <w:pPr>
        <w:pStyle w:val="Nagwek4"/>
        <w:numPr>
          <w:ilvl w:val="2"/>
          <w:numId w:val="28"/>
        </w:numPr>
        <w:spacing w:before="240" w:after="120" w:line="240" w:lineRule="auto"/>
        <w:ind w:left="1276" w:hanging="851"/>
        <w:rPr>
          <w:rFonts w:ascii="Arial" w:hAnsi="Arial"/>
          <w:sz w:val="20"/>
          <w:lang w:val="pl-PL"/>
        </w:rPr>
      </w:pPr>
      <w:r w:rsidRPr="00765C97">
        <w:rPr>
          <w:rFonts w:ascii="Arial" w:hAnsi="Arial"/>
          <w:sz w:val="20"/>
          <w:lang w:val="pl-PL"/>
        </w:rPr>
        <w:t>Salda rozrachunków na dzień bilansowy powstałe w wyniku sprzedaży/zakupu towarów/usług</w:t>
      </w:r>
    </w:p>
    <w:tbl>
      <w:tblPr>
        <w:tblW w:w="0" w:type="auto"/>
        <w:tblLayout w:type="fixed"/>
        <w:tblCellMar>
          <w:left w:w="0" w:type="dxa"/>
          <w:right w:w="0" w:type="dxa"/>
        </w:tblCellMar>
        <w:tblLook w:val="0000"/>
      </w:tblPr>
      <w:tblGrid>
        <w:gridCol w:w="5103"/>
        <w:gridCol w:w="1620"/>
        <w:gridCol w:w="1620"/>
      </w:tblGrid>
      <w:tr w:rsidR="00B24DA9" w:rsidRPr="00765C97" w:rsidTr="00440CC1">
        <w:trPr>
          <w:trHeight w:val="255"/>
        </w:trPr>
        <w:tc>
          <w:tcPr>
            <w:tcW w:w="5103" w:type="dxa"/>
            <w:tcBorders>
              <w:left w:val="nil"/>
              <w:bottom w:val="nil"/>
              <w:right w:val="nil"/>
            </w:tcBorders>
            <w:vAlign w:val="center"/>
          </w:tcPr>
          <w:p w:rsidR="00B24DA9" w:rsidRPr="00765C97" w:rsidRDefault="00B24DA9">
            <w:pPr>
              <w:ind w:left="360" w:hanging="360"/>
              <w:rPr>
                <w:rFonts w:ascii="Arial" w:hAnsi="Arial"/>
                <w:b/>
                <w:spacing w:val="-4"/>
                <w:sz w:val="20"/>
                <w:lang w:val="pl-PL"/>
              </w:rPr>
            </w:pPr>
          </w:p>
        </w:tc>
        <w:tc>
          <w:tcPr>
            <w:tcW w:w="1620" w:type="dxa"/>
            <w:tcBorders>
              <w:left w:val="nil"/>
              <w:bottom w:val="nil"/>
              <w:right w:val="nil"/>
            </w:tcBorders>
            <w:vAlign w:val="center"/>
          </w:tcPr>
          <w:p w:rsidR="00B24DA9" w:rsidRPr="00765C97" w:rsidRDefault="00B24DA9">
            <w:pPr>
              <w:ind w:right="130"/>
              <w:jc w:val="right"/>
              <w:rPr>
                <w:rFonts w:ascii="Arial" w:hAnsi="Arial"/>
                <w:b/>
                <w:sz w:val="20"/>
                <w:lang w:val="pl-PL"/>
              </w:rPr>
            </w:pPr>
            <w:r w:rsidRPr="00765C97">
              <w:rPr>
                <w:rFonts w:ascii="Arial" w:hAnsi="Arial"/>
                <w:b/>
                <w:sz w:val="20"/>
                <w:lang w:val="pl-PL"/>
              </w:rPr>
              <w:t>12 miesięcy</w:t>
            </w:r>
          </w:p>
          <w:p w:rsidR="00B24DA9" w:rsidRPr="00765C97" w:rsidRDefault="00B24DA9" w:rsidP="00B20278">
            <w:pPr>
              <w:ind w:right="130"/>
              <w:jc w:val="right"/>
              <w:rPr>
                <w:rFonts w:ascii="Arial" w:hAnsi="Arial"/>
                <w:b/>
                <w:sz w:val="20"/>
                <w:lang w:val="pl-PL"/>
              </w:rPr>
            </w:pPr>
            <w:r w:rsidRPr="00765C97">
              <w:rPr>
                <w:rFonts w:ascii="Arial" w:hAnsi="Arial"/>
                <w:b/>
                <w:sz w:val="20"/>
                <w:lang w:val="pl-PL"/>
              </w:rPr>
              <w:t>20</w:t>
            </w:r>
            <w:r w:rsidR="004B1467" w:rsidRPr="00765C97">
              <w:rPr>
                <w:rFonts w:ascii="Arial" w:hAnsi="Arial"/>
                <w:b/>
                <w:sz w:val="20"/>
                <w:lang w:val="pl-PL"/>
              </w:rPr>
              <w:t>1</w:t>
            </w:r>
            <w:r w:rsidR="000C4D38" w:rsidRPr="00765C97">
              <w:rPr>
                <w:rFonts w:ascii="Arial" w:hAnsi="Arial"/>
                <w:b/>
                <w:sz w:val="20"/>
                <w:lang w:val="pl-PL"/>
              </w:rPr>
              <w:t>2</w:t>
            </w:r>
          </w:p>
        </w:tc>
        <w:tc>
          <w:tcPr>
            <w:tcW w:w="1620" w:type="dxa"/>
            <w:tcBorders>
              <w:left w:val="nil"/>
              <w:bottom w:val="nil"/>
              <w:right w:val="nil"/>
            </w:tcBorders>
            <w:vAlign w:val="center"/>
          </w:tcPr>
          <w:p w:rsidR="00B24DA9" w:rsidRPr="00765C97" w:rsidRDefault="00B24DA9">
            <w:pPr>
              <w:ind w:right="141"/>
              <w:jc w:val="right"/>
              <w:rPr>
                <w:rFonts w:ascii="Arial" w:hAnsi="Arial"/>
                <w:b/>
                <w:sz w:val="20"/>
                <w:lang w:val="pl-PL"/>
              </w:rPr>
            </w:pPr>
            <w:r w:rsidRPr="00765C97">
              <w:rPr>
                <w:rFonts w:ascii="Arial" w:hAnsi="Arial"/>
                <w:b/>
                <w:sz w:val="20"/>
                <w:lang w:val="pl-PL"/>
              </w:rPr>
              <w:t>12 miesięcy</w:t>
            </w:r>
          </w:p>
          <w:p w:rsidR="00B24DA9" w:rsidRPr="00765C97" w:rsidRDefault="00B24DA9" w:rsidP="000C4D38">
            <w:pPr>
              <w:ind w:right="141"/>
              <w:jc w:val="right"/>
              <w:rPr>
                <w:rFonts w:ascii="Arial" w:hAnsi="Arial"/>
                <w:b/>
                <w:sz w:val="20"/>
                <w:lang w:val="pl-PL"/>
              </w:rPr>
            </w:pPr>
            <w:r w:rsidRPr="00765C97">
              <w:rPr>
                <w:rFonts w:ascii="Arial" w:hAnsi="Arial"/>
                <w:b/>
                <w:sz w:val="20"/>
                <w:lang w:val="pl-PL"/>
              </w:rPr>
              <w:t>20</w:t>
            </w:r>
            <w:r w:rsidR="00B20278" w:rsidRPr="00765C97">
              <w:rPr>
                <w:rFonts w:ascii="Arial" w:hAnsi="Arial"/>
                <w:b/>
                <w:sz w:val="20"/>
                <w:lang w:val="pl-PL"/>
              </w:rPr>
              <w:t>1</w:t>
            </w:r>
            <w:r w:rsidR="000C4D38" w:rsidRPr="00765C97">
              <w:rPr>
                <w:rFonts w:ascii="Arial" w:hAnsi="Arial"/>
                <w:b/>
                <w:sz w:val="20"/>
                <w:lang w:val="pl-PL"/>
              </w:rPr>
              <w:t>1</w:t>
            </w:r>
          </w:p>
        </w:tc>
      </w:tr>
      <w:tr w:rsidR="00B24DA9" w:rsidRPr="00765C97" w:rsidTr="00440CC1">
        <w:trPr>
          <w:trHeight w:val="255"/>
        </w:trPr>
        <w:tc>
          <w:tcPr>
            <w:tcW w:w="5103" w:type="dxa"/>
            <w:tcBorders>
              <w:top w:val="nil"/>
              <w:left w:val="nil"/>
              <w:right w:val="nil"/>
            </w:tcBorders>
            <w:vAlign w:val="center"/>
          </w:tcPr>
          <w:p w:rsidR="00B24DA9" w:rsidRPr="00765C97" w:rsidRDefault="00B24DA9">
            <w:pPr>
              <w:ind w:left="360" w:hanging="360"/>
              <w:rPr>
                <w:rFonts w:ascii="Arial" w:hAnsi="Arial"/>
                <w:sz w:val="20"/>
                <w:lang w:val="pl-PL"/>
              </w:rPr>
            </w:pPr>
            <w:r w:rsidRPr="00765C97">
              <w:rPr>
                <w:rFonts w:ascii="Arial" w:hAnsi="Arial"/>
                <w:sz w:val="20"/>
                <w:lang w:val="pl-PL"/>
              </w:rPr>
              <w:t>Należności od podmiotów powiązanych:</w:t>
            </w:r>
          </w:p>
        </w:tc>
        <w:tc>
          <w:tcPr>
            <w:tcW w:w="1620" w:type="dxa"/>
            <w:tcBorders>
              <w:top w:val="nil"/>
              <w:left w:val="nil"/>
              <w:bottom w:val="nil"/>
              <w:right w:val="nil"/>
            </w:tcBorders>
            <w:vAlign w:val="center"/>
          </w:tcPr>
          <w:p w:rsidR="00B24DA9" w:rsidRPr="00765C97" w:rsidRDefault="00B24DA9">
            <w:pPr>
              <w:ind w:right="130"/>
              <w:jc w:val="right"/>
              <w:rPr>
                <w:rFonts w:ascii="Arial" w:hAnsi="Arial"/>
                <w:b/>
                <w:sz w:val="20"/>
                <w:lang w:val="pl-PL"/>
              </w:rPr>
            </w:pPr>
          </w:p>
        </w:tc>
        <w:tc>
          <w:tcPr>
            <w:tcW w:w="1620" w:type="dxa"/>
            <w:tcBorders>
              <w:top w:val="nil"/>
              <w:left w:val="nil"/>
              <w:bottom w:val="nil"/>
              <w:right w:val="nil"/>
            </w:tcBorders>
            <w:vAlign w:val="center"/>
          </w:tcPr>
          <w:p w:rsidR="00B24DA9" w:rsidRPr="00765C97" w:rsidRDefault="00B24DA9">
            <w:pPr>
              <w:jc w:val="right"/>
              <w:rPr>
                <w:rFonts w:ascii="Arial" w:hAnsi="Arial"/>
                <w:b/>
                <w:sz w:val="20"/>
                <w:lang w:val="pl-PL"/>
              </w:rPr>
            </w:pPr>
          </w:p>
        </w:tc>
      </w:tr>
      <w:tr w:rsidR="000C4D38" w:rsidRPr="00765C97" w:rsidTr="00EB14CE">
        <w:trPr>
          <w:trHeight w:val="255"/>
        </w:trPr>
        <w:tc>
          <w:tcPr>
            <w:tcW w:w="5103" w:type="dxa"/>
            <w:tcBorders>
              <w:top w:val="nil"/>
              <w:left w:val="nil"/>
              <w:right w:val="nil"/>
            </w:tcBorders>
            <w:vAlign w:val="center"/>
          </w:tcPr>
          <w:p w:rsidR="000C4D38" w:rsidRPr="00765C97" w:rsidRDefault="000C4D38" w:rsidP="003D6C36">
            <w:pPr>
              <w:ind w:left="360" w:hanging="360"/>
              <w:rPr>
                <w:rFonts w:ascii="Arial" w:hAnsi="Arial"/>
                <w:spacing w:val="-3"/>
                <w:sz w:val="20"/>
              </w:rPr>
            </w:pPr>
            <w:r w:rsidRPr="00765C97">
              <w:rPr>
                <w:rFonts w:ascii="Arial" w:hAnsi="Arial"/>
                <w:spacing w:val="-3"/>
                <w:sz w:val="20"/>
              </w:rPr>
              <w:t xml:space="preserve">    SoInteractive </w:t>
            </w:r>
            <w:r w:rsidR="003D6C36" w:rsidRPr="00765C97">
              <w:rPr>
                <w:rFonts w:ascii="Arial" w:hAnsi="Arial"/>
                <w:spacing w:val="-3"/>
                <w:sz w:val="20"/>
              </w:rPr>
              <w:t>S.A</w:t>
            </w:r>
            <w:r w:rsidRPr="00765C97">
              <w:rPr>
                <w:rFonts w:ascii="Arial" w:hAnsi="Arial"/>
                <w:sz w:val="20"/>
              </w:rPr>
              <w:t>.</w:t>
            </w:r>
          </w:p>
        </w:tc>
        <w:tc>
          <w:tcPr>
            <w:tcW w:w="1620" w:type="dxa"/>
            <w:tcBorders>
              <w:left w:val="nil"/>
              <w:bottom w:val="single" w:sz="2" w:space="0" w:color="auto"/>
              <w:right w:val="nil"/>
            </w:tcBorders>
            <w:vAlign w:val="center"/>
          </w:tcPr>
          <w:p w:rsidR="000C4D38" w:rsidRPr="00765C97" w:rsidRDefault="00BF5B6E" w:rsidP="00D340EE">
            <w:pPr>
              <w:ind w:right="130"/>
              <w:jc w:val="right"/>
              <w:rPr>
                <w:rFonts w:ascii="Arial" w:hAnsi="Arial"/>
                <w:sz w:val="20"/>
              </w:rPr>
            </w:pPr>
            <w:r w:rsidRPr="00765C97">
              <w:rPr>
                <w:rFonts w:ascii="Arial" w:hAnsi="Arial"/>
                <w:sz w:val="20"/>
              </w:rPr>
              <w:t>9</w:t>
            </w:r>
            <w:r w:rsidR="00D340EE" w:rsidRPr="00765C97">
              <w:rPr>
                <w:rFonts w:ascii="Arial" w:hAnsi="Arial"/>
                <w:sz w:val="20"/>
              </w:rPr>
              <w:t>4</w:t>
            </w:r>
          </w:p>
        </w:tc>
        <w:tc>
          <w:tcPr>
            <w:tcW w:w="1620" w:type="dxa"/>
            <w:tcBorders>
              <w:left w:val="nil"/>
              <w:bottom w:val="single" w:sz="2" w:space="0" w:color="auto"/>
              <w:right w:val="nil"/>
            </w:tcBorders>
            <w:vAlign w:val="center"/>
          </w:tcPr>
          <w:p w:rsidR="000C4D38" w:rsidRPr="00765C97" w:rsidRDefault="00D340EE" w:rsidP="00496C6C">
            <w:pPr>
              <w:ind w:right="130"/>
              <w:jc w:val="right"/>
              <w:rPr>
                <w:rFonts w:ascii="Arial" w:hAnsi="Arial"/>
                <w:sz w:val="20"/>
              </w:rPr>
            </w:pPr>
            <w:r w:rsidRPr="00765C97">
              <w:rPr>
                <w:rFonts w:ascii="Arial" w:hAnsi="Arial"/>
                <w:sz w:val="20"/>
              </w:rPr>
              <w:t>66</w:t>
            </w:r>
          </w:p>
        </w:tc>
      </w:tr>
      <w:tr w:rsidR="000C4D38" w:rsidRPr="00765C97" w:rsidTr="00EB14CE">
        <w:trPr>
          <w:trHeight w:val="255"/>
        </w:trPr>
        <w:tc>
          <w:tcPr>
            <w:tcW w:w="5103" w:type="dxa"/>
            <w:tcBorders>
              <w:left w:val="nil"/>
              <w:right w:val="nil"/>
            </w:tcBorders>
            <w:vAlign w:val="center"/>
          </w:tcPr>
          <w:p w:rsidR="000C4D38" w:rsidRPr="00765C97" w:rsidRDefault="000C4D38">
            <w:pPr>
              <w:ind w:left="360" w:hanging="360"/>
              <w:rPr>
                <w:rFonts w:ascii="Arial" w:hAnsi="Arial"/>
                <w:sz w:val="20"/>
                <w:lang w:val="pl-PL"/>
              </w:rPr>
            </w:pPr>
          </w:p>
        </w:tc>
        <w:tc>
          <w:tcPr>
            <w:tcW w:w="1620" w:type="dxa"/>
            <w:tcBorders>
              <w:top w:val="single" w:sz="2" w:space="0" w:color="auto"/>
              <w:left w:val="nil"/>
              <w:bottom w:val="single" w:sz="4" w:space="0" w:color="auto"/>
              <w:right w:val="nil"/>
            </w:tcBorders>
            <w:vAlign w:val="center"/>
          </w:tcPr>
          <w:p w:rsidR="000C4D38" w:rsidRPr="00765C97" w:rsidRDefault="00BF5B6E" w:rsidP="00D340EE">
            <w:pPr>
              <w:ind w:right="130"/>
              <w:jc w:val="right"/>
              <w:rPr>
                <w:rFonts w:ascii="Arial" w:hAnsi="Arial"/>
                <w:b/>
                <w:sz w:val="20"/>
                <w:lang w:val="pl-PL"/>
              </w:rPr>
            </w:pPr>
            <w:r w:rsidRPr="00765C97">
              <w:rPr>
                <w:rFonts w:ascii="Arial" w:hAnsi="Arial"/>
                <w:b/>
                <w:sz w:val="20"/>
                <w:lang w:val="pl-PL"/>
              </w:rPr>
              <w:t>9</w:t>
            </w:r>
            <w:r w:rsidR="00D340EE" w:rsidRPr="00765C97">
              <w:rPr>
                <w:rFonts w:ascii="Arial" w:hAnsi="Arial"/>
                <w:b/>
                <w:sz w:val="20"/>
                <w:lang w:val="pl-PL"/>
              </w:rPr>
              <w:t>4</w:t>
            </w:r>
          </w:p>
        </w:tc>
        <w:tc>
          <w:tcPr>
            <w:tcW w:w="1620" w:type="dxa"/>
            <w:tcBorders>
              <w:top w:val="single" w:sz="2" w:space="0" w:color="auto"/>
              <w:left w:val="nil"/>
              <w:bottom w:val="single" w:sz="4" w:space="0" w:color="auto"/>
              <w:right w:val="nil"/>
            </w:tcBorders>
            <w:vAlign w:val="center"/>
          </w:tcPr>
          <w:p w:rsidR="000C4D38" w:rsidRPr="00765C97" w:rsidRDefault="00D340EE" w:rsidP="00496C6C">
            <w:pPr>
              <w:ind w:right="130"/>
              <w:jc w:val="right"/>
              <w:rPr>
                <w:rFonts w:ascii="Arial" w:hAnsi="Arial"/>
                <w:b/>
                <w:sz w:val="20"/>
                <w:lang w:val="pl-PL"/>
              </w:rPr>
            </w:pPr>
            <w:r w:rsidRPr="00765C97">
              <w:rPr>
                <w:rFonts w:ascii="Arial" w:hAnsi="Arial"/>
                <w:b/>
                <w:sz w:val="20"/>
                <w:lang w:val="pl-PL"/>
              </w:rPr>
              <w:t>66</w:t>
            </w:r>
          </w:p>
        </w:tc>
      </w:tr>
      <w:tr w:rsidR="000C4D38" w:rsidRPr="00765C97" w:rsidTr="00EB14CE">
        <w:trPr>
          <w:trHeight w:val="255"/>
        </w:trPr>
        <w:tc>
          <w:tcPr>
            <w:tcW w:w="5103" w:type="dxa"/>
            <w:tcBorders>
              <w:top w:val="nil"/>
              <w:left w:val="nil"/>
              <w:bottom w:val="nil"/>
              <w:right w:val="nil"/>
            </w:tcBorders>
            <w:vAlign w:val="center"/>
          </w:tcPr>
          <w:p w:rsidR="000C4D38" w:rsidRPr="00765C97" w:rsidRDefault="000C4D38">
            <w:pPr>
              <w:tabs>
                <w:tab w:val="left" w:pos="267"/>
              </w:tabs>
              <w:ind w:left="360" w:hanging="360"/>
              <w:rPr>
                <w:rFonts w:ascii="Arial" w:hAnsi="Arial"/>
                <w:sz w:val="20"/>
                <w:lang w:val="pl-PL"/>
              </w:rPr>
            </w:pPr>
            <w:r w:rsidRPr="00765C97">
              <w:rPr>
                <w:rFonts w:ascii="Arial" w:hAnsi="Arial"/>
                <w:sz w:val="20"/>
                <w:lang w:val="pl-PL"/>
              </w:rPr>
              <w:t>Zobowiązania wobec podmiotów powiązanych:</w:t>
            </w:r>
          </w:p>
        </w:tc>
        <w:tc>
          <w:tcPr>
            <w:tcW w:w="1620" w:type="dxa"/>
            <w:tcBorders>
              <w:top w:val="single" w:sz="4" w:space="0" w:color="auto"/>
              <w:left w:val="nil"/>
              <w:right w:val="nil"/>
            </w:tcBorders>
            <w:vAlign w:val="center"/>
          </w:tcPr>
          <w:p w:rsidR="000C4D38" w:rsidRPr="00765C97" w:rsidRDefault="000C4D38">
            <w:pPr>
              <w:ind w:right="130"/>
              <w:jc w:val="right"/>
              <w:rPr>
                <w:rFonts w:ascii="Arial" w:hAnsi="Arial"/>
                <w:sz w:val="20"/>
                <w:lang w:val="pl-PL"/>
              </w:rPr>
            </w:pPr>
          </w:p>
        </w:tc>
        <w:tc>
          <w:tcPr>
            <w:tcW w:w="1620" w:type="dxa"/>
            <w:tcBorders>
              <w:top w:val="single" w:sz="4" w:space="0" w:color="auto"/>
              <w:left w:val="nil"/>
              <w:right w:val="nil"/>
            </w:tcBorders>
            <w:vAlign w:val="center"/>
          </w:tcPr>
          <w:p w:rsidR="000C4D38" w:rsidRPr="00765C97" w:rsidRDefault="000C4D38" w:rsidP="00496C6C">
            <w:pPr>
              <w:ind w:right="130"/>
              <w:jc w:val="right"/>
              <w:rPr>
                <w:rFonts w:ascii="Arial" w:hAnsi="Arial"/>
                <w:sz w:val="20"/>
                <w:lang w:val="pl-PL"/>
              </w:rPr>
            </w:pPr>
          </w:p>
        </w:tc>
      </w:tr>
      <w:tr w:rsidR="000C4D38" w:rsidRPr="00765C97" w:rsidTr="00440CC1">
        <w:trPr>
          <w:trHeight w:val="255"/>
        </w:trPr>
        <w:tc>
          <w:tcPr>
            <w:tcW w:w="5103" w:type="dxa"/>
            <w:tcBorders>
              <w:top w:val="nil"/>
              <w:left w:val="nil"/>
              <w:right w:val="nil"/>
            </w:tcBorders>
            <w:vAlign w:val="center"/>
          </w:tcPr>
          <w:p w:rsidR="000C4D38" w:rsidRPr="00765C97" w:rsidRDefault="000C4D38" w:rsidP="003D6C36">
            <w:pPr>
              <w:ind w:left="360" w:hanging="360"/>
              <w:rPr>
                <w:rFonts w:ascii="Arial" w:hAnsi="Arial"/>
                <w:spacing w:val="-3"/>
                <w:sz w:val="20"/>
              </w:rPr>
            </w:pPr>
            <w:r w:rsidRPr="00765C97">
              <w:rPr>
                <w:rFonts w:ascii="Arial" w:hAnsi="Arial"/>
                <w:spacing w:val="-3"/>
                <w:sz w:val="20"/>
              </w:rPr>
              <w:t xml:space="preserve">    SoInteractive </w:t>
            </w:r>
            <w:r w:rsidR="003D6C36" w:rsidRPr="00765C97">
              <w:rPr>
                <w:rFonts w:ascii="Arial" w:hAnsi="Arial"/>
                <w:spacing w:val="-3"/>
                <w:sz w:val="20"/>
              </w:rPr>
              <w:t>S.A.</w:t>
            </w:r>
          </w:p>
        </w:tc>
        <w:tc>
          <w:tcPr>
            <w:tcW w:w="1620" w:type="dxa"/>
            <w:tcBorders>
              <w:left w:val="nil"/>
              <w:right w:val="nil"/>
            </w:tcBorders>
            <w:vAlign w:val="center"/>
          </w:tcPr>
          <w:p w:rsidR="000C4D38" w:rsidRPr="00765C97" w:rsidRDefault="00BF5B6E">
            <w:pPr>
              <w:ind w:right="130"/>
              <w:jc w:val="right"/>
              <w:rPr>
                <w:rFonts w:ascii="Arial" w:hAnsi="Arial"/>
                <w:sz w:val="20"/>
              </w:rPr>
            </w:pPr>
            <w:r w:rsidRPr="00765C97">
              <w:rPr>
                <w:rFonts w:ascii="Arial" w:hAnsi="Arial"/>
                <w:sz w:val="20"/>
              </w:rPr>
              <w:t>1 120</w:t>
            </w:r>
          </w:p>
        </w:tc>
        <w:tc>
          <w:tcPr>
            <w:tcW w:w="1620" w:type="dxa"/>
            <w:tcBorders>
              <w:left w:val="nil"/>
              <w:right w:val="nil"/>
            </w:tcBorders>
            <w:vAlign w:val="center"/>
          </w:tcPr>
          <w:p w:rsidR="000C4D38" w:rsidRPr="00765C97" w:rsidRDefault="000C4D38" w:rsidP="00496C6C">
            <w:pPr>
              <w:ind w:right="130"/>
              <w:jc w:val="right"/>
              <w:rPr>
                <w:rFonts w:ascii="Arial" w:hAnsi="Arial"/>
                <w:sz w:val="20"/>
              </w:rPr>
            </w:pPr>
            <w:r w:rsidRPr="00765C97">
              <w:rPr>
                <w:rFonts w:ascii="Arial" w:hAnsi="Arial"/>
                <w:sz w:val="20"/>
              </w:rPr>
              <w:t>555</w:t>
            </w:r>
          </w:p>
        </w:tc>
      </w:tr>
      <w:tr w:rsidR="000C4D38" w:rsidRPr="00765C97" w:rsidTr="00440CC1">
        <w:trPr>
          <w:trHeight w:val="255"/>
        </w:trPr>
        <w:tc>
          <w:tcPr>
            <w:tcW w:w="5103" w:type="dxa"/>
            <w:tcBorders>
              <w:top w:val="nil"/>
              <w:left w:val="nil"/>
              <w:bottom w:val="nil"/>
              <w:right w:val="nil"/>
            </w:tcBorders>
            <w:vAlign w:val="center"/>
          </w:tcPr>
          <w:p w:rsidR="000C4D38" w:rsidRPr="00765C97" w:rsidRDefault="000C4D38">
            <w:pPr>
              <w:tabs>
                <w:tab w:val="left" w:pos="267"/>
              </w:tabs>
              <w:rPr>
                <w:rFonts w:ascii="Arial" w:hAnsi="Arial"/>
                <w:sz w:val="20"/>
                <w:lang w:val="pl-PL"/>
              </w:rPr>
            </w:pPr>
          </w:p>
        </w:tc>
        <w:tc>
          <w:tcPr>
            <w:tcW w:w="1620" w:type="dxa"/>
            <w:tcBorders>
              <w:top w:val="single" w:sz="4" w:space="0" w:color="auto"/>
              <w:left w:val="nil"/>
              <w:bottom w:val="single" w:sz="4" w:space="0" w:color="auto"/>
              <w:right w:val="nil"/>
            </w:tcBorders>
            <w:vAlign w:val="center"/>
          </w:tcPr>
          <w:p w:rsidR="000C4D38" w:rsidRPr="00765C97" w:rsidRDefault="00BF5B6E" w:rsidP="006162C8">
            <w:pPr>
              <w:ind w:right="130"/>
              <w:jc w:val="right"/>
              <w:rPr>
                <w:rFonts w:ascii="Arial" w:hAnsi="Arial"/>
                <w:b/>
                <w:sz w:val="20"/>
                <w:lang w:val="pl-PL"/>
              </w:rPr>
            </w:pPr>
            <w:r w:rsidRPr="00765C97">
              <w:rPr>
                <w:rFonts w:ascii="Arial" w:hAnsi="Arial"/>
                <w:b/>
                <w:sz w:val="20"/>
                <w:lang w:val="pl-PL"/>
              </w:rPr>
              <w:t>1 120</w:t>
            </w:r>
          </w:p>
        </w:tc>
        <w:tc>
          <w:tcPr>
            <w:tcW w:w="1620" w:type="dxa"/>
            <w:tcBorders>
              <w:top w:val="single" w:sz="4" w:space="0" w:color="auto"/>
              <w:left w:val="nil"/>
              <w:bottom w:val="single" w:sz="4" w:space="0" w:color="auto"/>
              <w:right w:val="nil"/>
            </w:tcBorders>
            <w:vAlign w:val="center"/>
          </w:tcPr>
          <w:p w:rsidR="000C4D38" w:rsidRPr="00765C97" w:rsidRDefault="000C4D38" w:rsidP="00496C6C">
            <w:pPr>
              <w:ind w:right="130"/>
              <w:jc w:val="right"/>
              <w:rPr>
                <w:rFonts w:ascii="Arial" w:hAnsi="Arial"/>
                <w:b/>
                <w:sz w:val="20"/>
                <w:lang w:val="pl-PL"/>
              </w:rPr>
            </w:pPr>
            <w:r w:rsidRPr="00765C97">
              <w:rPr>
                <w:rFonts w:ascii="Arial" w:hAnsi="Arial"/>
                <w:b/>
                <w:sz w:val="20"/>
                <w:lang w:val="pl-PL"/>
              </w:rPr>
              <w:t>555</w:t>
            </w:r>
          </w:p>
        </w:tc>
      </w:tr>
    </w:tbl>
    <w:p w:rsidR="0080385D" w:rsidRPr="00765C97" w:rsidRDefault="0080385D" w:rsidP="00135A9A">
      <w:pPr>
        <w:pStyle w:val="Nagwek4"/>
        <w:numPr>
          <w:ilvl w:val="2"/>
          <w:numId w:val="28"/>
        </w:numPr>
        <w:spacing w:before="240" w:after="120" w:line="240" w:lineRule="auto"/>
        <w:ind w:left="1276" w:hanging="851"/>
        <w:rPr>
          <w:rFonts w:ascii="Arial" w:hAnsi="Arial" w:cs="Arial"/>
          <w:sz w:val="20"/>
          <w:szCs w:val="20"/>
          <w:lang w:val="pl-PL"/>
        </w:rPr>
      </w:pPr>
      <w:r w:rsidRPr="00765C97">
        <w:rPr>
          <w:rFonts w:ascii="Arial" w:hAnsi="Arial" w:cs="Arial"/>
          <w:bCs w:val="0"/>
          <w:color w:val="000000"/>
          <w:sz w:val="20"/>
          <w:szCs w:val="20"/>
          <w:lang w:val="pl-PL" w:eastAsia="pl-PL"/>
        </w:rPr>
        <w:t>Transakcje z podmiotami stowarzyszonymi i z podmiotami powiązanymi osobowo</w:t>
      </w:r>
    </w:p>
    <w:tbl>
      <w:tblPr>
        <w:tblW w:w="8222" w:type="dxa"/>
        <w:tblInd w:w="70" w:type="dxa"/>
        <w:tblCellMar>
          <w:left w:w="0" w:type="dxa"/>
          <w:right w:w="0" w:type="dxa"/>
        </w:tblCellMar>
        <w:tblLook w:val="04A0"/>
      </w:tblPr>
      <w:tblGrid>
        <w:gridCol w:w="6662"/>
        <w:gridCol w:w="1560"/>
      </w:tblGrid>
      <w:tr w:rsidR="0080385D" w:rsidRPr="00765C97" w:rsidTr="00440CC1">
        <w:trPr>
          <w:trHeight w:val="300"/>
        </w:trPr>
        <w:tc>
          <w:tcPr>
            <w:tcW w:w="6662" w:type="dxa"/>
            <w:noWrap/>
            <w:tcMar>
              <w:top w:w="0" w:type="dxa"/>
              <w:left w:w="70" w:type="dxa"/>
              <w:bottom w:w="0" w:type="dxa"/>
              <w:right w:w="70" w:type="dxa"/>
            </w:tcMar>
            <w:vAlign w:val="bottom"/>
            <w:hideMark/>
          </w:tcPr>
          <w:p w:rsidR="0080385D" w:rsidRPr="00765C97" w:rsidRDefault="0080385D">
            <w:pPr>
              <w:rPr>
                <w:rFonts w:ascii="Arial" w:hAnsi="Arial" w:cs="Arial"/>
                <w:sz w:val="20"/>
                <w:szCs w:val="20"/>
                <w:lang w:val="pl-PL" w:eastAsia="pl-PL"/>
              </w:rPr>
            </w:pPr>
          </w:p>
        </w:tc>
        <w:tc>
          <w:tcPr>
            <w:tcW w:w="1560" w:type="dxa"/>
            <w:noWrap/>
            <w:tcMar>
              <w:top w:w="0" w:type="dxa"/>
              <w:left w:w="70" w:type="dxa"/>
              <w:bottom w:w="0" w:type="dxa"/>
              <w:right w:w="70" w:type="dxa"/>
            </w:tcMar>
            <w:vAlign w:val="center"/>
            <w:hideMark/>
          </w:tcPr>
          <w:p w:rsidR="0080385D" w:rsidRPr="00765C97" w:rsidRDefault="0080385D" w:rsidP="00665077">
            <w:pPr>
              <w:jc w:val="right"/>
              <w:rPr>
                <w:rFonts w:ascii="Arial" w:eastAsia="Calibri" w:hAnsi="Arial" w:cs="Arial"/>
                <w:b/>
                <w:color w:val="000000"/>
                <w:sz w:val="20"/>
                <w:szCs w:val="20"/>
                <w:lang w:eastAsia="pl-PL"/>
              </w:rPr>
            </w:pPr>
            <w:r w:rsidRPr="00765C97">
              <w:rPr>
                <w:rFonts w:ascii="Arial" w:hAnsi="Arial" w:cs="Arial"/>
                <w:b/>
                <w:color w:val="000000"/>
                <w:sz w:val="20"/>
                <w:szCs w:val="20"/>
                <w:lang w:eastAsia="pl-PL"/>
              </w:rPr>
              <w:t>w tys. PLN</w:t>
            </w:r>
          </w:p>
        </w:tc>
      </w:tr>
      <w:tr w:rsidR="0080385D" w:rsidRPr="00765C97" w:rsidTr="00440CC1">
        <w:trPr>
          <w:trHeight w:val="300"/>
        </w:trPr>
        <w:tc>
          <w:tcPr>
            <w:tcW w:w="6662" w:type="dxa"/>
            <w:noWrap/>
            <w:tcMar>
              <w:top w:w="0" w:type="dxa"/>
              <w:left w:w="70" w:type="dxa"/>
              <w:bottom w:w="0" w:type="dxa"/>
              <w:right w:w="70" w:type="dxa"/>
            </w:tcMar>
            <w:vAlign w:val="center"/>
            <w:hideMark/>
          </w:tcPr>
          <w:p w:rsidR="0080385D" w:rsidRPr="00765C97" w:rsidRDefault="0080385D" w:rsidP="0080385D">
            <w:pPr>
              <w:rPr>
                <w:rFonts w:ascii="Arial" w:eastAsia="Calibri" w:hAnsi="Arial" w:cs="Arial"/>
                <w:sz w:val="20"/>
                <w:szCs w:val="20"/>
                <w:lang w:val="pl-PL" w:eastAsia="pl-PL"/>
              </w:rPr>
            </w:pPr>
            <w:r w:rsidRPr="00765C97">
              <w:rPr>
                <w:rFonts w:ascii="Arial" w:hAnsi="Arial" w:cs="Arial"/>
                <w:sz w:val="20"/>
                <w:szCs w:val="20"/>
                <w:lang w:val="pl-PL" w:eastAsia="pl-PL"/>
              </w:rPr>
              <w:t>Zakupy od podmiotów powiązanych osobowo:</w:t>
            </w:r>
          </w:p>
        </w:tc>
        <w:tc>
          <w:tcPr>
            <w:tcW w:w="1560" w:type="dxa"/>
            <w:noWrap/>
            <w:tcMar>
              <w:top w:w="0" w:type="dxa"/>
              <w:left w:w="70" w:type="dxa"/>
              <w:bottom w:w="0" w:type="dxa"/>
              <w:right w:w="70" w:type="dxa"/>
            </w:tcMar>
            <w:vAlign w:val="center"/>
          </w:tcPr>
          <w:p w:rsidR="0080385D" w:rsidRPr="00765C97" w:rsidRDefault="00382D56" w:rsidP="00665077">
            <w:pPr>
              <w:jc w:val="right"/>
              <w:rPr>
                <w:rFonts w:ascii="Arial" w:eastAsia="Calibri" w:hAnsi="Arial" w:cs="Arial"/>
                <w:sz w:val="20"/>
                <w:szCs w:val="20"/>
                <w:lang w:val="pl-PL" w:eastAsia="pl-PL"/>
              </w:rPr>
            </w:pPr>
            <w:r w:rsidRPr="00765C97">
              <w:rPr>
                <w:rFonts w:ascii="Arial" w:eastAsia="Calibri" w:hAnsi="Arial" w:cs="Arial"/>
                <w:sz w:val="20"/>
                <w:szCs w:val="20"/>
                <w:lang w:val="pl-PL" w:eastAsia="pl-PL"/>
              </w:rPr>
              <w:t>1 230</w:t>
            </w:r>
          </w:p>
        </w:tc>
      </w:tr>
      <w:tr w:rsidR="0080385D" w:rsidRPr="00765C97" w:rsidTr="00440CC1">
        <w:trPr>
          <w:trHeight w:val="300"/>
        </w:trPr>
        <w:tc>
          <w:tcPr>
            <w:tcW w:w="6662" w:type="dxa"/>
            <w:noWrap/>
            <w:tcMar>
              <w:top w:w="0" w:type="dxa"/>
              <w:left w:w="70" w:type="dxa"/>
              <w:bottom w:w="0" w:type="dxa"/>
              <w:right w:w="70" w:type="dxa"/>
            </w:tcMar>
            <w:vAlign w:val="center"/>
            <w:hideMark/>
          </w:tcPr>
          <w:p w:rsidR="0080385D" w:rsidRPr="00765C97" w:rsidRDefault="0080385D" w:rsidP="0080385D">
            <w:pPr>
              <w:rPr>
                <w:rFonts w:ascii="Arial" w:eastAsia="Calibri" w:hAnsi="Arial" w:cs="Arial"/>
                <w:sz w:val="20"/>
                <w:szCs w:val="20"/>
                <w:lang w:val="pl-PL" w:eastAsia="pl-PL"/>
              </w:rPr>
            </w:pPr>
            <w:r w:rsidRPr="00765C97">
              <w:rPr>
                <w:rFonts w:ascii="Arial" w:hAnsi="Arial" w:cs="Arial"/>
                <w:sz w:val="20"/>
                <w:szCs w:val="20"/>
                <w:lang w:val="pl-PL" w:eastAsia="pl-PL"/>
              </w:rPr>
              <w:t>Sprzedaż do podmiotów powiązanych osobowo:</w:t>
            </w:r>
          </w:p>
        </w:tc>
        <w:tc>
          <w:tcPr>
            <w:tcW w:w="1560" w:type="dxa"/>
            <w:noWrap/>
            <w:tcMar>
              <w:top w:w="0" w:type="dxa"/>
              <w:left w:w="70" w:type="dxa"/>
              <w:bottom w:w="0" w:type="dxa"/>
              <w:right w:w="70" w:type="dxa"/>
            </w:tcMar>
            <w:vAlign w:val="center"/>
          </w:tcPr>
          <w:p w:rsidR="0080385D" w:rsidRPr="00765C97" w:rsidRDefault="00382D56" w:rsidP="00665077">
            <w:pPr>
              <w:jc w:val="right"/>
              <w:rPr>
                <w:rFonts w:ascii="Arial" w:eastAsia="Calibri" w:hAnsi="Arial" w:cs="Arial"/>
                <w:sz w:val="20"/>
                <w:szCs w:val="20"/>
                <w:lang w:val="pl-PL" w:eastAsia="pl-PL"/>
              </w:rPr>
            </w:pPr>
            <w:r w:rsidRPr="00765C97">
              <w:rPr>
                <w:rFonts w:ascii="Arial" w:eastAsia="Calibri" w:hAnsi="Arial" w:cs="Arial"/>
                <w:sz w:val="20"/>
                <w:szCs w:val="20"/>
                <w:lang w:val="pl-PL" w:eastAsia="pl-PL"/>
              </w:rPr>
              <w:t>267</w:t>
            </w:r>
          </w:p>
        </w:tc>
      </w:tr>
      <w:tr w:rsidR="0080385D" w:rsidRPr="00765C97" w:rsidTr="00440CC1">
        <w:trPr>
          <w:trHeight w:val="300"/>
        </w:trPr>
        <w:tc>
          <w:tcPr>
            <w:tcW w:w="6662" w:type="dxa"/>
            <w:noWrap/>
            <w:tcMar>
              <w:top w:w="0" w:type="dxa"/>
              <w:left w:w="70" w:type="dxa"/>
              <w:bottom w:w="0" w:type="dxa"/>
              <w:right w:w="70" w:type="dxa"/>
            </w:tcMar>
            <w:vAlign w:val="center"/>
            <w:hideMark/>
          </w:tcPr>
          <w:p w:rsidR="00382D56" w:rsidRPr="00765C97" w:rsidRDefault="0080385D" w:rsidP="003D6C36">
            <w:pPr>
              <w:rPr>
                <w:rFonts w:ascii="Arial" w:eastAsia="Calibri" w:hAnsi="Arial" w:cs="Arial"/>
                <w:sz w:val="20"/>
                <w:szCs w:val="20"/>
                <w:lang w:val="pl-PL" w:eastAsia="pl-PL"/>
              </w:rPr>
            </w:pPr>
            <w:r w:rsidRPr="00765C97">
              <w:rPr>
                <w:rFonts w:ascii="Arial" w:hAnsi="Arial" w:cs="Arial"/>
                <w:sz w:val="20"/>
                <w:szCs w:val="20"/>
                <w:lang w:val="pl-PL" w:eastAsia="pl-PL"/>
              </w:rPr>
              <w:t>Pożyczki i odsetki od pożyczek spłacone przez podmioty powiązane osobowo</w:t>
            </w:r>
          </w:p>
        </w:tc>
        <w:tc>
          <w:tcPr>
            <w:tcW w:w="1560" w:type="dxa"/>
            <w:noWrap/>
            <w:tcMar>
              <w:top w:w="0" w:type="dxa"/>
              <w:left w:w="70" w:type="dxa"/>
              <w:bottom w:w="0" w:type="dxa"/>
              <w:right w:w="70" w:type="dxa"/>
            </w:tcMar>
            <w:vAlign w:val="center"/>
          </w:tcPr>
          <w:p w:rsidR="00382D56" w:rsidRPr="00765C97" w:rsidRDefault="00382D56" w:rsidP="003D6C36">
            <w:pPr>
              <w:jc w:val="right"/>
              <w:rPr>
                <w:rFonts w:ascii="Arial" w:eastAsia="Calibri" w:hAnsi="Arial" w:cs="Arial"/>
                <w:sz w:val="20"/>
                <w:szCs w:val="20"/>
                <w:lang w:val="pl-PL" w:eastAsia="pl-PL"/>
              </w:rPr>
            </w:pPr>
            <w:r w:rsidRPr="00765C97">
              <w:rPr>
                <w:rFonts w:ascii="Arial" w:eastAsia="Calibri" w:hAnsi="Arial" w:cs="Arial"/>
                <w:sz w:val="20"/>
                <w:szCs w:val="20"/>
                <w:lang w:val="pl-PL" w:eastAsia="pl-PL"/>
              </w:rPr>
              <w:t>450</w:t>
            </w:r>
          </w:p>
        </w:tc>
      </w:tr>
      <w:tr w:rsidR="003D6C36" w:rsidRPr="00765C97" w:rsidTr="00440CC1">
        <w:trPr>
          <w:trHeight w:val="300"/>
        </w:trPr>
        <w:tc>
          <w:tcPr>
            <w:tcW w:w="6662" w:type="dxa"/>
            <w:noWrap/>
            <w:tcMar>
              <w:top w:w="0" w:type="dxa"/>
              <w:left w:w="70" w:type="dxa"/>
              <w:bottom w:w="0" w:type="dxa"/>
              <w:right w:w="70" w:type="dxa"/>
            </w:tcMar>
            <w:vAlign w:val="center"/>
          </w:tcPr>
          <w:p w:rsidR="003D6C36" w:rsidRPr="00765C97" w:rsidRDefault="003D6C36" w:rsidP="0080385D">
            <w:pPr>
              <w:rPr>
                <w:rFonts w:ascii="Arial" w:hAnsi="Arial" w:cs="Arial"/>
                <w:sz w:val="20"/>
                <w:szCs w:val="20"/>
                <w:lang w:val="pl-PL" w:eastAsia="pl-PL"/>
              </w:rPr>
            </w:pPr>
            <w:r w:rsidRPr="00765C97">
              <w:rPr>
                <w:rFonts w:ascii="Arial" w:hAnsi="Arial" w:cs="Arial"/>
                <w:sz w:val="20"/>
                <w:szCs w:val="20"/>
                <w:lang w:val="pl-PL" w:eastAsia="pl-PL"/>
              </w:rPr>
              <w:t>Pożyczki i odsetki od pożyczek udzielonym podmiotom powiązanym osobowo</w:t>
            </w:r>
          </w:p>
        </w:tc>
        <w:tc>
          <w:tcPr>
            <w:tcW w:w="1560" w:type="dxa"/>
            <w:noWrap/>
            <w:tcMar>
              <w:top w:w="0" w:type="dxa"/>
              <w:left w:w="70" w:type="dxa"/>
              <w:bottom w:w="0" w:type="dxa"/>
              <w:right w:w="70" w:type="dxa"/>
            </w:tcMar>
            <w:vAlign w:val="center"/>
          </w:tcPr>
          <w:p w:rsidR="003D6C36" w:rsidRPr="00765C97" w:rsidRDefault="003D6C36" w:rsidP="00665077">
            <w:pPr>
              <w:jc w:val="right"/>
              <w:rPr>
                <w:rFonts w:ascii="Arial" w:eastAsia="Calibri" w:hAnsi="Arial" w:cs="Arial"/>
                <w:sz w:val="20"/>
                <w:szCs w:val="20"/>
                <w:lang w:val="pl-PL" w:eastAsia="pl-PL"/>
              </w:rPr>
            </w:pPr>
            <w:r w:rsidRPr="00765C97">
              <w:rPr>
                <w:rFonts w:ascii="Arial" w:eastAsia="Calibri" w:hAnsi="Arial" w:cs="Arial"/>
                <w:sz w:val="20"/>
                <w:szCs w:val="20"/>
                <w:lang w:val="pl-PL" w:eastAsia="pl-PL"/>
              </w:rPr>
              <w:t>300</w:t>
            </w:r>
          </w:p>
        </w:tc>
      </w:tr>
      <w:tr w:rsidR="0080385D" w:rsidRPr="00765C97" w:rsidTr="00440CC1">
        <w:trPr>
          <w:trHeight w:val="300"/>
        </w:trPr>
        <w:tc>
          <w:tcPr>
            <w:tcW w:w="6662" w:type="dxa"/>
            <w:noWrap/>
            <w:tcMar>
              <w:top w:w="0" w:type="dxa"/>
              <w:left w:w="70" w:type="dxa"/>
              <w:bottom w:w="0" w:type="dxa"/>
              <w:right w:w="70" w:type="dxa"/>
            </w:tcMar>
            <w:vAlign w:val="center"/>
            <w:hideMark/>
          </w:tcPr>
          <w:p w:rsidR="0080385D" w:rsidRPr="00765C97" w:rsidRDefault="0080385D" w:rsidP="0080385D">
            <w:pPr>
              <w:rPr>
                <w:rFonts w:ascii="Arial" w:hAnsi="Arial" w:cs="Arial"/>
                <w:sz w:val="20"/>
                <w:szCs w:val="20"/>
                <w:lang w:val="pl-PL" w:eastAsia="pl-PL"/>
              </w:rPr>
            </w:pPr>
          </w:p>
        </w:tc>
        <w:tc>
          <w:tcPr>
            <w:tcW w:w="1560" w:type="dxa"/>
            <w:noWrap/>
            <w:tcMar>
              <w:top w:w="0" w:type="dxa"/>
              <w:left w:w="70" w:type="dxa"/>
              <w:bottom w:w="0" w:type="dxa"/>
              <w:right w:w="70" w:type="dxa"/>
            </w:tcMar>
            <w:vAlign w:val="center"/>
          </w:tcPr>
          <w:p w:rsidR="0080385D" w:rsidRPr="00765C97" w:rsidRDefault="0080385D" w:rsidP="00665077">
            <w:pPr>
              <w:jc w:val="right"/>
              <w:rPr>
                <w:rFonts w:ascii="Arial" w:hAnsi="Arial" w:cs="Arial"/>
                <w:sz w:val="20"/>
                <w:szCs w:val="20"/>
                <w:lang w:val="pl-PL" w:eastAsia="pl-PL"/>
              </w:rPr>
            </w:pPr>
          </w:p>
        </w:tc>
      </w:tr>
      <w:tr w:rsidR="0080385D" w:rsidRPr="00765C97" w:rsidTr="00440CC1">
        <w:trPr>
          <w:trHeight w:val="300"/>
        </w:trPr>
        <w:tc>
          <w:tcPr>
            <w:tcW w:w="6662" w:type="dxa"/>
            <w:noWrap/>
            <w:tcMar>
              <w:top w:w="0" w:type="dxa"/>
              <w:left w:w="70" w:type="dxa"/>
              <w:bottom w:w="0" w:type="dxa"/>
              <w:right w:w="70" w:type="dxa"/>
            </w:tcMar>
            <w:vAlign w:val="center"/>
            <w:hideMark/>
          </w:tcPr>
          <w:p w:rsidR="0080385D" w:rsidRPr="00765C97" w:rsidRDefault="0080385D" w:rsidP="0080385D">
            <w:pPr>
              <w:rPr>
                <w:rFonts w:ascii="Arial" w:eastAsia="Calibri" w:hAnsi="Arial" w:cs="Arial"/>
                <w:sz w:val="20"/>
                <w:szCs w:val="20"/>
                <w:lang w:eastAsia="pl-PL"/>
              </w:rPr>
            </w:pPr>
            <w:r w:rsidRPr="00765C97">
              <w:rPr>
                <w:rFonts w:ascii="Arial" w:hAnsi="Arial" w:cs="Arial"/>
                <w:sz w:val="20"/>
                <w:szCs w:val="20"/>
                <w:lang w:eastAsia="pl-PL"/>
              </w:rPr>
              <w:t>Zakupy od podmiotów stowarzyszonych:</w:t>
            </w:r>
          </w:p>
        </w:tc>
        <w:tc>
          <w:tcPr>
            <w:tcW w:w="1560" w:type="dxa"/>
            <w:noWrap/>
            <w:tcMar>
              <w:top w:w="0" w:type="dxa"/>
              <w:left w:w="70" w:type="dxa"/>
              <w:bottom w:w="0" w:type="dxa"/>
              <w:right w:w="70" w:type="dxa"/>
            </w:tcMar>
            <w:vAlign w:val="center"/>
          </w:tcPr>
          <w:p w:rsidR="0080385D" w:rsidRPr="00765C97" w:rsidRDefault="00382D56" w:rsidP="00665077">
            <w:pPr>
              <w:jc w:val="right"/>
              <w:rPr>
                <w:rFonts w:ascii="Arial" w:eastAsia="Calibri" w:hAnsi="Arial" w:cs="Arial"/>
                <w:sz w:val="20"/>
                <w:szCs w:val="20"/>
                <w:lang w:eastAsia="pl-PL"/>
              </w:rPr>
            </w:pPr>
            <w:r w:rsidRPr="00765C97">
              <w:rPr>
                <w:rFonts w:ascii="Arial" w:eastAsia="Calibri" w:hAnsi="Arial" w:cs="Arial"/>
                <w:sz w:val="20"/>
                <w:szCs w:val="20"/>
                <w:lang w:eastAsia="pl-PL"/>
              </w:rPr>
              <w:t>3 734</w:t>
            </w:r>
          </w:p>
        </w:tc>
      </w:tr>
      <w:tr w:rsidR="0080385D" w:rsidRPr="00765C97" w:rsidTr="00440CC1">
        <w:trPr>
          <w:trHeight w:val="300"/>
        </w:trPr>
        <w:tc>
          <w:tcPr>
            <w:tcW w:w="6662" w:type="dxa"/>
            <w:noWrap/>
            <w:tcMar>
              <w:top w:w="0" w:type="dxa"/>
              <w:left w:w="70" w:type="dxa"/>
              <w:bottom w:w="0" w:type="dxa"/>
              <w:right w:w="70" w:type="dxa"/>
            </w:tcMar>
            <w:vAlign w:val="center"/>
            <w:hideMark/>
          </w:tcPr>
          <w:p w:rsidR="0080385D" w:rsidRPr="00765C97" w:rsidRDefault="0080385D" w:rsidP="0080385D">
            <w:pPr>
              <w:rPr>
                <w:rFonts w:ascii="Arial" w:eastAsia="Calibri" w:hAnsi="Arial" w:cs="Arial"/>
                <w:sz w:val="20"/>
                <w:szCs w:val="20"/>
                <w:lang w:eastAsia="pl-PL"/>
              </w:rPr>
            </w:pPr>
            <w:r w:rsidRPr="00765C97">
              <w:rPr>
                <w:rFonts w:ascii="Arial" w:hAnsi="Arial" w:cs="Arial"/>
                <w:sz w:val="20"/>
                <w:szCs w:val="20"/>
                <w:lang w:eastAsia="pl-PL"/>
              </w:rPr>
              <w:t>Sprzedaż do podmiotów stowarzyszonych:</w:t>
            </w:r>
          </w:p>
        </w:tc>
        <w:tc>
          <w:tcPr>
            <w:tcW w:w="1560" w:type="dxa"/>
            <w:noWrap/>
            <w:tcMar>
              <w:top w:w="0" w:type="dxa"/>
              <w:left w:w="70" w:type="dxa"/>
              <w:bottom w:w="0" w:type="dxa"/>
              <w:right w:w="70" w:type="dxa"/>
            </w:tcMar>
            <w:vAlign w:val="center"/>
          </w:tcPr>
          <w:p w:rsidR="0080385D" w:rsidRPr="00765C97" w:rsidRDefault="00382D56" w:rsidP="00665077">
            <w:pPr>
              <w:jc w:val="right"/>
              <w:rPr>
                <w:rFonts w:ascii="Arial" w:eastAsia="Calibri" w:hAnsi="Arial" w:cs="Arial"/>
                <w:sz w:val="20"/>
                <w:szCs w:val="20"/>
                <w:lang w:eastAsia="pl-PL"/>
              </w:rPr>
            </w:pPr>
            <w:r w:rsidRPr="00765C97">
              <w:rPr>
                <w:rFonts w:ascii="Arial" w:eastAsia="Calibri" w:hAnsi="Arial" w:cs="Arial"/>
                <w:sz w:val="20"/>
                <w:szCs w:val="20"/>
                <w:lang w:eastAsia="pl-PL"/>
              </w:rPr>
              <w:t>201</w:t>
            </w:r>
          </w:p>
        </w:tc>
      </w:tr>
      <w:tr w:rsidR="0080385D" w:rsidRPr="00765C97" w:rsidTr="00440CC1">
        <w:trPr>
          <w:trHeight w:val="300"/>
        </w:trPr>
        <w:tc>
          <w:tcPr>
            <w:tcW w:w="6662" w:type="dxa"/>
            <w:noWrap/>
            <w:tcMar>
              <w:top w:w="0" w:type="dxa"/>
              <w:left w:w="70" w:type="dxa"/>
              <w:bottom w:w="0" w:type="dxa"/>
              <w:right w:w="70" w:type="dxa"/>
            </w:tcMar>
            <w:vAlign w:val="center"/>
            <w:hideMark/>
          </w:tcPr>
          <w:p w:rsidR="0080385D" w:rsidRPr="00765C97" w:rsidRDefault="0080385D" w:rsidP="0080385D">
            <w:pPr>
              <w:rPr>
                <w:rFonts w:ascii="Arial" w:eastAsia="Calibri" w:hAnsi="Arial" w:cs="Arial"/>
                <w:sz w:val="20"/>
                <w:szCs w:val="20"/>
                <w:lang w:val="pl-PL" w:eastAsia="pl-PL"/>
              </w:rPr>
            </w:pPr>
            <w:r w:rsidRPr="00765C97">
              <w:rPr>
                <w:rFonts w:ascii="Arial" w:hAnsi="Arial" w:cs="Arial"/>
                <w:sz w:val="20"/>
                <w:szCs w:val="20"/>
                <w:lang w:val="pl-PL" w:eastAsia="pl-PL"/>
              </w:rPr>
              <w:t>Pożyczki i odsetki od pożyczek spłacone przez podmioty stowarzyszone</w:t>
            </w:r>
          </w:p>
        </w:tc>
        <w:tc>
          <w:tcPr>
            <w:tcW w:w="1560" w:type="dxa"/>
            <w:noWrap/>
            <w:tcMar>
              <w:top w:w="0" w:type="dxa"/>
              <w:left w:w="70" w:type="dxa"/>
              <w:bottom w:w="0" w:type="dxa"/>
              <w:right w:w="70" w:type="dxa"/>
            </w:tcMar>
            <w:vAlign w:val="center"/>
          </w:tcPr>
          <w:p w:rsidR="00382D56" w:rsidRPr="00765C97" w:rsidRDefault="00382D56" w:rsidP="00666931">
            <w:pPr>
              <w:jc w:val="right"/>
              <w:rPr>
                <w:rFonts w:ascii="Arial" w:eastAsia="Calibri" w:hAnsi="Arial" w:cs="Arial"/>
                <w:sz w:val="20"/>
                <w:szCs w:val="20"/>
                <w:lang w:val="pl-PL" w:eastAsia="pl-PL"/>
              </w:rPr>
            </w:pPr>
            <w:r w:rsidRPr="00765C97">
              <w:rPr>
                <w:rFonts w:ascii="Arial" w:eastAsia="Calibri" w:hAnsi="Arial" w:cs="Arial"/>
                <w:sz w:val="20"/>
                <w:szCs w:val="20"/>
                <w:lang w:val="pl-PL" w:eastAsia="pl-PL"/>
              </w:rPr>
              <w:t>25</w:t>
            </w:r>
          </w:p>
        </w:tc>
      </w:tr>
      <w:tr w:rsidR="00382D56" w:rsidRPr="00765C97" w:rsidTr="00440CC1">
        <w:trPr>
          <w:trHeight w:val="300"/>
        </w:trPr>
        <w:tc>
          <w:tcPr>
            <w:tcW w:w="6662" w:type="dxa"/>
            <w:noWrap/>
            <w:tcMar>
              <w:top w:w="0" w:type="dxa"/>
              <w:left w:w="70" w:type="dxa"/>
              <w:bottom w:w="0" w:type="dxa"/>
              <w:right w:w="70" w:type="dxa"/>
            </w:tcMar>
            <w:vAlign w:val="center"/>
          </w:tcPr>
          <w:p w:rsidR="00382D56" w:rsidRPr="00765C97" w:rsidRDefault="00382D56" w:rsidP="0080385D">
            <w:pPr>
              <w:rPr>
                <w:rFonts w:ascii="Arial" w:hAnsi="Arial" w:cs="Arial"/>
                <w:sz w:val="20"/>
                <w:szCs w:val="20"/>
                <w:lang w:val="pl-PL" w:eastAsia="pl-PL"/>
              </w:rPr>
            </w:pPr>
            <w:r w:rsidRPr="00765C97">
              <w:rPr>
                <w:rFonts w:ascii="Arial" w:hAnsi="Arial" w:cs="Arial"/>
                <w:sz w:val="20"/>
                <w:szCs w:val="20"/>
                <w:lang w:val="pl-PL" w:eastAsia="pl-PL"/>
              </w:rPr>
              <w:t>Pożyczki i odsetki od pożyczek udzielonym podmiotom stowarzyszonym</w:t>
            </w:r>
          </w:p>
        </w:tc>
        <w:tc>
          <w:tcPr>
            <w:tcW w:w="1560" w:type="dxa"/>
            <w:noWrap/>
            <w:tcMar>
              <w:top w:w="0" w:type="dxa"/>
              <w:left w:w="70" w:type="dxa"/>
              <w:bottom w:w="0" w:type="dxa"/>
              <w:right w:w="70" w:type="dxa"/>
            </w:tcMar>
            <w:vAlign w:val="center"/>
          </w:tcPr>
          <w:p w:rsidR="00382D56" w:rsidRPr="00765C97" w:rsidRDefault="00382D56" w:rsidP="00665077">
            <w:pPr>
              <w:jc w:val="right"/>
              <w:rPr>
                <w:rFonts w:ascii="Arial" w:eastAsia="Calibri" w:hAnsi="Arial" w:cs="Arial"/>
                <w:sz w:val="20"/>
                <w:szCs w:val="20"/>
                <w:lang w:val="pl-PL" w:eastAsia="pl-PL"/>
              </w:rPr>
            </w:pPr>
            <w:r w:rsidRPr="00765C97">
              <w:rPr>
                <w:rFonts w:ascii="Arial" w:eastAsia="Calibri" w:hAnsi="Arial" w:cs="Arial"/>
                <w:sz w:val="20"/>
                <w:szCs w:val="20"/>
                <w:lang w:val="pl-PL" w:eastAsia="pl-PL"/>
              </w:rPr>
              <w:t>298</w:t>
            </w:r>
          </w:p>
        </w:tc>
      </w:tr>
    </w:tbl>
    <w:p w:rsidR="00B24DA9" w:rsidRPr="00765C97" w:rsidRDefault="00B24DA9" w:rsidP="00135A9A">
      <w:pPr>
        <w:pStyle w:val="Nagwek3"/>
        <w:numPr>
          <w:ilvl w:val="1"/>
          <w:numId w:val="22"/>
        </w:numPr>
        <w:spacing w:after="240"/>
        <w:ind w:left="709" w:hanging="567"/>
        <w:rPr>
          <w:sz w:val="20"/>
          <w:lang w:val="pl-PL"/>
        </w:rPr>
      </w:pPr>
      <w:bookmarkStart w:id="89" w:name="_Toc353973242"/>
      <w:r w:rsidRPr="00765C97">
        <w:rPr>
          <w:sz w:val="20"/>
          <w:lang w:val="pl-PL"/>
        </w:rPr>
        <w:t>Wynagrodzenia osób zarządzających i nadzorujących w 20</w:t>
      </w:r>
      <w:r w:rsidR="004B1467" w:rsidRPr="00765C97">
        <w:rPr>
          <w:sz w:val="20"/>
          <w:lang w:val="pl-PL"/>
        </w:rPr>
        <w:t>1</w:t>
      </w:r>
      <w:r w:rsidR="000C4D38" w:rsidRPr="00765C97">
        <w:rPr>
          <w:sz w:val="20"/>
          <w:lang w:val="pl-PL"/>
        </w:rPr>
        <w:t>2</w:t>
      </w:r>
      <w:r w:rsidRPr="00765C97">
        <w:rPr>
          <w:sz w:val="20"/>
          <w:lang w:val="pl-PL"/>
        </w:rPr>
        <w:t xml:space="preserve"> i w 20</w:t>
      </w:r>
      <w:r w:rsidR="00B20278" w:rsidRPr="00765C97">
        <w:rPr>
          <w:sz w:val="20"/>
          <w:lang w:val="pl-PL"/>
        </w:rPr>
        <w:t>1</w:t>
      </w:r>
      <w:r w:rsidR="000C4D38" w:rsidRPr="00765C97">
        <w:rPr>
          <w:sz w:val="20"/>
          <w:lang w:val="pl-PL"/>
        </w:rPr>
        <w:t>1</w:t>
      </w:r>
      <w:r w:rsidRPr="00765C97">
        <w:rPr>
          <w:sz w:val="20"/>
          <w:lang w:val="pl-PL"/>
        </w:rPr>
        <w:t xml:space="preserve"> roku</w:t>
      </w:r>
      <w:bookmarkEnd w:id="89"/>
      <w:r w:rsidRPr="00765C97">
        <w:rPr>
          <w:sz w:val="20"/>
          <w:lang w:val="pl-PL"/>
        </w:rPr>
        <w:t xml:space="preserve"> </w:t>
      </w:r>
    </w:p>
    <w:p w:rsidR="00B24DA9" w:rsidRPr="00765C97" w:rsidRDefault="000C4D38" w:rsidP="00666931">
      <w:pPr>
        <w:keepLines/>
        <w:widowControl/>
        <w:adjustRightInd w:val="0"/>
        <w:jc w:val="both"/>
        <w:rPr>
          <w:rFonts w:ascii="Arial" w:hAnsi="Arial"/>
          <w:sz w:val="20"/>
          <w:lang w:val="pl-PL"/>
        </w:rPr>
      </w:pPr>
      <w:r w:rsidRPr="00765C97">
        <w:rPr>
          <w:rFonts w:ascii="Arial" w:hAnsi="Arial"/>
          <w:sz w:val="20"/>
          <w:lang w:val="pl-PL"/>
        </w:rPr>
        <w:t>W 2012</w:t>
      </w:r>
      <w:r w:rsidR="00B20278" w:rsidRPr="00765C97">
        <w:rPr>
          <w:rFonts w:ascii="Arial" w:hAnsi="Arial"/>
          <w:sz w:val="20"/>
          <w:lang w:val="pl-PL"/>
        </w:rPr>
        <w:t xml:space="preserve"> roku wynagrodzenia członków zarządu Comarch S.A. wyniosły </w:t>
      </w:r>
      <w:r w:rsidR="000972FB" w:rsidRPr="00765C97">
        <w:rPr>
          <w:rFonts w:ascii="Arial" w:hAnsi="Arial"/>
          <w:sz w:val="20"/>
          <w:lang w:val="pl-PL"/>
        </w:rPr>
        <w:t>13 400 393,76 zł</w:t>
      </w:r>
      <w:r w:rsidR="00B20278" w:rsidRPr="00765C97">
        <w:rPr>
          <w:rFonts w:ascii="Arial" w:hAnsi="Arial"/>
          <w:sz w:val="20"/>
          <w:lang w:val="pl-PL"/>
        </w:rPr>
        <w:t xml:space="preserve">. </w:t>
      </w:r>
      <w:r w:rsidR="0031442C" w:rsidRPr="00765C97">
        <w:rPr>
          <w:rFonts w:ascii="Arial" w:hAnsi="Arial"/>
          <w:sz w:val="20"/>
          <w:lang w:val="pl-PL"/>
        </w:rPr>
        <w:t>Jednostki</w:t>
      </w:r>
      <w:r w:rsidR="00B20278" w:rsidRPr="00765C97">
        <w:rPr>
          <w:rFonts w:ascii="Arial" w:hAnsi="Arial"/>
          <w:sz w:val="20"/>
          <w:lang w:val="pl-PL"/>
        </w:rPr>
        <w:t xml:space="preserve"> zależne i stowarzyszone wypłaciły w 201</w:t>
      </w:r>
      <w:r w:rsidR="000972FB" w:rsidRPr="00765C97">
        <w:rPr>
          <w:rFonts w:ascii="Arial" w:hAnsi="Arial"/>
          <w:sz w:val="20"/>
          <w:lang w:val="pl-PL"/>
        </w:rPr>
        <w:t>2</w:t>
      </w:r>
      <w:r w:rsidR="00B20278" w:rsidRPr="00765C97">
        <w:rPr>
          <w:rFonts w:ascii="Arial" w:hAnsi="Arial"/>
          <w:sz w:val="20"/>
          <w:lang w:val="pl-PL"/>
        </w:rPr>
        <w:t xml:space="preserve"> roku członkom Zarządu Comarch S.A. wynagrodzenia w wysokości </w:t>
      </w:r>
      <w:r w:rsidR="000972FB" w:rsidRPr="00765C97">
        <w:rPr>
          <w:rFonts w:ascii="Arial" w:hAnsi="Arial"/>
          <w:sz w:val="20"/>
          <w:lang w:val="pl-PL"/>
        </w:rPr>
        <w:t>6 965 406,19 zł</w:t>
      </w:r>
      <w:r w:rsidR="00B20278" w:rsidRPr="00765C97">
        <w:rPr>
          <w:rFonts w:ascii="Arial" w:hAnsi="Arial"/>
          <w:sz w:val="20"/>
          <w:lang w:val="pl-PL"/>
        </w:rPr>
        <w:t xml:space="preserve">. </w:t>
      </w:r>
      <w:r w:rsidR="00B24DA9" w:rsidRPr="00765C97">
        <w:rPr>
          <w:rFonts w:ascii="Arial" w:hAnsi="Arial"/>
          <w:sz w:val="20"/>
          <w:lang w:val="pl-PL"/>
        </w:rPr>
        <w:t>W 20</w:t>
      </w:r>
      <w:r w:rsidR="000972FB" w:rsidRPr="00765C97">
        <w:rPr>
          <w:rFonts w:ascii="Arial" w:hAnsi="Arial"/>
          <w:sz w:val="20"/>
          <w:lang w:val="pl-PL"/>
        </w:rPr>
        <w:t>11</w:t>
      </w:r>
      <w:r w:rsidR="00B24DA9" w:rsidRPr="00765C97">
        <w:rPr>
          <w:rFonts w:ascii="Arial" w:hAnsi="Arial"/>
          <w:sz w:val="20"/>
          <w:lang w:val="pl-PL"/>
        </w:rPr>
        <w:t xml:space="preserve"> roku wynagrodzenia członków zarządu Com</w:t>
      </w:r>
      <w:r w:rsidR="004B1467" w:rsidRPr="00765C97">
        <w:rPr>
          <w:rFonts w:ascii="Arial" w:hAnsi="Arial"/>
          <w:sz w:val="20"/>
          <w:lang w:val="pl-PL"/>
        </w:rPr>
        <w:t>a</w:t>
      </w:r>
      <w:r w:rsidR="00B24DA9" w:rsidRPr="00765C97">
        <w:rPr>
          <w:rFonts w:ascii="Arial" w:hAnsi="Arial"/>
          <w:sz w:val="20"/>
          <w:lang w:val="pl-PL"/>
        </w:rPr>
        <w:t xml:space="preserve">rch S.A. wyniosły </w:t>
      </w:r>
      <w:r w:rsidR="000972FB" w:rsidRPr="00765C97">
        <w:rPr>
          <w:rFonts w:ascii="Arial" w:hAnsi="Arial"/>
          <w:sz w:val="20"/>
          <w:lang w:val="pl-PL"/>
        </w:rPr>
        <w:t>11 516 802,00 zł</w:t>
      </w:r>
      <w:r w:rsidR="00B24DA9" w:rsidRPr="00765C97">
        <w:rPr>
          <w:rFonts w:ascii="Arial" w:hAnsi="Arial"/>
          <w:sz w:val="20"/>
          <w:lang w:val="pl-PL"/>
        </w:rPr>
        <w:t xml:space="preserve">. </w:t>
      </w:r>
      <w:r w:rsidR="0031442C" w:rsidRPr="00765C97">
        <w:rPr>
          <w:rFonts w:ascii="Arial" w:hAnsi="Arial"/>
          <w:sz w:val="20"/>
          <w:lang w:val="pl-PL"/>
        </w:rPr>
        <w:t>Jednostki</w:t>
      </w:r>
      <w:r w:rsidR="00B24DA9" w:rsidRPr="00765C97">
        <w:rPr>
          <w:rFonts w:ascii="Arial" w:hAnsi="Arial"/>
          <w:sz w:val="20"/>
          <w:lang w:val="pl-PL"/>
        </w:rPr>
        <w:t xml:space="preserve"> zależne i stowarzyszone wypłaciły w 20</w:t>
      </w:r>
      <w:r w:rsidR="004B1467" w:rsidRPr="00765C97">
        <w:rPr>
          <w:rFonts w:ascii="Arial" w:hAnsi="Arial"/>
          <w:sz w:val="20"/>
          <w:lang w:val="pl-PL"/>
        </w:rPr>
        <w:t>1</w:t>
      </w:r>
      <w:r w:rsidR="000972FB" w:rsidRPr="00765C97">
        <w:rPr>
          <w:rFonts w:ascii="Arial" w:hAnsi="Arial"/>
          <w:sz w:val="20"/>
          <w:lang w:val="pl-PL"/>
        </w:rPr>
        <w:t>1</w:t>
      </w:r>
      <w:r w:rsidR="00B24DA9" w:rsidRPr="00765C97">
        <w:rPr>
          <w:rFonts w:ascii="Arial" w:hAnsi="Arial"/>
          <w:sz w:val="20"/>
          <w:lang w:val="pl-PL"/>
        </w:rPr>
        <w:t xml:space="preserve"> roku członkom Zarządu Com</w:t>
      </w:r>
      <w:r w:rsidR="004B1467" w:rsidRPr="00765C97">
        <w:rPr>
          <w:rFonts w:ascii="Arial" w:hAnsi="Arial"/>
          <w:sz w:val="20"/>
          <w:lang w:val="pl-PL"/>
        </w:rPr>
        <w:t>a</w:t>
      </w:r>
      <w:r w:rsidR="00B24DA9" w:rsidRPr="00765C97">
        <w:rPr>
          <w:rFonts w:ascii="Arial" w:hAnsi="Arial"/>
          <w:sz w:val="20"/>
          <w:lang w:val="pl-PL"/>
        </w:rPr>
        <w:t xml:space="preserve">rch S.A. wynagrodzenia w wysokości </w:t>
      </w:r>
      <w:r w:rsidR="004C7E18" w:rsidRPr="00765C97">
        <w:rPr>
          <w:rFonts w:ascii="Arial" w:hAnsi="Arial"/>
          <w:sz w:val="20"/>
          <w:lang w:val="pl-PL"/>
        </w:rPr>
        <w:t>6 802 803,57 zł</w:t>
      </w:r>
      <w:r w:rsidR="00B24DA9" w:rsidRPr="00765C97">
        <w:rPr>
          <w:rFonts w:ascii="Arial" w:hAnsi="Arial"/>
          <w:sz w:val="20"/>
          <w:lang w:val="pl-PL"/>
        </w:rPr>
        <w:t xml:space="preserve">. </w:t>
      </w:r>
    </w:p>
    <w:p w:rsidR="00B24DA9" w:rsidRPr="00765C97" w:rsidRDefault="00B24DA9" w:rsidP="00666931">
      <w:pPr>
        <w:adjustRightInd w:val="0"/>
        <w:rPr>
          <w:rFonts w:ascii="Arial" w:hAnsi="Arial"/>
          <w:b/>
          <w:sz w:val="20"/>
          <w:lang w:val="pl-PL"/>
        </w:rPr>
      </w:pPr>
    </w:p>
    <w:p w:rsidR="0080385D" w:rsidRPr="00765C97" w:rsidRDefault="0080385D" w:rsidP="00666931">
      <w:pPr>
        <w:adjustRightInd w:val="0"/>
        <w:rPr>
          <w:rFonts w:ascii="Arial" w:hAnsi="Arial"/>
          <w:b/>
          <w:sz w:val="20"/>
          <w:lang w:val="pl-PL"/>
        </w:rPr>
      </w:pPr>
    </w:p>
    <w:p w:rsidR="0080385D" w:rsidRPr="00765C97" w:rsidRDefault="0080385D" w:rsidP="00666931">
      <w:pPr>
        <w:adjustRightInd w:val="0"/>
        <w:rPr>
          <w:rFonts w:ascii="Arial" w:hAnsi="Arial"/>
          <w:b/>
          <w:sz w:val="20"/>
          <w:lang w:val="pl-PL"/>
        </w:rPr>
      </w:pPr>
    </w:p>
    <w:p w:rsidR="000C4D38" w:rsidRPr="00765C97" w:rsidRDefault="000C4D38" w:rsidP="00666931">
      <w:pPr>
        <w:adjustRightInd w:val="0"/>
        <w:rPr>
          <w:rFonts w:ascii="Arial" w:hAnsi="Arial"/>
          <w:b/>
          <w:sz w:val="20"/>
          <w:lang w:val="pl-PL"/>
        </w:rPr>
      </w:pPr>
      <w:r w:rsidRPr="00765C97">
        <w:rPr>
          <w:rFonts w:ascii="Arial" w:hAnsi="Arial"/>
          <w:b/>
          <w:sz w:val="20"/>
          <w:lang w:val="pl-PL"/>
        </w:rPr>
        <w:t>ROK 2011 (w zł.)</w:t>
      </w:r>
    </w:p>
    <w:p w:rsidR="000C4D38" w:rsidRPr="00765C97" w:rsidRDefault="000C4D38" w:rsidP="000C4D38">
      <w:pPr>
        <w:adjustRightInd w:val="0"/>
        <w:ind w:left="180"/>
        <w:rPr>
          <w:rFonts w:ascii="Arial" w:hAnsi="Arial"/>
          <w:b/>
          <w:sz w:val="20"/>
          <w:lang w:val="pl-PL"/>
        </w:rPr>
      </w:pPr>
    </w:p>
    <w:tbl>
      <w:tblPr>
        <w:tblW w:w="8505" w:type="dxa"/>
        <w:tblInd w:w="70" w:type="dxa"/>
        <w:tblLayout w:type="fixed"/>
        <w:tblCellMar>
          <w:left w:w="70" w:type="dxa"/>
          <w:right w:w="70" w:type="dxa"/>
        </w:tblCellMar>
        <w:tblLook w:val="0000"/>
      </w:tblPr>
      <w:tblGrid>
        <w:gridCol w:w="626"/>
        <w:gridCol w:w="2351"/>
        <w:gridCol w:w="2000"/>
        <w:gridCol w:w="1827"/>
        <w:gridCol w:w="1701"/>
      </w:tblGrid>
      <w:tr w:rsidR="000C4D38" w:rsidRPr="00765C97" w:rsidTr="00440CC1">
        <w:trPr>
          <w:trHeight w:val="255"/>
        </w:trPr>
        <w:tc>
          <w:tcPr>
            <w:tcW w:w="8505" w:type="dxa"/>
            <w:gridSpan w:val="5"/>
            <w:tcBorders>
              <w:top w:val="nil"/>
              <w:left w:val="nil"/>
              <w:right w:val="nil"/>
            </w:tcBorders>
            <w:noWrap/>
            <w:vAlign w:val="center"/>
          </w:tcPr>
          <w:p w:rsidR="000C4D38" w:rsidRPr="00765C97" w:rsidRDefault="000C4D38" w:rsidP="00496C6C">
            <w:pPr>
              <w:rPr>
                <w:rFonts w:ascii="Arial" w:hAnsi="Arial" w:cs="Arial"/>
                <w:b/>
                <w:sz w:val="20"/>
                <w:szCs w:val="20"/>
              </w:rPr>
            </w:pPr>
            <w:r w:rsidRPr="00765C97">
              <w:rPr>
                <w:rFonts w:ascii="Arial" w:hAnsi="Arial" w:cs="Arial"/>
                <w:b/>
                <w:sz w:val="20"/>
                <w:szCs w:val="20"/>
              </w:rPr>
              <w:t>Zarząd Comarch S.A.</w:t>
            </w:r>
          </w:p>
        </w:tc>
      </w:tr>
      <w:tr w:rsidR="000C4D38" w:rsidRPr="00765C97" w:rsidTr="00440CC1">
        <w:trPr>
          <w:trHeight w:val="676"/>
        </w:trPr>
        <w:tc>
          <w:tcPr>
            <w:tcW w:w="626" w:type="dxa"/>
            <w:tcBorders>
              <w:top w:val="nil"/>
              <w:left w:val="nil"/>
              <w:bottom w:val="single" w:sz="4" w:space="0" w:color="auto"/>
              <w:right w:val="single" w:sz="4" w:space="0" w:color="auto"/>
            </w:tcBorders>
            <w:noWrap/>
            <w:vAlign w:val="bottom"/>
          </w:tcPr>
          <w:p w:rsidR="000C4D38" w:rsidRPr="00765C97" w:rsidRDefault="000C4D38" w:rsidP="00496C6C">
            <w:pPr>
              <w:jc w:val="center"/>
              <w:rPr>
                <w:rFonts w:ascii="Arial" w:hAnsi="Arial" w:cs="Arial"/>
                <w:sz w:val="20"/>
                <w:szCs w:val="20"/>
              </w:rPr>
            </w:pPr>
            <w:r w:rsidRPr="00765C97">
              <w:rPr>
                <w:rFonts w:ascii="Arial" w:hAnsi="Arial" w:cs="Arial"/>
                <w:sz w:val="20"/>
                <w:szCs w:val="20"/>
              </w:rPr>
              <w:t>l.p.</w:t>
            </w:r>
          </w:p>
        </w:tc>
        <w:tc>
          <w:tcPr>
            <w:tcW w:w="2351" w:type="dxa"/>
            <w:tcBorders>
              <w:top w:val="nil"/>
              <w:left w:val="single" w:sz="4" w:space="0" w:color="auto"/>
              <w:bottom w:val="single" w:sz="4" w:space="0" w:color="auto"/>
              <w:right w:val="single" w:sz="4" w:space="0" w:color="auto"/>
            </w:tcBorders>
            <w:vAlign w:val="bottom"/>
          </w:tcPr>
          <w:p w:rsidR="000C4D38" w:rsidRPr="00765C97" w:rsidRDefault="000C4D38" w:rsidP="00496C6C">
            <w:pPr>
              <w:jc w:val="center"/>
              <w:rPr>
                <w:rFonts w:ascii="Arial" w:hAnsi="Arial" w:cs="Arial"/>
                <w:sz w:val="20"/>
                <w:szCs w:val="20"/>
              </w:rPr>
            </w:pPr>
          </w:p>
        </w:tc>
        <w:tc>
          <w:tcPr>
            <w:tcW w:w="2000" w:type="dxa"/>
            <w:tcBorders>
              <w:top w:val="nil"/>
              <w:left w:val="single" w:sz="4" w:space="0" w:color="auto"/>
              <w:bottom w:val="single" w:sz="4" w:space="0" w:color="auto"/>
              <w:right w:val="single" w:sz="4" w:space="0" w:color="auto"/>
            </w:tcBorders>
            <w:vAlign w:val="center"/>
          </w:tcPr>
          <w:p w:rsidR="000C4D38" w:rsidRPr="00765C97" w:rsidRDefault="000C4D38" w:rsidP="00496C6C">
            <w:pPr>
              <w:jc w:val="right"/>
              <w:rPr>
                <w:rFonts w:ascii="Arial" w:hAnsi="Arial" w:cs="Arial"/>
                <w:b/>
                <w:sz w:val="20"/>
                <w:szCs w:val="20"/>
                <w:lang w:val="pl-PL"/>
              </w:rPr>
            </w:pPr>
            <w:r w:rsidRPr="00765C97">
              <w:rPr>
                <w:rFonts w:ascii="Arial" w:hAnsi="Arial" w:cs="Arial"/>
                <w:b/>
                <w:sz w:val="20"/>
                <w:szCs w:val="20"/>
                <w:lang w:val="pl-PL"/>
              </w:rPr>
              <w:t>Wypłacone przez Comarch S.A.</w:t>
            </w:r>
          </w:p>
        </w:tc>
        <w:tc>
          <w:tcPr>
            <w:tcW w:w="1827" w:type="dxa"/>
            <w:tcBorders>
              <w:top w:val="nil"/>
              <w:left w:val="single" w:sz="4" w:space="0" w:color="auto"/>
              <w:bottom w:val="single" w:sz="4" w:space="0" w:color="auto"/>
              <w:right w:val="single" w:sz="4" w:space="0" w:color="auto"/>
            </w:tcBorders>
            <w:vAlign w:val="center"/>
          </w:tcPr>
          <w:p w:rsidR="000C4D38" w:rsidRPr="00765C97" w:rsidRDefault="000C4D38" w:rsidP="00496C6C">
            <w:pPr>
              <w:ind w:left="-86"/>
              <w:jc w:val="right"/>
              <w:rPr>
                <w:rFonts w:ascii="Arial" w:hAnsi="Arial" w:cs="Arial"/>
                <w:b/>
                <w:sz w:val="20"/>
                <w:szCs w:val="20"/>
                <w:lang w:val="pl-PL"/>
              </w:rPr>
            </w:pPr>
            <w:r w:rsidRPr="00765C97">
              <w:rPr>
                <w:rFonts w:ascii="Arial" w:hAnsi="Arial" w:cs="Arial"/>
                <w:b/>
                <w:sz w:val="20"/>
                <w:szCs w:val="20"/>
                <w:lang w:val="pl-PL"/>
              </w:rPr>
              <w:t>Wypłacone przez jednostki zależne i stowarzyszone</w:t>
            </w:r>
          </w:p>
        </w:tc>
        <w:tc>
          <w:tcPr>
            <w:tcW w:w="1701" w:type="dxa"/>
            <w:tcBorders>
              <w:top w:val="nil"/>
              <w:left w:val="single" w:sz="4" w:space="0" w:color="auto"/>
              <w:bottom w:val="single" w:sz="4" w:space="0" w:color="auto"/>
              <w:right w:val="nil"/>
            </w:tcBorders>
            <w:vAlign w:val="center"/>
          </w:tcPr>
          <w:p w:rsidR="000C4D38" w:rsidRPr="00765C97" w:rsidRDefault="000C4D38" w:rsidP="00496C6C">
            <w:pPr>
              <w:ind w:left="312"/>
              <w:jc w:val="right"/>
              <w:rPr>
                <w:rFonts w:ascii="Arial" w:hAnsi="Arial" w:cs="Arial"/>
                <w:b/>
                <w:sz w:val="20"/>
                <w:szCs w:val="20"/>
              </w:rPr>
            </w:pPr>
            <w:r w:rsidRPr="00765C97">
              <w:rPr>
                <w:rFonts w:ascii="Arial" w:hAnsi="Arial" w:cs="Arial"/>
                <w:b/>
                <w:sz w:val="20"/>
                <w:szCs w:val="20"/>
              </w:rPr>
              <w:t>Razem</w:t>
            </w:r>
          </w:p>
        </w:tc>
      </w:tr>
      <w:tr w:rsidR="000C4D38" w:rsidRPr="00765C97" w:rsidTr="00440CC1">
        <w:trPr>
          <w:trHeight w:val="255"/>
        </w:trPr>
        <w:tc>
          <w:tcPr>
            <w:tcW w:w="626" w:type="dxa"/>
            <w:tcBorders>
              <w:top w:val="single" w:sz="4" w:space="0" w:color="auto"/>
              <w:left w:val="nil"/>
              <w:bottom w:val="nil"/>
              <w:right w:val="single" w:sz="4" w:space="0" w:color="auto"/>
            </w:tcBorders>
            <w:noWrap/>
            <w:vAlign w:val="center"/>
          </w:tcPr>
          <w:p w:rsidR="000C4D38" w:rsidRPr="00765C97" w:rsidRDefault="000C4D38" w:rsidP="00496C6C">
            <w:pPr>
              <w:jc w:val="center"/>
              <w:rPr>
                <w:rFonts w:ascii="Arial" w:hAnsi="Arial" w:cs="Arial"/>
                <w:sz w:val="20"/>
                <w:szCs w:val="20"/>
              </w:rPr>
            </w:pPr>
            <w:r w:rsidRPr="00765C97">
              <w:rPr>
                <w:rFonts w:ascii="Arial" w:hAnsi="Arial" w:cs="Arial"/>
                <w:sz w:val="20"/>
                <w:szCs w:val="20"/>
              </w:rPr>
              <w:t>1</w:t>
            </w:r>
          </w:p>
        </w:tc>
        <w:tc>
          <w:tcPr>
            <w:tcW w:w="2351" w:type="dxa"/>
            <w:tcBorders>
              <w:top w:val="single" w:sz="4" w:space="0" w:color="auto"/>
              <w:left w:val="single" w:sz="4" w:space="0" w:color="auto"/>
              <w:bottom w:val="nil"/>
              <w:right w:val="single" w:sz="4" w:space="0" w:color="auto"/>
            </w:tcBorders>
            <w:noWrap/>
            <w:vAlign w:val="center"/>
          </w:tcPr>
          <w:p w:rsidR="000C4D38" w:rsidRPr="00765C97" w:rsidRDefault="000C4D38" w:rsidP="00496C6C">
            <w:pPr>
              <w:rPr>
                <w:rFonts w:ascii="Arial" w:hAnsi="Arial" w:cs="Arial"/>
                <w:sz w:val="20"/>
                <w:szCs w:val="20"/>
              </w:rPr>
            </w:pPr>
            <w:r w:rsidRPr="00765C97">
              <w:rPr>
                <w:rFonts w:ascii="Arial" w:hAnsi="Arial" w:cs="Arial"/>
                <w:sz w:val="20"/>
                <w:szCs w:val="20"/>
              </w:rPr>
              <w:t>Janusz Filipiak</w:t>
            </w:r>
          </w:p>
        </w:tc>
        <w:tc>
          <w:tcPr>
            <w:tcW w:w="2000" w:type="dxa"/>
            <w:tcBorders>
              <w:top w:val="single" w:sz="4" w:space="0" w:color="auto"/>
              <w:left w:val="single" w:sz="4" w:space="0" w:color="auto"/>
              <w:bottom w:val="nil"/>
              <w:right w:val="single" w:sz="4" w:space="0" w:color="auto"/>
            </w:tcBorders>
            <w:noWrap/>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5 571 683,00 zł </w:t>
            </w:r>
          </w:p>
        </w:tc>
        <w:tc>
          <w:tcPr>
            <w:tcW w:w="1827" w:type="dxa"/>
            <w:tcBorders>
              <w:top w:val="single" w:sz="4" w:space="0" w:color="auto"/>
              <w:left w:val="single" w:sz="4" w:space="0" w:color="auto"/>
              <w:bottom w:val="nil"/>
              <w:right w:val="single" w:sz="4" w:space="0" w:color="auto"/>
            </w:tcBorders>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6 284 613,12 zł </w:t>
            </w:r>
          </w:p>
        </w:tc>
        <w:tc>
          <w:tcPr>
            <w:tcW w:w="1701" w:type="dxa"/>
            <w:tcBorders>
              <w:top w:val="single" w:sz="4" w:space="0" w:color="auto"/>
              <w:left w:val="single" w:sz="4" w:space="0" w:color="auto"/>
              <w:bottom w:val="nil"/>
              <w:right w:val="nil"/>
            </w:tcBorders>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11 856 296,12 zł </w:t>
            </w:r>
          </w:p>
        </w:tc>
      </w:tr>
      <w:tr w:rsidR="000C4D38" w:rsidRPr="00765C97" w:rsidTr="00440CC1">
        <w:trPr>
          <w:trHeight w:val="255"/>
        </w:trPr>
        <w:tc>
          <w:tcPr>
            <w:tcW w:w="626" w:type="dxa"/>
            <w:tcBorders>
              <w:top w:val="nil"/>
              <w:left w:val="nil"/>
              <w:bottom w:val="nil"/>
              <w:right w:val="single" w:sz="4" w:space="0" w:color="auto"/>
            </w:tcBorders>
            <w:noWrap/>
            <w:vAlign w:val="center"/>
          </w:tcPr>
          <w:p w:rsidR="000C4D38" w:rsidRPr="00765C97" w:rsidRDefault="000C4D38" w:rsidP="00496C6C">
            <w:pPr>
              <w:jc w:val="center"/>
              <w:rPr>
                <w:rFonts w:ascii="Arial" w:hAnsi="Arial" w:cs="Arial"/>
                <w:sz w:val="20"/>
                <w:szCs w:val="20"/>
              </w:rPr>
            </w:pPr>
            <w:r w:rsidRPr="00765C97">
              <w:rPr>
                <w:rFonts w:ascii="Arial" w:hAnsi="Arial" w:cs="Arial"/>
                <w:sz w:val="20"/>
                <w:szCs w:val="20"/>
              </w:rPr>
              <w:t>2</w:t>
            </w:r>
          </w:p>
        </w:tc>
        <w:tc>
          <w:tcPr>
            <w:tcW w:w="2351" w:type="dxa"/>
            <w:tcBorders>
              <w:top w:val="nil"/>
              <w:left w:val="single" w:sz="4" w:space="0" w:color="auto"/>
              <w:bottom w:val="nil"/>
              <w:right w:val="single" w:sz="4" w:space="0" w:color="auto"/>
            </w:tcBorders>
            <w:noWrap/>
            <w:vAlign w:val="center"/>
          </w:tcPr>
          <w:p w:rsidR="000C4D38" w:rsidRPr="00765C97" w:rsidRDefault="000C4D38" w:rsidP="00496C6C">
            <w:pPr>
              <w:rPr>
                <w:rFonts w:ascii="Arial" w:hAnsi="Arial" w:cs="Arial"/>
                <w:sz w:val="20"/>
                <w:szCs w:val="20"/>
              </w:rPr>
            </w:pPr>
            <w:r w:rsidRPr="00765C97">
              <w:rPr>
                <w:rFonts w:ascii="Arial" w:hAnsi="Arial" w:cs="Arial"/>
                <w:sz w:val="20"/>
                <w:szCs w:val="20"/>
              </w:rPr>
              <w:t>Piotr Piątosa</w:t>
            </w:r>
          </w:p>
        </w:tc>
        <w:tc>
          <w:tcPr>
            <w:tcW w:w="2000" w:type="dxa"/>
            <w:tcBorders>
              <w:top w:val="nil"/>
              <w:left w:val="single" w:sz="4" w:space="0" w:color="auto"/>
              <w:bottom w:val="nil"/>
              <w:right w:val="single" w:sz="4" w:space="0" w:color="auto"/>
            </w:tcBorders>
            <w:noWrap/>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1 156 731,64 zł </w:t>
            </w:r>
          </w:p>
        </w:tc>
        <w:tc>
          <w:tcPr>
            <w:tcW w:w="1827" w:type="dxa"/>
            <w:tcBorders>
              <w:top w:val="nil"/>
              <w:left w:val="single" w:sz="4" w:space="0" w:color="auto"/>
              <w:bottom w:val="nil"/>
              <w:right w:val="single" w:sz="4" w:space="0" w:color="auto"/>
            </w:tcBorders>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354 179,59 zł </w:t>
            </w:r>
          </w:p>
        </w:tc>
        <w:tc>
          <w:tcPr>
            <w:tcW w:w="1701" w:type="dxa"/>
            <w:tcBorders>
              <w:top w:val="nil"/>
              <w:left w:val="single" w:sz="4" w:space="0" w:color="auto"/>
              <w:bottom w:val="nil"/>
              <w:right w:val="nil"/>
            </w:tcBorders>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1 510 911,23 zł </w:t>
            </w:r>
          </w:p>
        </w:tc>
      </w:tr>
      <w:tr w:rsidR="000C4D38" w:rsidRPr="00765C97" w:rsidTr="00440CC1">
        <w:trPr>
          <w:trHeight w:val="255"/>
        </w:trPr>
        <w:tc>
          <w:tcPr>
            <w:tcW w:w="626" w:type="dxa"/>
            <w:tcBorders>
              <w:top w:val="nil"/>
              <w:left w:val="nil"/>
              <w:bottom w:val="nil"/>
              <w:right w:val="single" w:sz="4" w:space="0" w:color="auto"/>
            </w:tcBorders>
            <w:noWrap/>
            <w:vAlign w:val="center"/>
          </w:tcPr>
          <w:p w:rsidR="000C4D38" w:rsidRPr="00765C97" w:rsidRDefault="000C4D38" w:rsidP="00496C6C">
            <w:pPr>
              <w:jc w:val="center"/>
              <w:rPr>
                <w:rFonts w:ascii="Arial" w:hAnsi="Arial" w:cs="Arial"/>
                <w:sz w:val="20"/>
                <w:szCs w:val="20"/>
              </w:rPr>
            </w:pPr>
            <w:r w:rsidRPr="00765C97">
              <w:rPr>
                <w:rFonts w:ascii="Arial" w:hAnsi="Arial" w:cs="Arial"/>
                <w:sz w:val="20"/>
                <w:szCs w:val="20"/>
              </w:rPr>
              <w:t>3</w:t>
            </w:r>
          </w:p>
        </w:tc>
        <w:tc>
          <w:tcPr>
            <w:tcW w:w="2351" w:type="dxa"/>
            <w:tcBorders>
              <w:top w:val="nil"/>
              <w:left w:val="single" w:sz="4" w:space="0" w:color="auto"/>
              <w:bottom w:val="nil"/>
              <w:right w:val="single" w:sz="4" w:space="0" w:color="auto"/>
            </w:tcBorders>
            <w:noWrap/>
            <w:vAlign w:val="center"/>
          </w:tcPr>
          <w:p w:rsidR="000C4D38" w:rsidRPr="00765C97" w:rsidRDefault="000C4D38" w:rsidP="00496C6C">
            <w:pPr>
              <w:rPr>
                <w:rFonts w:ascii="Arial" w:hAnsi="Arial" w:cs="Arial"/>
                <w:sz w:val="20"/>
                <w:szCs w:val="20"/>
              </w:rPr>
            </w:pPr>
            <w:r w:rsidRPr="00765C97">
              <w:rPr>
                <w:rFonts w:ascii="Arial" w:hAnsi="Arial" w:cs="Arial"/>
                <w:sz w:val="20"/>
                <w:szCs w:val="20"/>
              </w:rPr>
              <w:t>Paweł Prokop</w:t>
            </w:r>
          </w:p>
        </w:tc>
        <w:tc>
          <w:tcPr>
            <w:tcW w:w="2000" w:type="dxa"/>
            <w:tcBorders>
              <w:top w:val="nil"/>
              <w:left w:val="single" w:sz="4" w:space="0" w:color="auto"/>
              <w:bottom w:val="nil"/>
              <w:right w:val="single" w:sz="4" w:space="0" w:color="auto"/>
            </w:tcBorders>
            <w:noWrap/>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523 137,47 zł </w:t>
            </w:r>
          </w:p>
        </w:tc>
        <w:tc>
          <w:tcPr>
            <w:tcW w:w="1827" w:type="dxa"/>
            <w:tcBorders>
              <w:top w:val="nil"/>
              <w:left w:val="single" w:sz="4" w:space="0" w:color="auto"/>
              <w:bottom w:val="nil"/>
              <w:right w:val="single" w:sz="4" w:space="0" w:color="auto"/>
            </w:tcBorders>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   zł </w:t>
            </w:r>
          </w:p>
        </w:tc>
        <w:tc>
          <w:tcPr>
            <w:tcW w:w="1701" w:type="dxa"/>
            <w:tcBorders>
              <w:top w:val="nil"/>
              <w:left w:val="single" w:sz="4" w:space="0" w:color="auto"/>
              <w:bottom w:val="nil"/>
              <w:right w:val="nil"/>
            </w:tcBorders>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523 137,47 zł </w:t>
            </w:r>
          </w:p>
        </w:tc>
      </w:tr>
      <w:tr w:rsidR="000C4D38" w:rsidRPr="00765C97" w:rsidTr="00440CC1">
        <w:trPr>
          <w:trHeight w:val="255"/>
        </w:trPr>
        <w:tc>
          <w:tcPr>
            <w:tcW w:w="626" w:type="dxa"/>
            <w:tcBorders>
              <w:top w:val="nil"/>
              <w:left w:val="nil"/>
              <w:bottom w:val="nil"/>
              <w:right w:val="single" w:sz="4" w:space="0" w:color="auto"/>
            </w:tcBorders>
            <w:noWrap/>
            <w:vAlign w:val="center"/>
          </w:tcPr>
          <w:p w:rsidR="000C4D38" w:rsidRPr="00765C97" w:rsidRDefault="000C4D38" w:rsidP="00496C6C">
            <w:pPr>
              <w:jc w:val="center"/>
              <w:rPr>
                <w:rFonts w:ascii="Arial" w:hAnsi="Arial" w:cs="Arial"/>
                <w:sz w:val="20"/>
                <w:szCs w:val="20"/>
              </w:rPr>
            </w:pPr>
            <w:r w:rsidRPr="00765C97">
              <w:rPr>
                <w:rFonts w:ascii="Arial" w:hAnsi="Arial" w:cs="Arial"/>
                <w:sz w:val="20"/>
                <w:szCs w:val="20"/>
              </w:rPr>
              <w:t>4</w:t>
            </w:r>
          </w:p>
        </w:tc>
        <w:tc>
          <w:tcPr>
            <w:tcW w:w="2351" w:type="dxa"/>
            <w:tcBorders>
              <w:top w:val="nil"/>
              <w:left w:val="single" w:sz="4" w:space="0" w:color="auto"/>
              <w:bottom w:val="nil"/>
              <w:right w:val="single" w:sz="4" w:space="0" w:color="auto"/>
            </w:tcBorders>
            <w:noWrap/>
            <w:vAlign w:val="center"/>
          </w:tcPr>
          <w:p w:rsidR="000C4D38" w:rsidRPr="00765C97" w:rsidRDefault="000C4D38" w:rsidP="00496C6C">
            <w:pPr>
              <w:rPr>
                <w:rFonts w:ascii="Arial" w:hAnsi="Arial" w:cs="Arial"/>
                <w:sz w:val="20"/>
                <w:szCs w:val="20"/>
              </w:rPr>
            </w:pPr>
            <w:r w:rsidRPr="00765C97">
              <w:rPr>
                <w:rFonts w:ascii="Arial" w:hAnsi="Arial" w:cs="Arial"/>
                <w:sz w:val="20"/>
                <w:szCs w:val="20"/>
              </w:rPr>
              <w:t>Piotr Reichert</w:t>
            </w:r>
          </w:p>
        </w:tc>
        <w:tc>
          <w:tcPr>
            <w:tcW w:w="2000" w:type="dxa"/>
            <w:tcBorders>
              <w:top w:val="nil"/>
              <w:left w:val="single" w:sz="4" w:space="0" w:color="auto"/>
              <w:bottom w:val="nil"/>
              <w:right w:val="single" w:sz="4" w:space="0" w:color="auto"/>
            </w:tcBorders>
            <w:noWrap/>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1 142 957,92 zł </w:t>
            </w:r>
          </w:p>
        </w:tc>
        <w:tc>
          <w:tcPr>
            <w:tcW w:w="1827" w:type="dxa"/>
            <w:tcBorders>
              <w:top w:val="nil"/>
              <w:left w:val="single" w:sz="4" w:space="0" w:color="auto"/>
              <w:bottom w:val="nil"/>
              <w:right w:val="single" w:sz="4" w:space="0" w:color="auto"/>
            </w:tcBorders>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28 718,86 zł </w:t>
            </w:r>
          </w:p>
        </w:tc>
        <w:tc>
          <w:tcPr>
            <w:tcW w:w="1701" w:type="dxa"/>
            <w:tcBorders>
              <w:top w:val="nil"/>
              <w:left w:val="single" w:sz="4" w:space="0" w:color="auto"/>
              <w:bottom w:val="nil"/>
              <w:right w:val="nil"/>
            </w:tcBorders>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1 171 676,78 zł </w:t>
            </w:r>
          </w:p>
        </w:tc>
      </w:tr>
      <w:tr w:rsidR="000C4D38" w:rsidRPr="00765C97" w:rsidTr="00440CC1">
        <w:trPr>
          <w:trHeight w:val="255"/>
        </w:trPr>
        <w:tc>
          <w:tcPr>
            <w:tcW w:w="626" w:type="dxa"/>
            <w:tcBorders>
              <w:top w:val="nil"/>
              <w:left w:val="nil"/>
              <w:bottom w:val="nil"/>
              <w:right w:val="single" w:sz="4" w:space="0" w:color="auto"/>
            </w:tcBorders>
            <w:noWrap/>
            <w:vAlign w:val="center"/>
          </w:tcPr>
          <w:p w:rsidR="000C4D38" w:rsidRPr="00765C97" w:rsidRDefault="000C4D38" w:rsidP="00496C6C">
            <w:pPr>
              <w:jc w:val="center"/>
              <w:rPr>
                <w:rFonts w:ascii="Arial" w:hAnsi="Arial" w:cs="Arial"/>
                <w:sz w:val="20"/>
                <w:szCs w:val="20"/>
              </w:rPr>
            </w:pPr>
            <w:r w:rsidRPr="00765C97">
              <w:rPr>
                <w:rFonts w:ascii="Arial" w:hAnsi="Arial" w:cs="Arial"/>
                <w:sz w:val="20"/>
                <w:szCs w:val="20"/>
              </w:rPr>
              <w:t>5</w:t>
            </w:r>
          </w:p>
        </w:tc>
        <w:tc>
          <w:tcPr>
            <w:tcW w:w="2351" w:type="dxa"/>
            <w:tcBorders>
              <w:top w:val="nil"/>
              <w:left w:val="single" w:sz="4" w:space="0" w:color="auto"/>
              <w:bottom w:val="nil"/>
              <w:right w:val="single" w:sz="4" w:space="0" w:color="auto"/>
            </w:tcBorders>
            <w:noWrap/>
            <w:vAlign w:val="center"/>
          </w:tcPr>
          <w:p w:rsidR="000C4D38" w:rsidRPr="00765C97" w:rsidRDefault="000C4D38" w:rsidP="00496C6C">
            <w:pPr>
              <w:rPr>
                <w:rFonts w:ascii="Arial" w:hAnsi="Arial" w:cs="Arial"/>
                <w:sz w:val="20"/>
                <w:szCs w:val="20"/>
              </w:rPr>
            </w:pPr>
            <w:r w:rsidRPr="00765C97">
              <w:rPr>
                <w:rFonts w:ascii="Arial" w:hAnsi="Arial" w:cs="Arial"/>
                <w:sz w:val="20"/>
                <w:szCs w:val="20"/>
              </w:rPr>
              <w:t>Zbigniew Rymarczyk</w:t>
            </w:r>
          </w:p>
        </w:tc>
        <w:tc>
          <w:tcPr>
            <w:tcW w:w="2000" w:type="dxa"/>
            <w:tcBorders>
              <w:top w:val="nil"/>
              <w:left w:val="single" w:sz="4" w:space="0" w:color="auto"/>
              <w:bottom w:val="nil"/>
              <w:right w:val="single" w:sz="4" w:space="0" w:color="auto"/>
            </w:tcBorders>
            <w:noWrap/>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1 167 475,20 zł </w:t>
            </w:r>
          </w:p>
        </w:tc>
        <w:tc>
          <w:tcPr>
            <w:tcW w:w="1827" w:type="dxa"/>
            <w:tcBorders>
              <w:top w:val="nil"/>
              <w:left w:val="single" w:sz="4" w:space="0" w:color="auto"/>
              <w:bottom w:val="nil"/>
              <w:right w:val="single" w:sz="4" w:space="0" w:color="auto"/>
            </w:tcBorders>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28 718,86 zł </w:t>
            </w:r>
          </w:p>
        </w:tc>
        <w:tc>
          <w:tcPr>
            <w:tcW w:w="1701" w:type="dxa"/>
            <w:tcBorders>
              <w:top w:val="nil"/>
              <w:left w:val="single" w:sz="4" w:space="0" w:color="auto"/>
              <w:bottom w:val="nil"/>
              <w:right w:val="nil"/>
            </w:tcBorders>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1 196 194,06 zł </w:t>
            </w:r>
          </w:p>
        </w:tc>
      </w:tr>
      <w:tr w:rsidR="000C4D38" w:rsidRPr="00765C97" w:rsidTr="00440CC1">
        <w:trPr>
          <w:trHeight w:val="255"/>
        </w:trPr>
        <w:tc>
          <w:tcPr>
            <w:tcW w:w="626" w:type="dxa"/>
            <w:tcBorders>
              <w:top w:val="nil"/>
              <w:left w:val="nil"/>
              <w:bottom w:val="nil"/>
              <w:right w:val="single" w:sz="4" w:space="0" w:color="auto"/>
            </w:tcBorders>
            <w:noWrap/>
            <w:vAlign w:val="center"/>
          </w:tcPr>
          <w:p w:rsidR="000C4D38" w:rsidRPr="00765C97" w:rsidRDefault="000C4D38" w:rsidP="00496C6C">
            <w:pPr>
              <w:jc w:val="center"/>
              <w:rPr>
                <w:rFonts w:ascii="Arial" w:hAnsi="Arial" w:cs="Arial"/>
                <w:sz w:val="20"/>
                <w:szCs w:val="20"/>
              </w:rPr>
            </w:pPr>
            <w:r w:rsidRPr="00765C97">
              <w:rPr>
                <w:rFonts w:ascii="Arial" w:hAnsi="Arial" w:cs="Arial"/>
                <w:sz w:val="20"/>
                <w:szCs w:val="20"/>
              </w:rPr>
              <w:t>6</w:t>
            </w:r>
          </w:p>
        </w:tc>
        <w:tc>
          <w:tcPr>
            <w:tcW w:w="2351" w:type="dxa"/>
            <w:tcBorders>
              <w:top w:val="nil"/>
              <w:left w:val="single" w:sz="4" w:space="0" w:color="auto"/>
              <w:bottom w:val="nil"/>
              <w:right w:val="single" w:sz="4" w:space="0" w:color="auto"/>
            </w:tcBorders>
            <w:noWrap/>
            <w:vAlign w:val="center"/>
          </w:tcPr>
          <w:p w:rsidR="000C4D38" w:rsidRPr="00765C97" w:rsidRDefault="000C4D38" w:rsidP="00496C6C">
            <w:pPr>
              <w:rPr>
                <w:rFonts w:ascii="Arial" w:hAnsi="Arial" w:cs="Arial"/>
                <w:sz w:val="20"/>
                <w:szCs w:val="20"/>
              </w:rPr>
            </w:pPr>
            <w:r w:rsidRPr="00765C97">
              <w:rPr>
                <w:rFonts w:ascii="Arial" w:hAnsi="Arial" w:cs="Arial"/>
                <w:sz w:val="20"/>
                <w:szCs w:val="20"/>
              </w:rPr>
              <w:t>Konrad Tarański</w:t>
            </w:r>
          </w:p>
        </w:tc>
        <w:tc>
          <w:tcPr>
            <w:tcW w:w="2000" w:type="dxa"/>
            <w:tcBorders>
              <w:top w:val="nil"/>
              <w:left w:val="single" w:sz="4" w:space="0" w:color="auto"/>
              <w:bottom w:val="nil"/>
              <w:right w:val="single" w:sz="4" w:space="0" w:color="auto"/>
            </w:tcBorders>
            <w:noWrap/>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620 647,11 zł </w:t>
            </w:r>
          </w:p>
        </w:tc>
        <w:tc>
          <w:tcPr>
            <w:tcW w:w="1827" w:type="dxa"/>
            <w:tcBorders>
              <w:top w:val="nil"/>
              <w:left w:val="single" w:sz="4" w:space="0" w:color="auto"/>
              <w:bottom w:val="nil"/>
              <w:right w:val="single" w:sz="4" w:space="0" w:color="auto"/>
            </w:tcBorders>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100 573,14 zł </w:t>
            </w:r>
          </w:p>
        </w:tc>
        <w:tc>
          <w:tcPr>
            <w:tcW w:w="1701" w:type="dxa"/>
            <w:tcBorders>
              <w:top w:val="nil"/>
              <w:left w:val="single" w:sz="4" w:space="0" w:color="auto"/>
              <w:bottom w:val="nil"/>
              <w:right w:val="nil"/>
            </w:tcBorders>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721 220,25 zł </w:t>
            </w:r>
          </w:p>
        </w:tc>
      </w:tr>
      <w:tr w:rsidR="000C4D38" w:rsidRPr="00765C97" w:rsidTr="00440CC1">
        <w:trPr>
          <w:trHeight w:val="255"/>
        </w:trPr>
        <w:tc>
          <w:tcPr>
            <w:tcW w:w="626" w:type="dxa"/>
            <w:tcBorders>
              <w:top w:val="nil"/>
              <w:left w:val="nil"/>
              <w:bottom w:val="nil"/>
              <w:right w:val="single" w:sz="4" w:space="0" w:color="auto"/>
            </w:tcBorders>
            <w:noWrap/>
            <w:vAlign w:val="center"/>
          </w:tcPr>
          <w:p w:rsidR="000C4D38" w:rsidRPr="00765C97" w:rsidRDefault="000C4D38" w:rsidP="00496C6C">
            <w:pPr>
              <w:jc w:val="center"/>
              <w:rPr>
                <w:rFonts w:ascii="Arial" w:hAnsi="Arial" w:cs="Arial"/>
                <w:sz w:val="20"/>
                <w:szCs w:val="20"/>
              </w:rPr>
            </w:pPr>
            <w:r w:rsidRPr="00765C97">
              <w:rPr>
                <w:rFonts w:ascii="Arial" w:hAnsi="Arial" w:cs="Arial"/>
                <w:sz w:val="20"/>
                <w:szCs w:val="20"/>
              </w:rPr>
              <w:t>7</w:t>
            </w:r>
          </w:p>
        </w:tc>
        <w:tc>
          <w:tcPr>
            <w:tcW w:w="2351" w:type="dxa"/>
            <w:tcBorders>
              <w:top w:val="nil"/>
              <w:left w:val="single" w:sz="4" w:space="0" w:color="auto"/>
              <w:bottom w:val="nil"/>
              <w:right w:val="single" w:sz="4" w:space="0" w:color="auto"/>
            </w:tcBorders>
            <w:noWrap/>
            <w:vAlign w:val="center"/>
          </w:tcPr>
          <w:p w:rsidR="000C4D38" w:rsidRPr="00765C97" w:rsidRDefault="000C4D38" w:rsidP="00496C6C">
            <w:pPr>
              <w:rPr>
                <w:rFonts w:ascii="Arial" w:hAnsi="Arial" w:cs="Arial"/>
                <w:sz w:val="20"/>
                <w:szCs w:val="20"/>
              </w:rPr>
            </w:pPr>
            <w:r w:rsidRPr="00765C97">
              <w:rPr>
                <w:rFonts w:ascii="Arial" w:hAnsi="Arial" w:cs="Arial"/>
                <w:sz w:val="20"/>
                <w:szCs w:val="20"/>
              </w:rPr>
              <w:t>Marcin Warwas</w:t>
            </w:r>
          </w:p>
        </w:tc>
        <w:tc>
          <w:tcPr>
            <w:tcW w:w="2000" w:type="dxa"/>
            <w:tcBorders>
              <w:top w:val="nil"/>
              <w:left w:val="single" w:sz="4" w:space="0" w:color="auto"/>
              <w:bottom w:val="nil"/>
              <w:right w:val="single" w:sz="4" w:space="0" w:color="auto"/>
            </w:tcBorders>
            <w:noWrap/>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1 334 169,66 zł </w:t>
            </w:r>
          </w:p>
        </w:tc>
        <w:tc>
          <w:tcPr>
            <w:tcW w:w="1827" w:type="dxa"/>
            <w:tcBorders>
              <w:top w:val="nil"/>
              <w:left w:val="single" w:sz="4" w:space="0" w:color="auto"/>
              <w:bottom w:val="nil"/>
              <w:right w:val="single" w:sz="4" w:space="0" w:color="auto"/>
            </w:tcBorders>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6 000,00 zł </w:t>
            </w:r>
          </w:p>
        </w:tc>
        <w:tc>
          <w:tcPr>
            <w:tcW w:w="1701" w:type="dxa"/>
            <w:tcBorders>
              <w:top w:val="nil"/>
              <w:left w:val="single" w:sz="4" w:space="0" w:color="auto"/>
              <w:bottom w:val="nil"/>
              <w:right w:val="nil"/>
            </w:tcBorders>
            <w:vAlign w:val="center"/>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1 340 169,66 zł </w:t>
            </w:r>
          </w:p>
        </w:tc>
      </w:tr>
      <w:tr w:rsidR="000C4D38" w:rsidRPr="00765C97" w:rsidTr="00440CC1">
        <w:trPr>
          <w:trHeight w:val="255"/>
        </w:trPr>
        <w:tc>
          <w:tcPr>
            <w:tcW w:w="626" w:type="dxa"/>
            <w:tcBorders>
              <w:top w:val="nil"/>
              <w:left w:val="nil"/>
              <w:bottom w:val="nil"/>
              <w:right w:val="single" w:sz="4" w:space="0" w:color="auto"/>
            </w:tcBorders>
            <w:noWrap/>
            <w:vAlign w:val="center"/>
          </w:tcPr>
          <w:p w:rsidR="000C4D38" w:rsidRPr="00765C97" w:rsidRDefault="000C4D38" w:rsidP="00496C6C">
            <w:pPr>
              <w:jc w:val="center"/>
              <w:rPr>
                <w:rFonts w:ascii="Arial" w:hAnsi="Arial" w:cs="Arial"/>
                <w:sz w:val="20"/>
                <w:szCs w:val="20"/>
              </w:rPr>
            </w:pPr>
          </w:p>
        </w:tc>
        <w:tc>
          <w:tcPr>
            <w:tcW w:w="2351" w:type="dxa"/>
            <w:tcBorders>
              <w:top w:val="nil"/>
              <w:left w:val="single" w:sz="4" w:space="0" w:color="auto"/>
              <w:bottom w:val="nil"/>
              <w:right w:val="single" w:sz="4" w:space="0" w:color="auto"/>
            </w:tcBorders>
            <w:noWrap/>
            <w:vAlign w:val="center"/>
          </w:tcPr>
          <w:p w:rsidR="000C4D38" w:rsidRPr="00765C97" w:rsidRDefault="000C4D38" w:rsidP="00496C6C">
            <w:pPr>
              <w:rPr>
                <w:rFonts w:ascii="Arial" w:hAnsi="Arial" w:cs="Arial"/>
                <w:b/>
                <w:sz w:val="20"/>
                <w:szCs w:val="20"/>
              </w:rPr>
            </w:pPr>
            <w:r w:rsidRPr="00765C97">
              <w:rPr>
                <w:rFonts w:ascii="Arial" w:hAnsi="Arial" w:cs="Arial"/>
                <w:b/>
                <w:sz w:val="20"/>
                <w:szCs w:val="20"/>
              </w:rPr>
              <w:t>Razem</w:t>
            </w:r>
          </w:p>
        </w:tc>
        <w:tc>
          <w:tcPr>
            <w:tcW w:w="2000" w:type="dxa"/>
            <w:tcBorders>
              <w:top w:val="nil"/>
              <w:left w:val="single" w:sz="4" w:space="0" w:color="auto"/>
              <w:bottom w:val="nil"/>
              <w:right w:val="single" w:sz="4" w:space="0" w:color="auto"/>
            </w:tcBorders>
            <w:noWrap/>
            <w:vAlign w:val="center"/>
          </w:tcPr>
          <w:p w:rsidR="000C4D38" w:rsidRPr="00765C97" w:rsidRDefault="000C4D38" w:rsidP="00496C6C">
            <w:pPr>
              <w:jc w:val="right"/>
              <w:rPr>
                <w:rFonts w:ascii="Arial" w:hAnsi="Arial" w:cs="Arial"/>
                <w:b/>
                <w:bCs/>
                <w:color w:val="000000"/>
                <w:sz w:val="20"/>
                <w:szCs w:val="20"/>
              </w:rPr>
            </w:pPr>
            <w:r w:rsidRPr="00765C97">
              <w:rPr>
                <w:rFonts w:ascii="Arial" w:hAnsi="Arial" w:cs="Arial"/>
                <w:b/>
                <w:bCs/>
                <w:color w:val="000000"/>
                <w:sz w:val="20"/>
                <w:szCs w:val="20"/>
              </w:rPr>
              <w:t xml:space="preserve">11 516 802,00 zł </w:t>
            </w:r>
          </w:p>
        </w:tc>
        <w:tc>
          <w:tcPr>
            <w:tcW w:w="1827" w:type="dxa"/>
            <w:tcBorders>
              <w:top w:val="nil"/>
              <w:left w:val="single" w:sz="4" w:space="0" w:color="auto"/>
              <w:bottom w:val="nil"/>
              <w:right w:val="single" w:sz="4" w:space="0" w:color="auto"/>
            </w:tcBorders>
            <w:vAlign w:val="center"/>
          </w:tcPr>
          <w:p w:rsidR="000C4D38" w:rsidRPr="00765C97" w:rsidRDefault="000C4D38" w:rsidP="00496C6C">
            <w:pPr>
              <w:jc w:val="right"/>
              <w:rPr>
                <w:rFonts w:ascii="Arial" w:hAnsi="Arial" w:cs="Arial"/>
                <w:b/>
                <w:bCs/>
                <w:color w:val="000000"/>
                <w:sz w:val="20"/>
                <w:szCs w:val="20"/>
              </w:rPr>
            </w:pPr>
            <w:r w:rsidRPr="00765C97">
              <w:rPr>
                <w:rFonts w:ascii="Arial" w:hAnsi="Arial" w:cs="Arial"/>
                <w:b/>
                <w:bCs/>
                <w:color w:val="000000"/>
                <w:sz w:val="20"/>
                <w:szCs w:val="20"/>
              </w:rPr>
              <w:t xml:space="preserve">6 802 803,57 zł </w:t>
            </w:r>
          </w:p>
        </w:tc>
        <w:tc>
          <w:tcPr>
            <w:tcW w:w="1701" w:type="dxa"/>
            <w:tcBorders>
              <w:top w:val="nil"/>
              <w:left w:val="single" w:sz="4" w:space="0" w:color="auto"/>
              <w:bottom w:val="nil"/>
              <w:right w:val="nil"/>
            </w:tcBorders>
            <w:vAlign w:val="center"/>
          </w:tcPr>
          <w:p w:rsidR="000C4D38" w:rsidRPr="00765C97" w:rsidRDefault="000C4D38" w:rsidP="00496C6C">
            <w:pPr>
              <w:jc w:val="right"/>
              <w:rPr>
                <w:rFonts w:ascii="Arial" w:hAnsi="Arial" w:cs="Arial"/>
                <w:b/>
                <w:bCs/>
                <w:color w:val="000000"/>
                <w:sz w:val="20"/>
                <w:szCs w:val="20"/>
              </w:rPr>
            </w:pPr>
            <w:r w:rsidRPr="00765C97">
              <w:rPr>
                <w:rFonts w:ascii="Arial" w:hAnsi="Arial" w:cs="Arial"/>
                <w:b/>
                <w:bCs/>
                <w:color w:val="000000"/>
                <w:sz w:val="20"/>
                <w:szCs w:val="20"/>
              </w:rPr>
              <w:t xml:space="preserve">18 319 605,57 zł </w:t>
            </w:r>
          </w:p>
        </w:tc>
      </w:tr>
    </w:tbl>
    <w:p w:rsidR="000C4D38" w:rsidRPr="00765C97" w:rsidRDefault="000C4D38" w:rsidP="000C4D38">
      <w:pPr>
        <w:adjustRightInd w:val="0"/>
        <w:ind w:left="181"/>
        <w:jc w:val="both"/>
        <w:rPr>
          <w:rFonts w:ascii="Arial" w:hAnsi="Arial"/>
          <w:sz w:val="20"/>
          <w:lang w:val="pl-PL"/>
        </w:rPr>
      </w:pPr>
    </w:p>
    <w:tbl>
      <w:tblPr>
        <w:tblW w:w="8505" w:type="dxa"/>
        <w:tblInd w:w="70" w:type="dxa"/>
        <w:tblCellMar>
          <w:left w:w="70" w:type="dxa"/>
          <w:right w:w="70" w:type="dxa"/>
        </w:tblCellMar>
        <w:tblLook w:val="0000"/>
      </w:tblPr>
      <w:tblGrid>
        <w:gridCol w:w="626"/>
        <w:gridCol w:w="2351"/>
        <w:gridCol w:w="2000"/>
        <w:gridCol w:w="1875"/>
        <w:gridCol w:w="1653"/>
      </w:tblGrid>
      <w:tr w:rsidR="000C4D38" w:rsidRPr="00F346A4" w:rsidTr="00440CC1">
        <w:trPr>
          <w:trHeight w:val="255"/>
        </w:trPr>
        <w:tc>
          <w:tcPr>
            <w:tcW w:w="8505" w:type="dxa"/>
            <w:gridSpan w:val="5"/>
            <w:tcBorders>
              <w:top w:val="nil"/>
              <w:left w:val="nil"/>
              <w:right w:val="nil"/>
            </w:tcBorders>
            <w:noWrap/>
            <w:vAlign w:val="center"/>
          </w:tcPr>
          <w:p w:rsidR="000C4D38" w:rsidRPr="00765C97" w:rsidRDefault="000C4D38" w:rsidP="00496C6C">
            <w:pPr>
              <w:rPr>
                <w:rFonts w:ascii="Arial" w:hAnsi="Arial" w:cs="Arial"/>
                <w:sz w:val="20"/>
                <w:szCs w:val="20"/>
                <w:lang w:val="pl-PL"/>
              </w:rPr>
            </w:pPr>
            <w:r w:rsidRPr="00765C97">
              <w:rPr>
                <w:rFonts w:ascii="Arial" w:hAnsi="Arial" w:cs="Arial"/>
                <w:b/>
                <w:sz w:val="20"/>
                <w:szCs w:val="20"/>
                <w:lang w:val="pl-PL"/>
              </w:rPr>
              <w:t>Rada Nadzorcza Comarch S.A.</w:t>
            </w:r>
          </w:p>
        </w:tc>
      </w:tr>
      <w:tr w:rsidR="000C4D38" w:rsidRPr="00765C97" w:rsidTr="00440CC1">
        <w:trPr>
          <w:trHeight w:val="673"/>
        </w:trPr>
        <w:tc>
          <w:tcPr>
            <w:tcW w:w="626" w:type="dxa"/>
            <w:tcBorders>
              <w:top w:val="nil"/>
              <w:left w:val="nil"/>
              <w:bottom w:val="single" w:sz="4" w:space="0" w:color="auto"/>
              <w:right w:val="single" w:sz="4" w:space="0" w:color="auto"/>
            </w:tcBorders>
            <w:vAlign w:val="bottom"/>
          </w:tcPr>
          <w:p w:rsidR="000C4D38" w:rsidRPr="00765C97" w:rsidRDefault="000C4D38" w:rsidP="00496C6C">
            <w:pPr>
              <w:jc w:val="center"/>
              <w:rPr>
                <w:rFonts w:ascii="Arial" w:hAnsi="Arial" w:cs="Arial"/>
                <w:sz w:val="20"/>
                <w:szCs w:val="20"/>
              </w:rPr>
            </w:pPr>
            <w:r w:rsidRPr="00765C97">
              <w:rPr>
                <w:rFonts w:ascii="Arial" w:hAnsi="Arial" w:cs="Arial"/>
                <w:sz w:val="20"/>
                <w:szCs w:val="20"/>
              </w:rPr>
              <w:t>l.p.</w:t>
            </w:r>
          </w:p>
        </w:tc>
        <w:tc>
          <w:tcPr>
            <w:tcW w:w="2351" w:type="dxa"/>
            <w:tcBorders>
              <w:top w:val="nil"/>
              <w:left w:val="single" w:sz="4" w:space="0" w:color="auto"/>
              <w:bottom w:val="single" w:sz="4" w:space="0" w:color="auto"/>
              <w:right w:val="single" w:sz="4" w:space="0" w:color="auto"/>
            </w:tcBorders>
            <w:vAlign w:val="bottom"/>
          </w:tcPr>
          <w:p w:rsidR="000C4D38" w:rsidRPr="00765C97" w:rsidRDefault="000C4D38" w:rsidP="00496C6C">
            <w:pPr>
              <w:jc w:val="center"/>
              <w:rPr>
                <w:rFonts w:ascii="Arial" w:hAnsi="Arial" w:cs="Arial"/>
                <w:sz w:val="20"/>
                <w:szCs w:val="20"/>
              </w:rPr>
            </w:pPr>
          </w:p>
        </w:tc>
        <w:tc>
          <w:tcPr>
            <w:tcW w:w="2000" w:type="dxa"/>
            <w:tcBorders>
              <w:top w:val="nil"/>
              <w:left w:val="single" w:sz="4" w:space="0" w:color="auto"/>
              <w:bottom w:val="single" w:sz="4" w:space="0" w:color="auto"/>
              <w:right w:val="single" w:sz="4" w:space="0" w:color="auto"/>
            </w:tcBorders>
            <w:vAlign w:val="center"/>
          </w:tcPr>
          <w:p w:rsidR="000C4D38" w:rsidRPr="00765C97" w:rsidRDefault="000C4D38" w:rsidP="00496C6C">
            <w:pPr>
              <w:jc w:val="right"/>
              <w:rPr>
                <w:rFonts w:ascii="Arial" w:hAnsi="Arial" w:cs="Arial"/>
                <w:b/>
                <w:sz w:val="20"/>
                <w:szCs w:val="20"/>
                <w:lang w:val="pl-PL"/>
              </w:rPr>
            </w:pPr>
            <w:r w:rsidRPr="00765C97">
              <w:rPr>
                <w:rFonts w:ascii="Arial" w:hAnsi="Arial" w:cs="Arial"/>
                <w:b/>
                <w:sz w:val="20"/>
                <w:szCs w:val="20"/>
                <w:lang w:val="pl-PL"/>
              </w:rPr>
              <w:t>Wypłacone przez Comarch S.A.</w:t>
            </w:r>
          </w:p>
        </w:tc>
        <w:tc>
          <w:tcPr>
            <w:tcW w:w="1875" w:type="dxa"/>
            <w:tcBorders>
              <w:top w:val="nil"/>
              <w:left w:val="single" w:sz="4" w:space="0" w:color="auto"/>
              <w:bottom w:val="single" w:sz="4" w:space="0" w:color="auto"/>
              <w:right w:val="single" w:sz="4" w:space="0" w:color="auto"/>
            </w:tcBorders>
            <w:vAlign w:val="center"/>
          </w:tcPr>
          <w:p w:rsidR="000C4D38" w:rsidRPr="00765C97" w:rsidRDefault="000C4D38" w:rsidP="00496C6C">
            <w:pPr>
              <w:ind w:left="-86"/>
              <w:jc w:val="right"/>
              <w:rPr>
                <w:rFonts w:ascii="Arial" w:hAnsi="Arial" w:cs="Arial"/>
                <w:b/>
                <w:sz w:val="20"/>
                <w:szCs w:val="20"/>
                <w:lang w:val="pl-PL"/>
              </w:rPr>
            </w:pPr>
            <w:r w:rsidRPr="00765C97">
              <w:rPr>
                <w:rFonts w:ascii="Arial" w:hAnsi="Arial" w:cs="Arial"/>
                <w:b/>
                <w:sz w:val="20"/>
                <w:szCs w:val="20"/>
                <w:lang w:val="pl-PL"/>
              </w:rPr>
              <w:t>Wypłacone przez jednostki zależne i stowarzyszone</w:t>
            </w:r>
          </w:p>
        </w:tc>
        <w:tc>
          <w:tcPr>
            <w:tcW w:w="1653" w:type="dxa"/>
            <w:tcBorders>
              <w:top w:val="nil"/>
              <w:left w:val="single" w:sz="4" w:space="0" w:color="auto"/>
              <w:bottom w:val="single" w:sz="4" w:space="0" w:color="auto"/>
              <w:right w:val="nil"/>
            </w:tcBorders>
            <w:vAlign w:val="center"/>
          </w:tcPr>
          <w:p w:rsidR="000C4D38" w:rsidRPr="00765C97" w:rsidRDefault="000C4D38" w:rsidP="00496C6C">
            <w:pPr>
              <w:jc w:val="right"/>
              <w:rPr>
                <w:rFonts w:ascii="Arial" w:hAnsi="Arial" w:cs="Arial"/>
                <w:b/>
                <w:sz w:val="20"/>
                <w:szCs w:val="20"/>
              </w:rPr>
            </w:pPr>
            <w:r w:rsidRPr="00765C97">
              <w:rPr>
                <w:rFonts w:ascii="Arial" w:hAnsi="Arial" w:cs="Arial"/>
                <w:b/>
                <w:sz w:val="20"/>
                <w:szCs w:val="20"/>
              </w:rPr>
              <w:t>Razem</w:t>
            </w:r>
          </w:p>
        </w:tc>
      </w:tr>
      <w:tr w:rsidR="000C4D38" w:rsidRPr="00765C97" w:rsidTr="00440CC1">
        <w:trPr>
          <w:trHeight w:val="255"/>
        </w:trPr>
        <w:tc>
          <w:tcPr>
            <w:tcW w:w="626" w:type="dxa"/>
            <w:tcBorders>
              <w:top w:val="single" w:sz="4" w:space="0" w:color="auto"/>
              <w:left w:val="nil"/>
              <w:bottom w:val="nil"/>
              <w:right w:val="single" w:sz="4" w:space="0" w:color="auto"/>
            </w:tcBorders>
            <w:noWrap/>
            <w:vAlign w:val="center"/>
          </w:tcPr>
          <w:p w:rsidR="000C4D38" w:rsidRPr="00765C97" w:rsidRDefault="000C4D38" w:rsidP="00496C6C">
            <w:pPr>
              <w:jc w:val="center"/>
              <w:rPr>
                <w:rFonts w:ascii="Arial" w:hAnsi="Arial" w:cs="Arial"/>
                <w:sz w:val="20"/>
                <w:szCs w:val="20"/>
              </w:rPr>
            </w:pPr>
            <w:r w:rsidRPr="00765C97">
              <w:rPr>
                <w:rFonts w:ascii="Arial" w:hAnsi="Arial" w:cs="Arial"/>
                <w:sz w:val="20"/>
                <w:szCs w:val="20"/>
              </w:rPr>
              <w:t>1</w:t>
            </w:r>
          </w:p>
        </w:tc>
        <w:tc>
          <w:tcPr>
            <w:tcW w:w="2351" w:type="dxa"/>
            <w:tcBorders>
              <w:top w:val="single" w:sz="4" w:space="0" w:color="auto"/>
              <w:left w:val="single" w:sz="4" w:space="0" w:color="auto"/>
              <w:bottom w:val="nil"/>
              <w:right w:val="single" w:sz="4" w:space="0" w:color="auto"/>
            </w:tcBorders>
            <w:noWrap/>
            <w:vAlign w:val="center"/>
          </w:tcPr>
          <w:p w:rsidR="000C4D38" w:rsidRPr="00765C97" w:rsidRDefault="000C4D38" w:rsidP="00496C6C">
            <w:pPr>
              <w:rPr>
                <w:rFonts w:ascii="Arial" w:hAnsi="Arial" w:cs="Arial"/>
                <w:sz w:val="20"/>
                <w:szCs w:val="20"/>
              </w:rPr>
            </w:pPr>
            <w:r w:rsidRPr="00765C97">
              <w:rPr>
                <w:rFonts w:ascii="Arial" w:hAnsi="Arial" w:cs="Arial"/>
                <w:sz w:val="20"/>
                <w:szCs w:val="20"/>
              </w:rPr>
              <w:t>Elżbieta Filipiak</w:t>
            </w:r>
          </w:p>
        </w:tc>
        <w:tc>
          <w:tcPr>
            <w:tcW w:w="2000" w:type="dxa"/>
            <w:tcBorders>
              <w:top w:val="single" w:sz="4" w:space="0" w:color="auto"/>
              <w:left w:val="single" w:sz="4" w:space="0" w:color="auto"/>
              <w:bottom w:val="nil"/>
              <w:right w:val="single" w:sz="4" w:space="0" w:color="auto"/>
            </w:tcBorders>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125 453,00 zł </w:t>
            </w:r>
          </w:p>
        </w:tc>
        <w:tc>
          <w:tcPr>
            <w:tcW w:w="1875" w:type="dxa"/>
            <w:tcBorders>
              <w:top w:val="single" w:sz="4" w:space="0" w:color="auto"/>
              <w:left w:val="single" w:sz="4" w:space="0" w:color="auto"/>
              <w:bottom w:val="nil"/>
              <w:right w:val="single" w:sz="4" w:space="0" w:color="auto"/>
            </w:tcBorders>
            <w:noWrap/>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 zł </w:t>
            </w:r>
          </w:p>
        </w:tc>
        <w:tc>
          <w:tcPr>
            <w:tcW w:w="1653" w:type="dxa"/>
            <w:tcBorders>
              <w:top w:val="single" w:sz="4" w:space="0" w:color="auto"/>
              <w:left w:val="single" w:sz="4" w:space="0" w:color="auto"/>
              <w:bottom w:val="nil"/>
              <w:right w:val="nil"/>
            </w:tcBorders>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125 453,00 zł </w:t>
            </w:r>
          </w:p>
        </w:tc>
      </w:tr>
      <w:tr w:rsidR="000C4D38" w:rsidRPr="00765C97" w:rsidTr="00440CC1">
        <w:trPr>
          <w:trHeight w:val="255"/>
        </w:trPr>
        <w:tc>
          <w:tcPr>
            <w:tcW w:w="626" w:type="dxa"/>
            <w:tcBorders>
              <w:top w:val="nil"/>
              <w:left w:val="nil"/>
              <w:bottom w:val="nil"/>
              <w:right w:val="single" w:sz="4" w:space="0" w:color="auto"/>
            </w:tcBorders>
            <w:noWrap/>
            <w:vAlign w:val="center"/>
          </w:tcPr>
          <w:p w:rsidR="000C4D38" w:rsidRPr="00765C97" w:rsidRDefault="000C4D38" w:rsidP="00496C6C">
            <w:pPr>
              <w:jc w:val="center"/>
              <w:rPr>
                <w:rFonts w:ascii="Arial" w:hAnsi="Arial" w:cs="Arial"/>
                <w:sz w:val="20"/>
                <w:szCs w:val="20"/>
              </w:rPr>
            </w:pPr>
            <w:r w:rsidRPr="00765C97">
              <w:rPr>
                <w:rFonts w:ascii="Arial" w:hAnsi="Arial" w:cs="Arial"/>
                <w:sz w:val="20"/>
                <w:szCs w:val="20"/>
              </w:rPr>
              <w:t>2</w:t>
            </w:r>
          </w:p>
        </w:tc>
        <w:tc>
          <w:tcPr>
            <w:tcW w:w="2351" w:type="dxa"/>
            <w:tcBorders>
              <w:top w:val="nil"/>
              <w:left w:val="single" w:sz="4" w:space="0" w:color="auto"/>
              <w:bottom w:val="nil"/>
              <w:right w:val="single" w:sz="4" w:space="0" w:color="auto"/>
            </w:tcBorders>
            <w:noWrap/>
            <w:vAlign w:val="center"/>
          </w:tcPr>
          <w:p w:rsidR="000C4D38" w:rsidRPr="00765C97" w:rsidRDefault="000C4D38" w:rsidP="00496C6C">
            <w:pPr>
              <w:rPr>
                <w:rFonts w:ascii="Arial" w:hAnsi="Arial" w:cs="Arial"/>
                <w:sz w:val="20"/>
                <w:szCs w:val="20"/>
              </w:rPr>
            </w:pPr>
            <w:r w:rsidRPr="00765C97">
              <w:rPr>
                <w:rFonts w:ascii="Arial" w:hAnsi="Arial" w:cs="Arial"/>
                <w:sz w:val="20"/>
                <w:szCs w:val="20"/>
              </w:rPr>
              <w:t>Maciej Brzeziński</w:t>
            </w:r>
          </w:p>
        </w:tc>
        <w:tc>
          <w:tcPr>
            <w:tcW w:w="2000" w:type="dxa"/>
            <w:tcBorders>
              <w:top w:val="nil"/>
              <w:left w:val="single" w:sz="4" w:space="0" w:color="auto"/>
              <w:bottom w:val="nil"/>
              <w:right w:val="single" w:sz="4" w:space="0" w:color="auto"/>
            </w:tcBorders>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30 000,00 zł </w:t>
            </w:r>
          </w:p>
        </w:tc>
        <w:tc>
          <w:tcPr>
            <w:tcW w:w="1875" w:type="dxa"/>
            <w:tcBorders>
              <w:top w:val="nil"/>
              <w:left w:val="single" w:sz="4" w:space="0" w:color="auto"/>
              <w:bottom w:val="nil"/>
              <w:right w:val="single" w:sz="4" w:space="0" w:color="auto"/>
            </w:tcBorders>
            <w:noWrap/>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 zł </w:t>
            </w:r>
          </w:p>
        </w:tc>
        <w:tc>
          <w:tcPr>
            <w:tcW w:w="1653" w:type="dxa"/>
            <w:tcBorders>
              <w:top w:val="nil"/>
              <w:left w:val="single" w:sz="4" w:space="0" w:color="auto"/>
              <w:bottom w:val="nil"/>
              <w:right w:val="nil"/>
            </w:tcBorders>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30 000,00 zł </w:t>
            </w:r>
          </w:p>
        </w:tc>
      </w:tr>
      <w:tr w:rsidR="000C4D38" w:rsidRPr="00765C97" w:rsidTr="00440CC1">
        <w:trPr>
          <w:trHeight w:val="255"/>
        </w:trPr>
        <w:tc>
          <w:tcPr>
            <w:tcW w:w="626" w:type="dxa"/>
            <w:tcBorders>
              <w:top w:val="nil"/>
              <w:left w:val="nil"/>
              <w:bottom w:val="nil"/>
              <w:right w:val="single" w:sz="4" w:space="0" w:color="auto"/>
            </w:tcBorders>
            <w:noWrap/>
            <w:vAlign w:val="center"/>
          </w:tcPr>
          <w:p w:rsidR="000C4D38" w:rsidRPr="00765C97" w:rsidRDefault="000C4D38" w:rsidP="00496C6C">
            <w:pPr>
              <w:jc w:val="center"/>
              <w:rPr>
                <w:rFonts w:ascii="Arial" w:hAnsi="Arial" w:cs="Arial"/>
                <w:sz w:val="20"/>
                <w:szCs w:val="20"/>
              </w:rPr>
            </w:pPr>
            <w:r w:rsidRPr="00765C97">
              <w:rPr>
                <w:rFonts w:ascii="Arial" w:hAnsi="Arial" w:cs="Arial"/>
                <w:sz w:val="20"/>
                <w:szCs w:val="20"/>
              </w:rPr>
              <w:t>3</w:t>
            </w:r>
          </w:p>
        </w:tc>
        <w:tc>
          <w:tcPr>
            <w:tcW w:w="2351" w:type="dxa"/>
            <w:tcBorders>
              <w:top w:val="nil"/>
              <w:left w:val="single" w:sz="4" w:space="0" w:color="auto"/>
              <w:bottom w:val="nil"/>
              <w:right w:val="single" w:sz="4" w:space="0" w:color="auto"/>
            </w:tcBorders>
            <w:noWrap/>
            <w:vAlign w:val="center"/>
          </w:tcPr>
          <w:p w:rsidR="000C4D38" w:rsidRPr="00765C97" w:rsidRDefault="000C4D38" w:rsidP="00496C6C">
            <w:pPr>
              <w:rPr>
                <w:rFonts w:ascii="Arial" w:hAnsi="Arial" w:cs="Arial"/>
                <w:sz w:val="20"/>
                <w:szCs w:val="20"/>
              </w:rPr>
            </w:pPr>
            <w:r w:rsidRPr="00765C97">
              <w:rPr>
                <w:rFonts w:ascii="Arial" w:hAnsi="Arial" w:cs="Arial"/>
                <w:sz w:val="20"/>
                <w:szCs w:val="20"/>
              </w:rPr>
              <w:t>Maciej Czapiewski*</w:t>
            </w:r>
          </w:p>
        </w:tc>
        <w:tc>
          <w:tcPr>
            <w:tcW w:w="2000" w:type="dxa"/>
            <w:tcBorders>
              <w:top w:val="nil"/>
              <w:left w:val="single" w:sz="4" w:space="0" w:color="auto"/>
              <w:bottom w:val="nil"/>
              <w:right w:val="single" w:sz="4" w:space="0" w:color="auto"/>
            </w:tcBorders>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15 000,00 zł </w:t>
            </w:r>
          </w:p>
        </w:tc>
        <w:tc>
          <w:tcPr>
            <w:tcW w:w="1875" w:type="dxa"/>
            <w:tcBorders>
              <w:top w:val="nil"/>
              <w:left w:val="single" w:sz="4" w:space="0" w:color="auto"/>
              <w:bottom w:val="nil"/>
              <w:right w:val="single" w:sz="4" w:space="0" w:color="auto"/>
            </w:tcBorders>
            <w:noWrap/>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 zł </w:t>
            </w:r>
          </w:p>
        </w:tc>
        <w:tc>
          <w:tcPr>
            <w:tcW w:w="1653" w:type="dxa"/>
            <w:tcBorders>
              <w:top w:val="nil"/>
              <w:left w:val="single" w:sz="4" w:space="0" w:color="auto"/>
              <w:bottom w:val="nil"/>
              <w:right w:val="nil"/>
            </w:tcBorders>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15 000,00 zł </w:t>
            </w:r>
          </w:p>
        </w:tc>
      </w:tr>
      <w:tr w:rsidR="000C4D38" w:rsidRPr="00765C97" w:rsidTr="00440CC1">
        <w:trPr>
          <w:trHeight w:val="255"/>
        </w:trPr>
        <w:tc>
          <w:tcPr>
            <w:tcW w:w="626" w:type="dxa"/>
            <w:tcBorders>
              <w:top w:val="nil"/>
              <w:left w:val="nil"/>
              <w:bottom w:val="nil"/>
              <w:right w:val="single" w:sz="4" w:space="0" w:color="auto"/>
            </w:tcBorders>
            <w:noWrap/>
            <w:vAlign w:val="center"/>
          </w:tcPr>
          <w:p w:rsidR="000C4D38" w:rsidRPr="00765C97" w:rsidRDefault="000C4D38" w:rsidP="00496C6C">
            <w:pPr>
              <w:jc w:val="center"/>
              <w:rPr>
                <w:rFonts w:ascii="Arial" w:hAnsi="Arial" w:cs="Arial"/>
                <w:sz w:val="20"/>
                <w:szCs w:val="20"/>
              </w:rPr>
            </w:pPr>
            <w:r w:rsidRPr="00765C97">
              <w:rPr>
                <w:rFonts w:ascii="Arial" w:hAnsi="Arial" w:cs="Arial"/>
                <w:sz w:val="20"/>
                <w:szCs w:val="20"/>
              </w:rPr>
              <w:t>4</w:t>
            </w:r>
          </w:p>
        </w:tc>
        <w:tc>
          <w:tcPr>
            <w:tcW w:w="2351" w:type="dxa"/>
            <w:tcBorders>
              <w:top w:val="nil"/>
              <w:left w:val="single" w:sz="4" w:space="0" w:color="auto"/>
              <w:bottom w:val="nil"/>
              <w:right w:val="single" w:sz="4" w:space="0" w:color="auto"/>
            </w:tcBorders>
            <w:noWrap/>
            <w:vAlign w:val="center"/>
          </w:tcPr>
          <w:p w:rsidR="000C4D38" w:rsidRPr="00765C97" w:rsidRDefault="000C4D38" w:rsidP="00496C6C">
            <w:pPr>
              <w:rPr>
                <w:rFonts w:ascii="Arial" w:hAnsi="Arial" w:cs="Arial"/>
                <w:sz w:val="20"/>
                <w:szCs w:val="20"/>
              </w:rPr>
            </w:pPr>
            <w:r w:rsidRPr="00765C97">
              <w:rPr>
                <w:rFonts w:ascii="Arial" w:hAnsi="Arial" w:cs="Arial"/>
                <w:sz w:val="20"/>
                <w:szCs w:val="20"/>
              </w:rPr>
              <w:t>Danuta Drobniak*</w:t>
            </w:r>
          </w:p>
        </w:tc>
        <w:tc>
          <w:tcPr>
            <w:tcW w:w="2000" w:type="dxa"/>
            <w:tcBorders>
              <w:top w:val="nil"/>
              <w:left w:val="single" w:sz="4" w:space="0" w:color="auto"/>
              <w:bottom w:val="nil"/>
              <w:right w:val="single" w:sz="4" w:space="0" w:color="auto"/>
            </w:tcBorders>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15 238,10 zł </w:t>
            </w:r>
          </w:p>
        </w:tc>
        <w:tc>
          <w:tcPr>
            <w:tcW w:w="1875" w:type="dxa"/>
            <w:tcBorders>
              <w:top w:val="nil"/>
              <w:left w:val="single" w:sz="4" w:space="0" w:color="auto"/>
              <w:bottom w:val="nil"/>
              <w:right w:val="single" w:sz="4" w:space="0" w:color="auto"/>
            </w:tcBorders>
            <w:noWrap/>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 zł </w:t>
            </w:r>
          </w:p>
        </w:tc>
        <w:tc>
          <w:tcPr>
            <w:tcW w:w="1653" w:type="dxa"/>
            <w:tcBorders>
              <w:top w:val="nil"/>
              <w:left w:val="single" w:sz="4" w:space="0" w:color="auto"/>
              <w:bottom w:val="nil"/>
              <w:right w:val="nil"/>
            </w:tcBorders>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15 238,10 zł </w:t>
            </w:r>
          </w:p>
        </w:tc>
      </w:tr>
      <w:tr w:rsidR="000C4D38" w:rsidRPr="00765C97" w:rsidTr="00440CC1">
        <w:trPr>
          <w:trHeight w:val="255"/>
        </w:trPr>
        <w:tc>
          <w:tcPr>
            <w:tcW w:w="626" w:type="dxa"/>
            <w:tcBorders>
              <w:top w:val="nil"/>
              <w:left w:val="nil"/>
              <w:bottom w:val="nil"/>
              <w:right w:val="single" w:sz="4" w:space="0" w:color="auto"/>
            </w:tcBorders>
            <w:noWrap/>
            <w:vAlign w:val="center"/>
          </w:tcPr>
          <w:p w:rsidR="000C4D38" w:rsidRPr="00765C97" w:rsidRDefault="000C4D38" w:rsidP="00496C6C">
            <w:pPr>
              <w:jc w:val="center"/>
              <w:rPr>
                <w:rFonts w:ascii="Arial" w:hAnsi="Arial" w:cs="Arial"/>
                <w:sz w:val="20"/>
                <w:szCs w:val="20"/>
              </w:rPr>
            </w:pPr>
            <w:r w:rsidRPr="00765C97">
              <w:rPr>
                <w:rFonts w:ascii="Arial" w:hAnsi="Arial" w:cs="Arial"/>
                <w:sz w:val="20"/>
                <w:szCs w:val="20"/>
              </w:rPr>
              <w:t>5</w:t>
            </w:r>
          </w:p>
        </w:tc>
        <w:tc>
          <w:tcPr>
            <w:tcW w:w="2351" w:type="dxa"/>
            <w:tcBorders>
              <w:top w:val="nil"/>
              <w:left w:val="single" w:sz="4" w:space="0" w:color="auto"/>
              <w:bottom w:val="nil"/>
              <w:right w:val="single" w:sz="4" w:space="0" w:color="auto"/>
            </w:tcBorders>
            <w:noWrap/>
            <w:vAlign w:val="center"/>
          </w:tcPr>
          <w:p w:rsidR="000C4D38" w:rsidRPr="00765C97" w:rsidRDefault="000C4D38" w:rsidP="00496C6C">
            <w:pPr>
              <w:rPr>
                <w:rFonts w:ascii="Arial" w:hAnsi="Arial" w:cs="Arial"/>
                <w:sz w:val="20"/>
                <w:szCs w:val="20"/>
              </w:rPr>
            </w:pPr>
            <w:r w:rsidRPr="00765C97">
              <w:rPr>
                <w:rFonts w:ascii="Arial" w:hAnsi="Arial" w:cs="Arial"/>
                <w:sz w:val="20"/>
                <w:szCs w:val="20"/>
              </w:rPr>
              <w:t>Wojciech Kucharzyk</w:t>
            </w:r>
          </w:p>
        </w:tc>
        <w:tc>
          <w:tcPr>
            <w:tcW w:w="2000" w:type="dxa"/>
            <w:tcBorders>
              <w:top w:val="nil"/>
              <w:left w:val="single" w:sz="4" w:space="0" w:color="auto"/>
              <w:bottom w:val="nil"/>
              <w:right w:val="single" w:sz="4" w:space="0" w:color="auto"/>
            </w:tcBorders>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30 000,00 zł </w:t>
            </w:r>
          </w:p>
        </w:tc>
        <w:tc>
          <w:tcPr>
            <w:tcW w:w="1875" w:type="dxa"/>
            <w:tcBorders>
              <w:top w:val="nil"/>
              <w:left w:val="single" w:sz="4" w:space="0" w:color="auto"/>
              <w:bottom w:val="nil"/>
              <w:right w:val="single" w:sz="4" w:space="0" w:color="auto"/>
            </w:tcBorders>
            <w:noWrap/>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 zł </w:t>
            </w:r>
          </w:p>
        </w:tc>
        <w:tc>
          <w:tcPr>
            <w:tcW w:w="1653" w:type="dxa"/>
            <w:tcBorders>
              <w:top w:val="nil"/>
              <w:left w:val="single" w:sz="4" w:space="0" w:color="auto"/>
              <w:bottom w:val="nil"/>
              <w:right w:val="nil"/>
            </w:tcBorders>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30 000,00 zł </w:t>
            </w:r>
          </w:p>
        </w:tc>
      </w:tr>
      <w:tr w:rsidR="000C4D38" w:rsidRPr="00765C97" w:rsidTr="00440CC1">
        <w:trPr>
          <w:trHeight w:val="255"/>
        </w:trPr>
        <w:tc>
          <w:tcPr>
            <w:tcW w:w="626" w:type="dxa"/>
            <w:tcBorders>
              <w:top w:val="nil"/>
              <w:left w:val="nil"/>
              <w:bottom w:val="nil"/>
              <w:right w:val="single" w:sz="4" w:space="0" w:color="auto"/>
            </w:tcBorders>
            <w:noWrap/>
            <w:vAlign w:val="center"/>
          </w:tcPr>
          <w:p w:rsidR="000C4D38" w:rsidRPr="00765C97" w:rsidRDefault="000C4D38" w:rsidP="00496C6C">
            <w:pPr>
              <w:jc w:val="center"/>
              <w:rPr>
                <w:rFonts w:ascii="Arial" w:hAnsi="Arial" w:cs="Arial"/>
                <w:sz w:val="20"/>
                <w:szCs w:val="20"/>
              </w:rPr>
            </w:pPr>
            <w:r w:rsidRPr="00765C97">
              <w:rPr>
                <w:rFonts w:ascii="Arial" w:hAnsi="Arial" w:cs="Arial"/>
                <w:sz w:val="20"/>
                <w:szCs w:val="20"/>
              </w:rPr>
              <w:t>6</w:t>
            </w:r>
          </w:p>
        </w:tc>
        <w:tc>
          <w:tcPr>
            <w:tcW w:w="2351" w:type="dxa"/>
            <w:tcBorders>
              <w:top w:val="nil"/>
              <w:left w:val="single" w:sz="4" w:space="0" w:color="auto"/>
              <w:bottom w:val="nil"/>
              <w:right w:val="single" w:sz="4" w:space="0" w:color="auto"/>
            </w:tcBorders>
            <w:noWrap/>
            <w:vAlign w:val="center"/>
          </w:tcPr>
          <w:p w:rsidR="000C4D38" w:rsidRPr="00765C97" w:rsidRDefault="000C4D38" w:rsidP="00496C6C">
            <w:pPr>
              <w:rPr>
                <w:rFonts w:ascii="Arial" w:hAnsi="Arial" w:cs="Arial"/>
                <w:sz w:val="20"/>
                <w:szCs w:val="20"/>
              </w:rPr>
            </w:pPr>
            <w:r w:rsidRPr="00765C97">
              <w:rPr>
                <w:rFonts w:ascii="Arial" w:hAnsi="Arial" w:cs="Arial"/>
                <w:sz w:val="20"/>
                <w:szCs w:val="20"/>
              </w:rPr>
              <w:t>Anna Ławrynowicz</w:t>
            </w:r>
          </w:p>
        </w:tc>
        <w:tc>
          <w:tcPr>
            <w:tcW w:w="2000" w:type="dxa"/>
            <w:tcBorders>
              <w:top w:val="nil"/>
              <w:left w:val="single" w:sz="4" w:space="0" w:color="auto"/>
              <w:bottom w:val="nil"/>
              <w:right w:val="single" w:sz="4" w:space="0" w:color="auto"/>
            </w:tcBorders>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30 000,00 zł </w:t>
            </w:r>
          </w:p>
        </w:tc>
        <w:tc>
          <w:tcPr>
            <w:tcW w:w="1875" w:type="dxa"/>
            <w:tcBorders>
              <w:top w:val="nil"/>
              <w:left w:val="single" w:sz="4" w:space="0" w:color="auto"/>
              <w:bottom w:val="nil"/>
              <w:right w:val="single" w:sz="4" w:space="0" w:color="auto"/>
            </w:tcBorders>
            <w:noWrap/>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 zł </w:t>
            </w:r>
          </w:p>
        </w:tc>
        <w:tc>
          <w:tcPr>
            <w:tcW w:w="1653" w:type="dxa"/>
            <w:tcBorders>
              <w:top w:val="nil"/>
              <w:left w:val="single" w:sz="4" w:space="0" w:color="auto"/>
              <w:bottom w:val="nil"/>
              <w:right w:val="nil"/>
            </w:tcBorders>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30 000,00 zł </w:t>
            </w:r>
          </w:p>
        </w:tc>
      </w:tr>
      <w:tr w:rsidR="000C4D38" w:rsidRPr="00765C97" w:rsidTr="00440CC1">
        <w:trPr>
          <w:trHeight w:val="255"/>
        </w:trPr>
        <w:tc>
          <w:tcPr>
            <w:tcW w:w="626" w:type="dxa"/>
            <w:tcBorders>
              <w:top w:val="nil"/>
              <w:left w:val="nil"/>
              <w:bottom w:val="nil"/>
              <w:right w:val="single" w:sz="4" w:space="0" w:color="auto"/>
            </w:tcBorders>
            <w:noWrap/>
            <w:vAlign w:val="center"/>
          </w:tcPr>
          <w:p w:rsidR="000C4D38" w:rsidRPr="00765C97" w:rsidRDefault="000C4D38" w:rsidP="00496C6C">
            <w:pPr>
              <w:jc w:val="center"/>
              <w:rPr>
                <w:rFonts w:ascii="Arial" w:hAnsi="Arial" w:cs="Arial"/>
                <w:sz w:val="20"/>
                <w:szCs w:val="20"/>
              </w:rPr>
            </w:pPr>
            <w:r w:rsidRPr="00765C97">
              <w:rPr>
                <w:rFonts w:ascii="Arial" w:hAnsi="Arial" w:cs="Arial"/>
                <w:sz w:val="20"/>
                <w:szCs w:val="20"/>
              </w:rPr>
              <w:t>7</w:t>
            </w:r>
          </w:p>
        </w:tc>
        <w:tc>
          <w:tcPr>
            <w:tcW w:w="2351" w:type="dxa"/>
            <w:tcBorders>
              <w:top w:val="nil"/>
              <w:left w:val="single" w:sz="4" w:space="0" w:color="auto"/>
              <w:bottom w:val="nil"/>
              <w:right w:val="single" w:sz="4" w:space="0" w:color="auto"/>
            </w:tcBorders>
            <w:noWrap/>
            <w:vAlign w:val="center"/>
          </w:tcPr>
          <w:p w:rsidR="000C4D38" w:rsidRPr="00765C97" w:rsidRDefault="000C4D38" w:rsidP="00496C6C">
            <w:pPr>
              <w:rPr>
                <w:rFonts w:ascii="Arial" w:hAnsi="Arial" w:cs="Arial"/>
                <w:sz w:val="20"/>
                <w:szCs w:val="20"/>
              </w:rPr>
            </w:pPr>
            <w:r w:rsidRPr="00765C97">
              <w:rPr>
                <w:rFonts w:ascii="Arial" w:hAnsi="Arial" w:cs="Arial"/>
                <w:sz w:val="20"/>
                <w:szCs w:val="20"/>
              </w:rPr>
              <w:t>Tadeusz Syryjczyk</w:t>
            </w:r>
          </w:p>
        </w:tc>
        <w:tc>
          <w:tcPr>
            <w:tcW w:w="2000" w:type="dxa"/>
            <w:tcBorders>
              <w:top w:val="nil"/>
              <w:left w:val="single" w:sz="4" w:space="0" w:color="auto"/>
              <w:bottom w:val="nil"/>
              <w:right w:val="single" w:sz="4" w:space="0" w:color="auto"/>
            </w:tcBorders>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30 000,00 zł </w:t>
            </w:r>
          </w:p>
        </w:tc>
        <w:tc>
          <w:tcPr>
            <w:tcW w:w="1875" w:type="dxa"/>
            <w:tcBorders>
              <w:top w:val="nil"/>
              <w:left w:val="single" w:sz="4" w:space="0" w:color="auto"/>
              <w:bottom w:val="nil"/>
              <w:right w:val="single" w:sz="4" w:space="0" w:color="auto"/>
            </w:tcBorders>
            <w:noWrap/>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 zł </w:t>
            </w:r>
          </w:p>
        </w:tc>
        <w:tc>
          <w:tcPr>
            <w:tcW w:w="1653" w:type="dxa"/>
            <w:tcBorders>
              <w:top w:val="nil"/>
              <w:left w:val="single" w:sz="4" w:space="0" w:color="auto"/>
              <w:bottom w:val="nil"/>
              <w:right w:val="nil"/>
            </w:tcBorders>
            <w:vAlign w:val="bottom"/>
          </w:tcPr>
          <w:p w:rsidR="000C4D38" w:rsidRPr="00765C97" w:rsidRDefault="000C4D38" w:rsidP="00496C6C">
            <w:pPr>
              <w:jc w:val="right"/>
              <w:rPr>
                <w:rFonts w:ascii="Arial" w:hAnsi="Arial" w:cs="Arial"/>
                <w:color w:val="000000"/>
                <w:sz w:val="20"/>
                <w:szCs w:val="20"/>
              </w:rPr>
            </w:pPr>
            <w:r w:rsidRPr="00765C97">
              <w:rPr>
                <w:rFonts w:ascii="Arial" w:hAnsi="Arial" w:cs="Arial"/>
                <w:color w:val="000000"/>
                <w:sz w:val="20"/>
                <w:szCs w:val="20"/>
              </w:rPr>
              <w:t xml:space="preserve">30 000,00 zł </w:t>
            </w:r>
          </w:p>
        </w:tc>
      </w:tr>
      <w:tr w:rsidR="000C4D38" w:rsidRPr="00765C97" w:rsidTr="00440CC1">
        <w:trPr>
          <w:trHeight w:val="255"/>
        </w:trPr>
        <w:tc>
          <w:tcPr>
            <w:tcW w:w="626" w:type="dxa"/>
            <w:tcBorders>
              <w:top w:val="nil"/>
              <w:left w:val="nil"/>
              <w:bottom w:val="nil"/>
              <w:right w:val="single" w:sz="4" w:space="0" w:color="auto"/>
            </w:tcBorders>
            <w:noWrap/>
            <w:vAlign w:val="center"/>
          </w:tcPr>
          <w:p w:rsidR="000C4D38" w:rsidRPr="00765C97" w:rsidRDefault="000C4D38" w:rsidP="00496C6C">
            <w:pPr>
              <w:jc w:val="center"/>
              <w:rPr>
                <w:rFonts w:ascii="Arial" w:hAnsi="Arial" w:cs="Arial"/>
                <w:b/>
                <w:sz w:val="20"/>
                <w:szCs w:val="20"/>
              </w:rPr>
            </w:pPr>
          </w:p>
        </w:tc>
        <w:tc>
          <w:tcPr>
            <w:tcW w:w="2351" w:type="dxa"/>
            <w:tcBorders>
              <w:top w:val="nil"/>
              <w:left w:val="single" w:sz="4" w:space="0" w:color="auto"/>
              <w:bottom w:val="nil"/>
              <w:right w:val="single" w:sz="4" w:space="0" w:color="auto"/>
            </w:tcBorders>
            <w:noWrap/>
            <w:vAlign w:val="center"/>
          </w:tcPr>
          <w:p w:rsidR="000C4D38" w:rsidRPr="00765C97" w:rsidRDefault="000C4D38" w:rsidP="00496C6C">
            <w:pPr>
              <w:rPr>
                <w:rFonts w:ascii="Arial" w:hAnsi="Arial" w:cs="Arial"/>
                <w:b/>
                <w:sz w:val="20"/>
                <w:szCs w:val="20"/>
              </w:rPr>
            </w:pPr>
            <w:r w:rsidRPr="00765C97">
              <w:rPr>
                <w:rFonts w:ascii="Arial" w:hAnsi="Arial" w:cs="Arial"/>
                <w:b/>
                <w:sz w:val="20"/>
                <w:szCs w:val="20"/>
              </w:rPr>
              <w:t>Razem</w:t>
            </w:r>
          </w:p>
        </w:tc>
        <w:tc>
          <w:tcPr>
            <w:tcW w:w="2000" w:type="dxa"/>
            <w:tcBorders>
              <w:top w:val="nil"/>
              <w:left w:val="single" w:sz="4" w:space="0" w:color="auto"/>
              <w:bottom w:val="nil"/>
              <w:right w:val="single" w:sz="4" w:space="0" w:color="auto"/>
            </w:tcBorders>
            <w:vAlign w:val="bottom"/>
          </w:tcPr>
          <w:p w:rsidR="000C4D38" w:rsidRPr="00765C97" w:rsidRDefault="000C4D38" w:rsidP="00496C6C">
            <w:pPr>
              <w:jc w:val="right"/>
              <w:rPr>
                <w:rFonts w:ascii="Arial" w:hAnsi="Arial" w:cs="Arial"/>
                <w:b/>
                <w:bCs/>
                <w:color w:val="000000"/>
                <w:sz w:val="20"/>
                <w:szCs w:val="20"/>
              </w:rPr>
            </w:pPr>
            <w:r w:rsidRPr="00765C97">
              <w:rPr>
                <w:rFonts w:ascii="Arial" w:hAnsi="Arial" w:cs="Arial"/>
                <w:b/>
                <w:bCs/>
                <w:color w:val="000000"/>
                <w:sz w:val="20"/>
                <w:szCs w:val="20"/>
              </w:rPr>
              <w:t xml:space="preserve">275 691,10 zł </w:t>
            </w:r>
          </w:p>
        </w:tc>
        <w:tc>
          <w:tcPr>
            <w:tcW w:w="1875" w:type="dxa"/>
            <w:tcBorders>
              <w:top w:val="nil"/>
              <w:left w:val="single" w:sz="4" w:space="0" w:color="auto"/>
              <w:bottom w:val="nil"/>
              <w:right w:val="single" w:sz="4" w:space="0" w:color="auto"/>
            </w:tcBorders>
            <w:noWrap/>
            <w:vAlign w:val="bottom"/>
          </w:tcPr>
          <w:p w:rsidR="000C4D38" w:rsidRPr="00765C97" w:rsidRDefault="000C4D38" w:rsidP="00496C6C">
            <w:pPr>
              <w:jc w:val="right"/>
              <w:rPr>
                <w:rFonts w:ascii="Arial" w:hAnsi="Arial" w:cs="Arial"/>
                <w:b/>
                <w:bCs/>
                <w:color w:val="000000"/>
                <w:sz w:val="20"/>
                <w:szCs w:val="20"/>
              </w:rPr>
            </w:pPr>
            <w:r w:rsidRPr="00765C97">
              <w:rPr>
                <w:rFonts w:ascii="Arial" w:hAnsi="Arial" w:cs="Arial"/>
                <w:b/>
                <w:bCs/>
                <w:color w:val="000000"/>
                <w:sz w:val="20"/>
                <w:szCs w:val="20"/>
              </w:rPr>
              <w:t xml:space="preserve">- zł </w:t>
            </w:r>
          </w:p>
        </w:tc>
        <w:tc>
          <w:tcPr>
            <w:tcW w:w="1653" w:type="dxa"/>
            <w:tcBorders>
              <w:top w:val="nil"/>
              <w:left w:val="single" w:sz="4" w:space="0" w:color="auto"/>
              <w:bottom w:val="nil"/>
              <w:right w:val="nil"/>
            </w:tcBorders>
            <w:vAlign w:val="bottom"/>
          </w:tcPr>
          <w:p w:rsidR="000C4D38" w:rsidRPr="00765C97" w:rsidRDefault="000C4D38" w:rsidP="00496C6C">
            <w:pPr>
              <w:jc w:val="right"/>
              <w:rPr>
                <w:rFonts w:ascii="Arial" w:hAnsi="Arial" w:cs="Arial"/>
                <w:b/>
                <w:bCs/>
                <w:color w:val="000000"/>
                <w:sz w:val="20"/>
                <w:szCs w:val="20"/>
              </w:rPr>
            </w:pPr>
            <w:r w:rsidRPr="00765C97">
              <w:rPr>
                <w:rFonts w:ascii="Arial" w:hAnsi="Arial" w:cs="Arial"/>
                <w:b/>
                <w:bCs/>
                <w:color w:val="000000"/>
                <w:sz w:val="20"/>
                <w:szCs w:val="20"/>
              </w:rPr>
              <w:t xml:space="preserve">275 691,10 zł </w:t>
            </w:r>
          </w:p>
        </w:tc>
      </w:tr>
    </w:tbl>
    <w:p w:rsidR="000C4D38" w:rsidRPr="00765C97" w:rsidRDefault="000C4D38" w:rsidP="000C4D38">
      <w:pPr>
        <w:adjustRightInd w:val="0"/>
        <w:ind w:left="181"/>
        <w:jc w:val="both"/>
        <w:rPr>
          <w:rFonts w:ascii="Arial" w:hAnsi="Arial"/>
          <w:sz w:val="20"/>
          <w:lang w:val="pl-PL"/>
        </w:rPr>
      </w:pPr>
    </w:p>
    <w:p w:rsidR="000C4D38" w:rsidRPr="00765C97" w:rsidRDefault="000C4D38" w:rsidP="00666931">
      <w:pPr>
        <w:adjustRightInd w:val="0"/>
        <w:jc w:val="both"/>
        <w:rPr>
          <w:rFonts w:ascii="Arial" w:hAnsi="Arial" w:cs="Arial"/>
          <w:i/>
          <w:sz w:val="18"/>
          <w:szCs w:val="18"/>
          <w:lang w:val="pl-PL"/>
        </w:rPr>
      </w:pPr>
      <w:r w:rsidRPr="00765C97">
        <w:rPr>
          <w:rFonts w:ascii="Arial" w:hAnsi="Arial" w:cs="Arial"/>
          <w:i/>
          <w:sz w:val="18"/>
          <w:szCs w:val="18"/>
          <w:lang w:val="pl-PL"/>
        </w:rPr>
        <w:t>*) Walne Zgromadzenie Akcjonariuszy Comarch S.A. z dnia 29 czerwca 2011 r. podjęło uchwały w sprawie odwołania członka Rady Nadzorczej Comarch S.A. Pana Macieja Czapiewskiego i powołania nowego członka Rady Nadzorczej Spółki Pani Danuty Drobniak.</w:t>
      </w:r>
    </w:p>
    <w:p w:rsidR="00734AB3" w:rsidRPr="00765C97" w:rsidRDefault="00734AB3" w:rsidP="004B1467">
      <w:pPr>
        <w:adjustRightInd w:val="0"/>
        <w:ind w:left="180"/>
        <w:rPr>
          <w:rFonts w:ascii="Arial" w:hAnsi="Arial"/>
          <w:b/>
          <w:sz w:val="20"/>
          <w:lang w:val="pl-PL"/>
        </w:rPr>
      </w:pPr>
    </w:p>
    <w:p w:rsidR="004B1467" w:rsidRPr="00765C97" w:rsidRDefault="004B1467" w:rsidP="00666931">
      <w:pPr>
        <w:adjustRightInd w:val="0"/>
        <w:rPr>
          <w:rFonts w:ascii="Arial" w:hAnsi="Arial"/>
          <w:b/>
          <w:sz w:val="20"/>
          <w:lang w:val="pl-PL"/>
        </w:rPr>
      </w:pPr>
      <w:r w:rsidRPr="00765C97">
        <w:rPr>
          <w:rFonts w:ascii="Arial" w:hAnsi="Arial"/>
          <w:b/>
          <w:sz w:val="20"/>
          <w:lang w:val="pl-PL"/>
        </w:rPr>
        <w:t>ROK 201</w:t>
      </w:r>
      <w:r w:rsidR="000C4D38" w:rsidRPr="00765C97">
        <w:rPr>
          <w:rFonts w:ascii="Arial" w:hAnsi="Arial"/>
          <w:b/>
          <w:sz w:val="20"/>
          <w:lang w:val="pl-PL"/>
        </w:rPr>
        <w:t>2</w:t>
      </w:r>
      <w:r w:rsidRPr="00765C97">
        <w:rPr>
          <w:rFonts w:ascii="Arial" w:hAnsi="Arial"/>
          <w:b/>
          <w:sz w:val="20"/>
          <w:lang w:val="pl-PL"/>
        </w:rPr>
        <w:t xml:space="preserve"> (w zł.)</w:t>
      </w:r>
    </w:p>
    <w:p w:rsidR="004B1467" w:rsidRPr="00765C97" w:rsidRDefault="004B1467" w:rsidP="00666931">
      <w:pPr>
        <w:adjustRightInd w:val="0"/>
        <w:rPr>
          <w:rFonts w:ascii="Arial" w:hAnsi="Arial"/>
          <w:b/>
          <w:sz w:val="20"/>
          <w:lang w:val="pl-PL"/>
        </w:rPr>
      </w:pPr>
    </w:p>
    <w:tbl>
      <w:tblPr>
        <w:tblW w:w="8362" w:type="dxa"/>
        <w:tblInd w:w="55" w:type="dxa"/>
        <w:tblLayout w:type="fixed"/>
        <w:tblCellMar>
          <w:left w:w="70" w:type="dxa"/>
          <w:right w:w="70" w:type="dxa"/>
        </w:tblCellMar>
        <w:tblLook w:val="04A0"/>
      </w:tblPr>
      <w:tblGrid>
        <w:gridCol w:w="441"/>
        <w:gridCol w:w="1842"/>
        <w:gridCol w:w="1778"/>
        <w:gridCol w:w="2191"/>
        <w:gridCol w:w="2110"/>
      </w:tblGrid>
      <w:tr w:rsidR="000C4D38" w:rsidRPr="00765C97" w:rsidTr="000C4D38">
        <w:trPr>
          <w:trHeight w:val="257"/>
        </w:trPr>
        <w:tc>
          <w:tcPr>
            <w:tcW w:w="8362" w:type="dxa"/>
            <w:gridSpan w:val="5"/>
            <w:noWrap/>
            <w:vAlign w:val="center"/>
            <w:hideMark/>
          </w:tcPr>
          <w:p w:rsidR="000C4D38" w:rsidRPr="00765C97" w:rsidRDefault="000C4D38">
            <w:pPr>
              <w:rPr>
                <w:rFonts w:ascii="Arial" w:hAnsi="Arial" w:cs="Arial"/>
                <w:b/>
                <w:sz w:val="20"/>
                <w:szCs w:val="20"/>
              </w:rPr>
            </w:pPr>
            <w:r w:rsidRPr="00765C97">
              <w:rPr>
                <w:rFonts w:ascii="Arial" w:hAnsi="Arial" w:cs="Arial"/>
                <w:b/>
                <w:sz w:val="20"/>
                <w:szCs w:val="20"/>
              </w:rPr>
              <w:t>Zarząd Comarch S.A.</w:t>
            </w:r>
          </w:p>
        </w:tc>
      </w:tr>
      <w:tr w:rsidR="000C4D38" w:rsidRPr="00765C97" w:rsidTr="0017164D">
        <w:trPr>
          <w:trHeight w:val="577"/>
        </w:trPr>
        <w:tc>
          <w:tcPr>
            <w:tcW w:w="441" w:type="dxa"/>
            <w:tcBorders>
              <w:top w:val="nil"/>
              <w:left w:val="nil"/>
              <w:bottom w:val="single" w:sz="4" w:space="0" w:color="auto"/>
              <w:right w:val="single" w:sz="4" w:space="0" w:color="auto"/>
            </w:tcBorders>
            <w:noWrap/>
            <w:vAlign w:val="center"/>
            <w:hideMark/>
          </w:tcPr>
          <w:p w:rsidR="000C4D38" w:rsidRPr="00765C97" w:rsidRDefault="000C4D38">
            <w:pPr>
              <w:rPr>
                <w:rFonts w:ascii="Arial" w:hAnsi="Arial" w:cs="Arial"/>
                <w:sz w:val="20"/>
                <w:szCs w:val="20"/>
              </w:rPr>
            </w:pPr>
            <w:r w:rsidRPr="00765C97">
              <w:rPr>
                <w:rFonts w:ascii="Arial" w:hAnsi="Arial" w:cs="Arial"/>
                <w:sz w:val="20"/>
                <w:szCs w:val="20"/>
              </w:rPr>
              <w:t>l.p.</w:t>
            </w:r>
          </w:p>
        </w:tc>
        <w:tc>
          <w:tcPr>
            <w:tcW w:w="1842" w:type="dxa"/>
            <w:tcBorders>
              <w:top w:val="nil"/>
              <w:left w:val="single" w:sz="4" w:space="0" w:color="auto"/>
              <w:bottom w:val="single" w:sz="4" w:space="0" w:color="auto"/>
              <w:right w:val="single" w:sz="4" w:space="0" w:color="auto"/>
            </w:tcBorders>
            <w:vAlign w:val="center"/>
          </w:tcPr>
          <w:p w:rsidR="000C4D38" w:rsidRPr="00765C97" w:rsidRDefault="000C4D38">
            <w:pPr>
              <w:rPr>
                <w:rFonts w:ascii="Arial" w:hAnsi="Arial" w:cs="Arial"/>
                <w:b/>
                <w:sz w:val="20"/>
                <w:szCs w:val="20"/>
              </w:rPr>
            </w:pPr>
          </w:p>
        </w:tc>
        <w:tc>
          <w:tcPr>
            <w:tcW w:w="1778" w:type="dxa"/>
            <w:tcBorders>
              <w:top w:val="nil"/>
              <w:left w:val="single" w:sz="4" w:space="0" w:color="auto"/>
              <w:bottom w:val="single" w:sz="4" w:space="0" w:color="auto"/>
              <w:right w:val="single" w:sz="4" w:space="0" w:color="auto"/>
            </w:tcBorders>
            <w:vAlign w:val="center"/>
            <w:hideMark/>
          </w:tcPr>
          <w:p w:rsidR="000C4D38" w:rsidRPr="00765C97" w:rsidRDefault="000C4D38">
            <w:pPr>
              <w:jc w:val="right"/>
              <w:rPr>
                <w:rFonts w:ascii="Arial" w:hAnsi="Arial" w:cs="Arial"/>
                <w:b/>
                <w:sz w:val="20"/>
                <w:szCs w:val="20"/>
                <w:lang w:val="pl-PL"/>
              </w:rPr>
            </w:pPr>
            <w:r w:rsidRPr="00765C97">
              <w:rPr>
                <w:rFonts w:ascii="Arial" w:hAnsi="Arial" w:cs="Arial"/>
                <w:b/>
                <w:sz w:val="20"/>
                <w:szCs w:val="20"/>
                <w:lang w:val="pl-PL"/>
              </w:rPr>
              <w:t>Wypłacone przez Comarch S.A.</w:t>
            </w:r>
          </w:p>
        </w:tc>
        <w:tc>
          <w:tcPr>
            <w:tcW w:w="2191" w:type="dxa"/>
            <w:tcBorders>
              <w:top w:val="nil"/>
              <w:left w:val="single" w:sz="4" w:space="0" w:color="auto"/>
              <w:bottom w:val="single" w:sz="4" w:space="0" w:color="auto"/>
              <w:right w:val="single" w:sz="4" w:space="0" w:color="auto"/>
            </w:tcBorders>
            <w:vAlign w:val="center"/>
            <w:hideMark/>
          </w:tcPr>
          <w:p w:rsidR="000C4D38" w:rsidRPr="00765C97" w:rsidRDefault="000C4D38">
            <w:pPr>
              <w:jc w:val="right"/>
              <w:rPr>
                <w:rFonts w:ascii="Arial" w:hAnsi="Arial" w:cs="Arial"/>
                <w:b/>
                <w:sz w:val="20"/>
                <w:szCs w:val="20"/>
                <w:lang w:val="pl-PL"/>
              </w:rPr>
            </w:pPr>
            <w:r w:rsidRPr="00765C97">
              <w:rPr>
                <w:rFonts w:ascii="Arial" w:hAnsi="Arial" w:cs="Arial"/>
                <w:b/>
                <w:sz w:val="20"/>
                <w:szCs w:val="20"/>
                <w:lang w:val="pl-PL"/>
              </w:rPr>
              <w:t>Wypłacone przez jednostki zależne i stowarzyszone</w:t>
            </w:r>
          </w:p>
        </w:tc>
        <w:tc>
          <w:tcPr>
            <w:tcW w:w="2110" w:type="dxa"/>
            <w:tcBorders>
              <w:top w:val="nil"/>
              <w:left w:val="single" w:sz="4" w:space="0" w:color="auto"/>
              <w:bottom w:val="single" w:sz="4" w:space="0" w:color="auto"/>
              <w:right w:val="nil"/>
            </w:tcBorders>
            <w:vAlign w:val="center"/>
            <w:hideMark/>
          </w:tcPr>
          <w:p w:rsidR="000C4D38" w:rsidRPr="00765C97" w:rsidRDefault="000C4D38">
            <w:pPr>
              <w:ind w:left="312"/>
              <w:jc w:val="right"/>
              <w:rPr>
                <w:rFonts w:ascii="Arial" w:hAnsi="Arial" w:cs="Arial"/>
                <w:b/>
                <w:sz w:val="20"/>
                <w:szCs w:val="20"/>
              </w:rPr>
            </w:pPr>
            <w:r w:rsidRPr="00765C97">
              <w:rPr>
                <w:rFonts w:ascii="Arial" w:hAnsi="Arial" w:cs="Arial"/>
                <w:b/>
                <w:sz w:val="20"/>
                <w:szCs w:val="20"/>
              </w:rPr>
              <w:t>Razem</w:t>
            </w:r>
          </w:p>
        </w:tc>
      </w:tr>
      <w:tr w:rsidR="00EB4F7C" w:rsidRPr="00765C97" w:rsidTr="00CD3E86">
        <w:trPr>
          <w:trHeight w:val="257"/>
        </w:trPr>
        <w:tc>
          <w:tcPr>
            <w:tcW w:w="441" w:type="dxa"/>
            <w:tcBorders>
              <w:top w:val="single" w:sz="4" w:space="0" w:color="auto"/>
              <w:left w:val="nil"/>
              <w:bottom w:val="nil"/>
              <w:right w:val="single" w:sz="4" w:space="0" w:color="auto"/>
            </w:tcBorders>
            <w:noWrap/>
            <w:vAlign w:val="center"/>
            <w:hideMark/>
          </w:tcPr>
          <w:p w:rsidR="00EB4F7C" w:rsidRPr="00765C97" w:rsidRDefault="00EB4F7C">
            <w:pPr>
              <w:jc w:val="center"/>
              <w:rPr>
                <w:rFonts w:ascii="Arial" w:hAnsi="Arial" w:cs="Arial"/>
                <w:sz w:val="20"/>
                <w:szCs w:val="20"/>
              </w:rPr>
            </w:pPr>
            <w:r w:rsidRPr="00765C97">
              <w:rPr>
                <w:rFonts w:ascii="Arial" w:hAnsi="Arial" w:cs="Arial"/>
                <w:sz w:val="20"/>
                <w:szCs w:val="20"/>
              </w:rPr>
              <w:t>1</w:t>
            </w:r>
          </w:p>
        </w:tc>
        <w:tc>
          <w:tcPr>
            <w:tcW w:w="1842" w:type="dxa"/>
            <w:tcBorders>
              <w:top w:val="single" w:sz="4" w:space="0" w:color="auto"/>
              <w:left w:val="single" w:sz="4" w:space="0" w:color="auto"/>
              <w:bottom w:val="nil"/>
              <w:right w:val="single" w:sz="4" w:space="0" w:color="auto"/>
            </w:tcBorders>
            <w:noWrap/>
            <w:vAlign w:val="center"/>
            <w:hideMark/>
          </w:tcPr>
          <w:p w:rsidR="00EB4F7C" w:rsidRDefault="00EB4F7C">
            <w:pPr>
              <w:rPr>
                <w:rFonts w:ascii="Arial" w:hAnsi="Arial" w:cs="Arial"/>
                <w:sz w:val="20"/>
                <w:szCs w:val="20"/>
              </w:rPr>
            </w:pPr>
            <w:r>
              <w:rPr>
                <w:rFonts w:ascii="Arial" w:hAnsi="Arial" w:cs="Arial"/>
                <w:sz w:val="20"/>
                <w:szCs w:val="20"/>
              </w:rPr>
              <w:t>Janusz Filipiak</w:t>
            </w:r>
          </w:p>
        </w:tc>
        <w:tc>
          <w:tcPr>
            <w:tcW w:w="1778" w:type="dxa"/>
            <w:tcBorders>
              <w:top w:val="single" w:sz="4" w:space="0" w:color="auto"/>
              <w:left w:val="single" w:sz="4" w:space="0" w:color="auto"/>
              <w:bottom w:val="nil"/>
              <w:right w:val="single" w:sz="4" w:space="0" w:color="auto"/>
            </w:tcBorders>
            <w:noWrap/>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 xml:space="preserve">6 052 464,00 zł </w:t>
            </w:r>
          </w:p>
        </w:tc>
        <w:tc>
          <w:tcPr>
            <w:tcW w:w="2191" w:type="dxa"/>
            <w:tcBorders>
              <w:top w:val="single" w:sz="4" w:space="0" w:color="auto"/>
              <w:left w:val="single" w:sz="4" w:space="0" w:color="auto"/>
              <w:bottom w:val="nil"/>
              <w:right w:val="single" w:sz="4" w:space="0" w:color="auto"/>
            </w:tcBorders>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6 309 300,40 zł</w:t>
            </w:r>
          </w:p>
        </w:tc>
        <w:tc>
          <w:tcPr>
            <w:tcW w:w="2110" w:type="dxa"/>
            <w:tcBorders>
              <w:top w:val="single" w:sz="4" w:space="0" w:color="auto"/>
              <w:left w:val="single" w:sz="4" w:space="0" w:color="auto"/>
              <w:bottom w:val="nil"/>
              <w:right w:val="nil"/>
            </w:tcBorders>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 xml:space="preserve">12 361 764,40 zł </w:t>
            </w:r>
          </w:p>
        </w:tc>
      </w:tr>
      <w:tr w:rsidR="00EB4F7C" w:rsidRPr="00765C97" w:rsidTr="0017164D">
        <w:trPr>
          <w:trHeight w:val="257"/>
        </w:trPr>
        <w:tc>
          <w:tcPr>
            <w:tcW w:w="441" w:type="dxa"/>
            <w:tcBorders>
              <w:top w:val="nil"/>
              <w:left w:val="nil"/>
              <w:bottom w:val="nil"/>
              <w:right w:val="single" w:sz="4" w:space="0" w:color="auto"/>
            </w:tcBorders>
            <w:noWrap/>
            <w:vAlign w:val="center"/>
            <w:hideMark/>
          </w:tcPr>
          <w:p w:rsidR="00EB4F7C" w:rsidRPr="00765C97" w:rsidRDefault="00EB4F7C">
            <w:pPr>
              <w:jc w:val="center"/>
              <w:rPr>
                <w:rFonts w:ascii="Arial" w:hAnsi="Arial" w:cs="Arial"/>
                <w:sz w:val="20"/>
                <w:szCs w:val="20"/>
              </w:rPr>
            </w:pPr>
            <w:r w:rsidRPr="00765C97">
              <w:rPr>
                <w:rFonts w:ascii="Arial" w:hAnsi="Arial" w:cs="Arial"/>
                <w:sz w:val="20"/>
                <w:szCs w:val="20"/>
              </w:rPr>
              <w:t>2</w:t>
            </w:r>
          </w:p>
        </w:tc>
        <w:tc>
          <w:tcPr>
            <w:tcW w:w="1842" w:type="dxa"/>
            <w:tcBorders>
              <w:top w:val="nil"/>
              <w:left w:val="single" w:sz="4" w:space="0" w:color="auto"/>
              <w:bottom w:val="nil"/>
              <w:right w:val="single" w:sz="4" w:space="0" w:color="auto"/>
            </w:tcBorders>
            <w:noWrap/>
            <w:vAlign w:val="center"/>
            <w:hideMark/>
          </w:tcPr>
          <w:p w:rsidR="00EB4F7C" w:rsidRDefault="00EB4F7C">
            <w:pPr>
              <w:rPr>
                <w:rFonts w:ascii="Arial" w:hAnsi="Arial" w:cs="Arial"/>
                <w:sz w:val="20"/>
                <w:szCs w:val="20"/>
              </w:rPr>
            </w:pPr>
            <w:r>
              <w:rPr>
                <w:rFonts w:ascii="Arial" w:hAnsi="Arial" w:cs="Arial"/>
                <w:sz w:val="20"/>
                <w:szCs w:val="20"/>
              </w:rPr>
              <w:t>Piotr Piątosa</w:t>
            </w:r>
          </w:p>
        </w:tc>
        <w:tc>
          <w:tcPr>
            <w:tcW w:w="1778" w:type="dxa"/>
            <w:tcBorders>
              <w:top w:val="nil"/>
              <w:left w:val="single" w:sz="4" w:space="0" w:color="auto"/>
              <w:bottom w:val="nil"/>
              <w:right w:val="single" w:sz="4" w:space="0" w:color="auto"/>
            </w:tcBorders>
            <w:noWrap/>
            <w:vAlign w:val="bottom"/>
            <w:hideMark/>
          </w:tcPr>
          <w:p w:rsidR="00EB4F7C" w:rsidRDefault="00EB4F7C">
            <w:pPr>
              <w:jc w:val="right"/>
              <w:rPr>
                <w:rFonts w:ascii="Arial" w:hAnsi="Arial" w:cs="Arial"/>
                <w:color w:val="000000"/>
                <w:sz w:val="20"/>
                <w:szCs w:val="20"/>
              </w:rPr>
            </w:pPr>
            <w:r>
              <w:rPr>
                <w:rFonts w:ascii="Arial" w:hAnsi="Arial" w:cs="Arial"/>
                <w:color w:val="000000"/>
                <w:sz w:val="20"/>
                <w:szCs w:val="20"/>
              </w:rPr>
              <w:t xml:space="preserve">2 322 144,60 zł </w:t>
            </w:r>
          </w:p>
        </w:tc>
        <w:tc>
          <w:tcPr>
            <w:tcW w:w="2191" w:type="dxa"/>
            <w:tcBorders>
              <w:top w:val="nil"/>
              <w:left w:val="single" w:sz="4" w:space="0" w:color="auto"/>
              <w:bottom w:val="nil"/>
              <w:right w:val="single" w:sz="4" w:space="0" w:color="auto"/>
            </w:tcBorders>
            <w:vAlign w:val="bottom"/>
            <w:hideMark/>
          </w:tcPr>
          <w:p w:rsidR="00EB4F7C" w:rsidRDefault="00EB4F7C">
            <w:pPr>
              <w:jc w:val="right"/>
              <w:rPr>
                <w:rFonts w:ascii="Arial" w:hAnsi="Arial" w:cs="Arial"/>
                <w:color w:val="000000"/>
                <w:sz w:val="20"/>
                <w:szCs w:val="20"/>
              </w:rPr>
            </w:pPr>
            <w:r>
              <w:rPr>
                <w:rFonts w:ascii="Arial" w:hAnsi="Arial" w:cs="Arial"/>
                <w:color w:val="000000"/>
                <w:sz w:val="20"/>
                <w:szCs w:val="20"/>
              </w:rPr>
              <w:t>362 732,40 zł</w:t>
            </w:r>
          </w:p>
        </w:tc>
        <w:tc>
          <w:tcPr>
            <w:tcW w:w="2110" w:type="dxa"/>
            <w:tcBorders>
              <w:top w:val="nil"/>
              <w:left w:val="single" w:sz="4" w:space="0" w:color="auto"/>
              <w:bottom w:val="nil"/>
              <w:right w:val="nil"/>
            </w:tcBorders>
            <w:vAlign w:val="bottom"/>
            <w:hideMark/>
          </w:tcPr>
          <w:p w:rsidR="00EB4F7C" w:rsidRDefault="00EB4F7C">
            <w:pPr>
              <w:jc w:val="right"/>
              <w:rPr>
                <w:rFonts w:ascii="Arial" w:hAnsi="Arial" w:cs="Arial"/>
                <w:color w:val="000000"/>
                <w:sz w:val="20"/>
                <w:szCs w:val="20"/>
              </w:rPr>
            </w:pPr>
            <w:r>
              <w:rPr>
                <w:rFonts w:ascii="Arial" w:hAnsi="Arial" w:cs="Arial"/>
                <w:color w:val="000000"/>
                <w:sz w:val="20"/>
                <w:szCs w:val="20"/>
              </w:rPr>
              <w:t xml:space="preserve">2 684 877,00 zł </w:t>
            </w:r>
          </w:p>
        </w:tc>
      </w:tr>
      <w:tr w:rsidR="00EB4F7C" w:rsidRPr="00765C97" w:rsidTr="00CD3E86">
        <w:trPr>
          <w:trHeight w:val="257"/>
        </w:trPr>
        <w:tc>
          <w:tcPr>
            <w:tcW w:w="441" w:type="dxa"/>
            <w:tcBorders>
              <w:top w:val="nil"/>
              <w:left w:val="nil"/>
              <w:bottom w:val="nil"/>
              <w:right w:val="single" w:sz="4" w:space="0" w:color="auto"/>
            </w:tcBorders>
            <w:noWrap/>
            <w:vAlign w:val="center"/>
            <w:hideMark/>
          </w:tcPr>
          <w:p w:rsidR="00EB4F7C" w:rsidRPr="00765C97" w:rsidRDefault="00EB4F7C">
            <w:pPr>
              <w:jc w:val="center"/>
              <w:rPr>
                <w:rFonts w:ascii="Arial" w:hAnsi="Arial" w:cs="Arial"/>
                <w:sz w:val="20"/>
                <w:szCs w:val="20"/>
              </w:rPr>
            </w:pPr>
            <w:r w:rsidRPr="00765C97">
              <w:rPr>
                <w:rFonts w:ascii="Arial" w:hAnsi="Arial" w:cs="Arial"/>
                <w:sz w:val="20"/>
                <w:szCs w:val="20"/>
              </w:rPr>
              <w:t>3</w:t>
            </w:r>
          </w:p>
        </w:tc>
        <w:tc>
          <w:tcPr>
            <w:tcW w:w="1842" w:type="dxa"/>
            <w:tcBorders>
              <w:top w:val="nil"/>
              <w:left w:val="single" w:sz="4" w:space="0" w:color="auto"/>
              <w:bottom w:val="nil"/>
              <w:right w:val="single" w:sz="4" w:space="0" w:color="auto"/>
            </w:tcBorders>
            <w:noWrap/>
            <w:vAlign w:val="center"/>
            <w:hideMark/>
          </w:tcPr>
          <w:p w:rsidR="00EB4F7C" w:rsidRDefault="00EB4F7C">
            <w:pPr>
              <w:rPr>
                <w:rFonts w:ascii="Arial" w:hAnsi="Arial" w:cs="Arial"/>
                <w:sz w:val="20"/>
                <w:szCs w:val="20"/>
              </w:rPr>
            </w:pPr>
            <w:r>
              <w:rPr>
                <w:rFonts w:ascii="Arial" w:hAnsi="Arial" w:cs="Arial"/>
                <w:sz w:val="20"/>
                <w:szCs w:val="20"/>
              </w:rPr>
              <w:t>Paweł Prokop</w:t>
            </w:r>
          </w:p>
        </w:tc>
        <w:tc>
          <w:tcPr>
            <w:tcW w:w="1778" w:type="dxa"/>
            <w:tcBorders>
              <w:top w:val="nil"/>
              <w:left w:val="single" w:sz="4" w:space="0" w:color="auto"/>
              <w:bottom w:val="nil"/>
              <w:right w:val="single" w:sz="4" w:space="0" w:color="auto"/>
            </w:tcBorders>
            <w:noWrap/>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62</w:t>
            </w:r>
            <w:bookmarkStart w:id="90" w:name="_GoBack"/>
            <w:bookmarkEnd w:id="90"/>
            <w:r>
              <w:rPr>
                <w:rFonts w:ascii="Arial" w:hAnsi="Arial" w:cs="Arial"/>
                <w:color w:val="000000"/>
                <w:sz w:val="20"/>
                <w:szCs w:val="20"/>
              </w:rPr>
              <w:t xml:space="preserve">8 915,15 zł </w:t>
            </w:r>
          </w:p>
        </w:tc>
        <w:tc>
          <w:tcPr>
            <w:tcW w:w="2191" w:type="dxa"/>
            <w:tcBorders>
              <w:top w:val="nil"/>
              <w:left w:val="single" w:sz="4" w:space="0" w:color="auto"/>
              <w:bottom w:val="nil"/>
              <w:right w:val="single" w:sz="4" w:space="0" w:color="auto"/>
            </w:tcBorders>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5 071,00 zł</w:t>
            </w:r>
          </w:p>
        </w:tc>
        <w:tc>
          <w:tcPr>
            <w:tcW w:w="2110" w:type="dxa"/>
            <w:tcBorders>
              <w:top w:val="nil"/>
              <w:left w:val="single" w:sz="4" w:space="0" w:color="auto"/>
              <w:bottom w:val="nil"/>
              <w:right w:val="nil"/>
            </w:tcBorders>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 xml:space="preserve">633 986,15 zł </w:t>
            </w:r>
          </w:p>
        </w:tc>
      </w:tr>
      <w:tr w:rsidR="00EB4F7C" w:rsidRPr="00765C97" w:rsidTr="00CD3E86">
        <w:trPr>
          <w:trHeight w:val="257"/>
        </w:trPr>
        <w:tc>
          <w:tcPr>
            <w:tcW w:w="441" w:type="dxa"/>
            <w:tcBorders>
              <w:top w:val="nil"/>
              <w:left w:val="nil"/>
              <w:bottom w:val="nil"/>
              <w:right w:val="single" w:sz="4" w:space="0" w:color="auto"/>
            </w:tcBorders>
            <w:noWrap/>
            <w:vAlign w:val="center"/>
            <w:hideMark/>
          </w:tcPr>
          <w:p w:rsidR="00EB4F7C" w:rsidRPr="00765C97" w:rsidRDefault="00EB4F7C">
            <w:pPr>
              <w:jc w:val="center"/>
              <w:rPr>
                <w:rFonts w:ascii="Arial" w:hAnsi="Arial" w:cs="Arial"/>
                <w:sz w:val="20"/>
                <w:szCs w:val="20"/>
              </w:rPr>
            </w:pPr>
            <w:r w:rsidRPr="00765C97">
              <w:rPr>
                <w:rFonts w:ascii="Arial" w:hAnsi="Arial" w:cs="Arial"/>
                <w:sz w:val="20"/>
                <w:szCs w:val="20"/>
              </w:rPr>
              <w:t>4</w:t>
            </w:r>
          </w:p>
        </w:tc>
        <w:tc>
          <w:tcPr>
            <w:tcW w:w="1842" w:type="dxa"/>
            <w:tcBorders>
              <w:top w:val="nil"/>
              <w:left w:val="single" w:sz="4" w:space="0" w:color="auto"/>
              <w:bottom w:val="nil"/>
              <w:right w:val="single" w:sz="4" w:space="0" w:color="auto"/>
            </w:tcBorders>
            <w:noWrap/>
            <w:vAlign w:val="center"/>
            <w:hideMark/>
          </w:tcPr>
          <w:p w:rsidR="00EB4F7C" w:rsidRDefault="00EB4F7C">
            <w:pPr>
              <w:rPr>
                <w:rFonts w:ascii="Arial" w:hAnsi="Arial" w:cs="Arial"/>
                <w:sz w:val="20"/>
                <w:szCs w:val="20"/>
              </w:rPr>
            </w:pPr>
            <w:r>
              <w:rPr>
                <w:rFonts w:ascii="Arial" w:hAnsi="Arial" w:cs="Arial"/>
                <w:sz w:val="20"/>
                <w:szCs w:val="20"/>
              </w:rPr>
              <w:t>Piotr Reichert</w:t>
            </w:r>
          </w:p>
        </w:tc>
        <w:tc>
          <w:tcPr>
            <w:tcW w:w="1778" w:type="dxa"/>
            <w:tcBorders>
              <w:top w:val="nil"/>
              <w:left w:val="single" w:sz="4" w:space="0" w:color="auto"/>
              <w:bottom w:val="nil"/>
              <w:right w:val="single" w:sz="4" w:space="0" w:color="auto"/>
            </w:tcBorders>
            <w:noWrap/>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 xml:space="preserve">1 145 744,40 zł </w:t>
            </w:r>
          </w:p>
        </w:tc>
        <w:tc>
          <w:tcPr>
            <w:tcW w:w="2191" w:type="dxa"/>
            <w:tcBorders>
              <w:top w:val="nil"/>
              <w:left w:val="single" w:sz="4" w:space="0" w:color="auto"/>
              <w:bottom w:val="nil"/>
              <w:right w:val="single" w:sz="4" w:space="0" w:color="auto"/>
            </w:tcBorders>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151 201,39 zł</w:t>
            </w:r>
          </w:p>
        </w:tc>
        <w:tc>
          <w:tcPr>
            <w:tcW w:w="2110" w:type="dxa"/>
            <w:tcBorders>
              <w:top w:val="nil"/>
              <w:left w:val="single" w:sz="4" w:space="0" w:color="auto"/>
              <w:bottom w:val="nil"/>
              <w:right w:val="nil"/>
            </w:tcBorders>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 xml:space="preserve">1 296 945,79 zł </w:t>
            </w:r>
          </w:p>
        </w:tc>
      </w:tr>
      <w:tr w:rsidR="00EB4F7C" w:rsidRPr="00765C97" w:rsidTr="00CD3E86">
        <w:trPr>
          <w:trHeight w:val="257"/>
        </w:trPr>
        <w:tc>
          <w:tcPr>
            <w:tcW w:w="441" w:type="dxa"/>
            <w:tcBorders>
              <w:top w:val="nil"/>
              <w:left w:val="nil"/>
              <w:bottom w:val="nil"/>
              <w:right w:val="single" w:sz="4" w:space="0" w:color="auto"/>
            </w:tcBorders>
            <w:noWrap/>
            <w:vAlign w:val="center"/>
            <w:hideMark/>
          </w:tcPr>
          <w:p w:rsidR="00EB4F7C" w:rsidRPr="00765C97" w:rsidRDefault="00EB4F7C">
            <w:pPr>
              <w:jc w:val="center"/>
              <w:rPr>
                <w:rFonts w:ascii="Arial" w:hAnsi="Arial" w:cs="Arial"/>
                <w:sz w:val="20"/>
                <w:szCs w:val="20"/>
              </w:rPr>
            </w:pPr>
            <w:r w:rsidRPr="00765C97">
              <w:rPr>
                <w:rFonts w:ascii="Arial" w:hAnsi="Arial" w:cs="Arial"/>
                <w:sz w:val="20"/>
                <w:szCs w:val="20"/>
              </w:rPr>
              <w:t>5</w:t>
            </w:r>
          </w:p>
        </w:tc>
        <w:tc>
          <w:tcPr>
            <w:tcW w:w="1842" w:type="dxa"/>
            <w:tcBorders>
              <w:top w:val="nil"/>
              <w:left w:val="single" w:sz="4" w:space="0" w:color="auto"/>
              <w:bottom w:val="nil"/>
              <w:right w:val="single" w:sz="4" w:space="0" w:color="auto"/>
            </w:tcBorders>
            <w:noWrap/>
            <w:vAlign w:val="center"/>
            <w:hideMark/>
          </w:tcPr>
          <w:p w:rsidR="00EB4F7C" w:rsidRDefault="00EB4F7C">
            <w:pPr>
              <w:rPr>
                <w:rFonts w:ascii="Arial" w:hAnsi="Arial" w:cs="Arial"/>
                <w:sz w:val="20"/>
                <w:szCs w:val="20"/>
              </w:rPr>
            </w:pPr>
            <w:r>
              <w:rPr>
                <w:rFonts w:ascii="Arial" w:hAnsi="Arial" w:cs="Arial"/>
                <w:sz w:val="20"/>
                <w:szCs w:val="20"/>
              </w:rPr>
              <w:t>Zbigniew Rymarczyk</w:t>
            </w:r>
          </w:p>
        </w:tc>
        <w:tc>
          <w:tcPr>
            <w:tcW w:w="1778" w:type="dxa"/>
            <w:tcBorders>
              <w:top w:val="nil"/>
              <w:left w:val="single" w:sz="4" w:space="0" w:color="auto"/>
              <w:bottom w:val="nil"/>
              <w:right w:val="single" w:sz="4" w:space="0" w:color="auto"/>
            </w:tcBorders>
            <w:noWrap/>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 xml:space="preserve">951 973,40 zł </w:t>
            </w:r>
          </w:p>
        </w:tc>
        <w:tc>
          <w:tcPr>
            <w:tcW w:w="2191" w:type="dxa"/>
            <w:tcBorders>
              <w:top w:val="nil"/>
              <w:left w:val="single" w:sz="4" w:space="0" w:color="auto"/>
              <w:bottom w:val="nil"/>
              <w:right w:val="single" w:sz="4" w:space="0" w:color="auto"/>
            </w:tcBorders>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6 000,00 zł</w:t>
            </w:r>
          </w:p>
        </w:tc>
        <w:tc>
          <w:tcPr>
            <w:tcW w:w="2110" w:type="dxa"/>
            <w:tcBorders>
              <w:top w:val="nil"/>
              <w:left w:val="single" w:sz="4" w:space="0" w:color="auto"/>
              <w:bottom w:val="nil"/>
              <w:right w:val="nil"/>
            </w:tcBorders>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 xml:space="preserve">957 973,40 zł </w:t>
            </w:r>
          </w:p>
        </w:tc>
      </w:tr>
      <w:tr w:rsidR="00EB4F7C" w:rsidRPr="00765C97" w:rsidTr="00CD3E86">
        <w:trPr>
          <w:trHeight w:val="257"/>
        </w:trPr>
        <w:tc>
          <w:tcPr>
            <w:tcW w:w="441" w:type="dxa"/>
            <w:tcBorders>
              <w:top w:val="nil"/>
              <w:left w:val="nil"/>
              <w:bottom w:val="nil"/>
              <w:right w:val="single" w:sz="4" w:space="0" w:color="auto"/>
            </w:tcBorders>
            <w:noWrap/>
            <w:vAlign w:val="center"/>
            <w:hideMark/>
          </w:tcPr>
          <w:p w:rsidR="00EB4F7C" w:rsidRPr="00765C97" w:rsidRDefault="00EB4F7C">
            <w:pPr>
              <w:jc w:val="center"/>
              <w:rPr>
                <w:rFonts w:ascii="Arial" w:hAnsi="Arial" w:cs="Arial"/>
                <w:sz w:val="20"/>
                <w:szCs w:val="20"/>
              </w:rPr>
            </w:pPr>
            <w:r w:rsidRPr="00765C97">
              <w:rPr>
                <w:rFonts w:ascii="Arial" w:hAnsi="Arial" w:cs="Arial"/>
                <w:sz w:val="20"/>
                <w:szCs w:val="20"/>
              </w:rPr>
              <w:t>6</w:t>
            </w:r>
          </w:p>
        </w:tc>
        <w:tc>
          <w:tcPr>
            <w:tcW w:w="1842" w:type="dxa"/>
            <w:tcBorders>
              <w:top w:val="nil"/>
              <w:left w:val="single" w:sz="4" w:space="0" w:color="auto"/>
              <w:bottom w:val="nil"/>
              <w:right w:val="single" w:sz="4" w:space="0" w:color="auto"/>
            </w:tcBorders>
            <w:noWrap/>
            <w:vAlign w:val="center"/>
            <w:hideMark/>
          </w:tcPr>
          <w:p w:rsidR="00EB4F7C" w:rsidRDefault="00EB4F7C">
            <w:pPr>
              <w:rPr>
                <w:rFonts w:ascii="Arial" w:hAnsi="Arial" w:cs="Arial"/>
                <w:sz w:val="20"/>
                <w:szCs w:val="20"/>
              </w:rPr>
            </w:pPr>
            <w:r>
              <w:rPr>
                <w:rFonts w:ascii="Arial" w:hAnsi="Arial" w:cs="Arial"/>
                <w:sz w:val="20"/>
                <w:szCs w:val="20"/>
              </w:rPr>
              <w:t>Konrad Tarański</w:t>
            </w:r>
          </w:p>
        </w:tc>
        <w:tc>
          <w:tcPr>
            <w:tcW w:w="1778" w:type="dxa"/>
            <w:tcBorders>
              <w:top w:val="nil"/>
              <w:left w:val="single" w:sz="4" w:space="0" w:color="auto"/>
              <w:bottom w:val="nil"/>
              <w:right w:val="single" w:sz="4" w:space="0" w:color="auto"/>
            </w:tcBorders>
            <w:noWrap/>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 xml:space="preserve">717 548,41 zł </w:t>
            </w:r>
          </w:p>
        </w:tc>
        <w:tc>
          <w:tcPr>
            <w:tcW w:w="2191" w:type="dxa"/>
            <w:tcBorders>
              <w:top w:val="nil"/>
              <w:left w:val="single" w:sz="4" w:space="0" w:color="auto"/>
              <w:bottom w:val="nil"/>
              <w:right w:val="single" w:sz="4" w:space="0" w:color="auto"/>
            </w:tcBorders>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111 125,00 zł</w:t>
            </w:r>
          </w:p>
        </w:tc>
        <w:tc>
          <w:tcPr>
            <w:tcW w:w="2110" w:type="dxa"/>
            <w:tcBorders>
              <w:top w:val="nil"/>
              <w:left w:val="single" w:sz="4" w:space="0" w:color="auto"/>
              <w:bottom w:val="nil"/>
              <w:right w:val="nil"/>
            </w:tcBorders>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 xml:space="preserve">828 673,41 zł </w:t>
            </w:r>
          </w:p>
        </w:tc>
      </w:tr>
      <w:tr w:rsidR="00EB4F7C" w:rsidRPr="00765C97" w:rsidTr="00CD3E86">
        <w:trPr>
          <w:trHeight w:val="257"/>
        </w:trPr>
        <w:tc>
          <w:tcPr>
            <w:tcW w:w="441" w:type="dxa"/>
            <w:tcBorders>
              <w:top w:val="nil"/>
              <w:left w:val="nil"/>
              <w:bottom w:val="nil"/>
              <w:right w:val="single" w:sz="4" w:space="0" w:color="auto"/>
            </w:tcBorders>
            <w:noWrap/>
            <w:vAlign w:val="center"/>
            <w:hideMark/>
          </w:tcPr>
          <w:p w:rsidR="00EB4F7C" w:rsidRPr="00765C97" w:rsidRDefault="00EB4F7C">
            <w:pPr>
              <w:jc w:val="center"/>
              <w:rPr>
                <w:rFonts w:ascii="Arial" w:hAnsi="Arial" w:cs="Arial"/>
                <w:sz w:val="20"/>
                <w:szCs w:val="20"/>
              </w:rPr>
            </w:pPr>
            <w:r w:rsidRPr="00765C97">
              <w:rPr>
                <w:rFonts w:ascii="Arial" w:hAnsi="Arial" w:cs="Arial"/>
                <w:sz w:val="20"/>
                <w:szCs w:val="20"/>
              </w:rPr>
              <w:t>7</w:t>
            </w:r>
          </w:p>
        </w:tc>
        <w:tc>
          <w:tcPr>
            <w:tcW w:w="1842" w:type="dxa"/>
            <w:tcBorders>
              <w:top w:val="nil"/>
              <w:left w:val="single" w:sz="4" w:space="0" w:color="auto"/>
              <w:bottom w:val="nil"/>
              <w:right w:val="single" w:sz="4" w:space="0" w:color="auto"/>
            </w:tcBorders>
            <w:noWrap/>
            <w:vAlign w:val="center"/>
            <w:hideMark/>
          </w:tcPr>
          <w:p w:rsidR="00EB4F7C" w:rsidRDefault="00EB4F7C">
            <w:pPr>
              <w:rPr>
                <w:rFonts w:ascii="Arial" w:hAnsi="Arial" w:cs="Arial"/>
                <w:sz w:val="20"/>
                <w:szCs w:val="20"/>
              </w:rPr>
            </w:pPr>
            <w:r>
              <w:rPr>
                <w:rFonts w:ascii="Arial" w:hAnsi="Arial" w:cs="Arial"/>
                <w:sz w:val="20"/>
                <w:szCs w:val="20"/>
              </w:rPr>
              <w:t>Marcin Warwas</w:t>
            </w:r>
          </w:p>
        </w:tc>
        <w:tc>
          <w:tcPr>
            <w:tcW w:w="1778" w:type="dxa"/>
            <w:tcBorders>
              <w:top w:val="nil"/>
              <w:left w:val="single" w:sz="4" w:space="0" w:color="auto"/>
              <w:bottom w:val="nil"/>
              <w:right w:val="single" w:sz="4" w:space="0" w:color="auto"/>
            </w:tcBorders>
            <w:noWrap/>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 xml:space="preserve">1 581 603,80 zł </w:t>
            </w:r>
          </w:p>
        </w:tc>
        <w:tc>
          <w:tcPr>
            <w:tcW w:w="2191" w:type="dxa"/>
            <w:tcBorders>
              <w:top w:val="nil"/>
              <w:left w:val="single" w:sz="4" w:space="0" w:color="auto"/>
              <w:bottom w:val="nil"/>
              <w:right w:val="single" w:sz="4" w:space="0" w:color="auto"/>
            </w:tcBorders>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19 976,00 zł</w:t>
            </w:r>
          </w:p>
        </w:tc>
        <w:tc>
          <w:tcPr>
            <w:tcW w:w="2110" w:type="dxa"/>
            <w:tcBorders>
              <w:top w:val="nil"/>
              <w:left w:val="single" w:sz="4" w:space="0" w:color="auto"/>
              <w:bottom w:val="nil"/>
              <w:right w:val="nil"/>
            </w:tcBorders>
            <w:vAlign w:val="center"/>
            <w:hideMark/>
          </w:tcPr>
          <w:p w:rsidR="00EB4F7C" w:rsidRDefault="00EB4F7C">
            <w:pPr>
              <w:jc w:val="right"/>
              <w:rPr>
                <w:rFonts w:ascii="Arial" w:hAnsi="Arial" w:cs="Arial"/>
                <w:color w:val="000000"/>
                <w:sz w:val="20"/>
                <w:szCs w:val="20"/>
              </w:rPr>
            </w:pPr>
            <w:r>
              <w:rPr>
                <w:rFonts w:ascii="Arial" w:hAnsi="Arial" w:cs="Arial"/>
                <w:color w:val="000000"/>
                <w:sz w:val="20"/>
                <w:szCs w:val="20"/>
              </w:rPr>
              <w:t xml:space="preserve">1 601 579,80 zł </w:t>
            </w:r>
          </w:p>
        </w:tc>
      </w:tr>
      <w:tr w:rsidR="00EB4F7C" w:rsidRPr="00765C97" w:rsidTr="00CD3E86">
        <w:trPr>
          <w:trHeight w:val="257"/>
        </w:trPr>
        <w:tc>
          <w:tcPr>
            <w:tcW w:w="441" w:type="dxa"/>
            <w:tcBorders>
              <w:top w:val="nil"/>
              <w:left w:val="nil"/>
              <w:bottom w:val="nil"/>
              <w:right w:val="single" w:sz="4" w:space="0" w:color="auto"/>
            </w:tcBorders>
            <w:noWrap/>
            <w:vAlign w:val="center"/>
          </w:tcPr>
          <w:p w:rsidR="00EB4F7C" w:rsidRPr="00765C97" w:rsidRDefault="00EB4F7C">
            <w:pPr>
              <w:jc w:val="center"/>
              <w:rPr>
                <w:rFonts w:ascii="Arial" w:hAnsi="Arial" w:cs="Arial"/>
                <w:sz w:val="20"/>
                <w:szCs w:val="20"/>
              </w:rPr>
            </w:pPr>
          </w:p>
        </w:tc>
        <w:tc>
          <w:tcPr>
            <w:tcW w:w="1842" w:type="dxa"/>
            <w:tcBorders>
              <w:top w:val="nil"/>
              <w:left w:val="single" w:sz="4" w:space="0" w:color="auto"/>
              <w:bottom w:val="nil"/>
              <w:right w:val="single" w:sz="4" w:space="0" w:color="auto"/>
            </w:tcBorders>
            <w:noWrap/>
            <w:vAlign w:val="center"/>
            <w:hideMark/>
          </w:tcPr>
          <w:p w:rsidR="00EB4F7C" w:rsidRDefault="00EB4F7C">
            <w:pPr>
              <w:rPr>
                <w:rFonts w:ascii="Arial" w:hAnsi="Arial" w:cs="Arial"/>
                <w:b/>
                <w:sz w:val="20"/>
                <w:szCs w:val="20"/>
              </w:rPr>
            </w:pPr>
            <w:r>
              <w:rPr>
                <w:rFonts w:ascii="Arial" w:hAnsi="Arial" w:cs="Arial"/>
                <w:b/>
                <w:sz w:val="20"/>
                <w:szCs w:val="20"/>
              </w:rPr>
              <w:t>Razem</w:t>
            </w:r>
          </w:p>
        </w:tc>
        <w:tc>
          <w:tcPr>
            <w:tcW w:w="1778" w:type="dxa"/>
            <w:tcBorders>
              <w:top w:val="nil"/>
              <w:left w:val="single" w:sz="4" w:space="0" w:color="auto"/>
              <w:bottom w:val="nil"/>
              <w:right w:val="single" w:sz="4" w:space="0" w:color="auto"/>
            </w:tcBorders>
            <w:noWrap/>
            <w:vAlign w:val="center"/>
            <w:hideMark/>
          </w:tcPr>
          <w:p w:rsidR="00EB4F7C" w:rsidRDefault="00EB4F7C">
            <w:pPr>
              <w:jc w:val="right"/>
              <w:rPr>
                <w:rFonts w:ascii="Arial" w:hAnsi="Arial" w:cs="Arial"/>
                <w:b/>
                <w:bCs/>
                <w:color w:val="000000"/>
                <w:sz w:val="20"/>
                <w:szCs w:val="20"/>
              </w:rPr>
            </w:pPr>
            <w:r>
              <w:rPr>
                <w:rFonts w:ascii="Arial" w:hAnsi="Arial" w:cs="Arial"/>
                <w:b/>
                <w:bCs/>
                <w:color w:val="000000"/>
                <w:sz w:val="20"/>
                <w:szCs w:val="20"/>
              </w:rPr>
              <w:t xml:space="preserve">13 400 393,76 zł </w:t>
            </w:r>
          </w:p>
        </w:tc>
        <w:tc>
          <w:tcPr>
            <w:tcW w:w="2191" w:type="dxa"/>
            <w:tcBorders>
              <w:top w:val="nil"/>
              <w:left w:val="single" w:sz="4" w:space="0" w:color="auto"/>
              <w:bottom w:val="nil"/>
              <w:right w:val="single" w:sz="4" w:space="0" w:color="auto"/>
            </w:tcBorders>
            <w:vAlign w:val="center"/>
            <w:hideMark/>
          </w:tcPr>
          <w:p w:rsidR="00EB4F7C" w:rsidRDefault="00EB4F7C">
            <w:pPr>
              <w:jc w:val="right"/>
              <w:rPr>
                <w:rFonts w:ascii="Arial" w:hAnsi="Arial" w:cs="Arial"/>
                <w:b/>
                <w:color w:val="000000"/>
                <w:sz w:val="20"/>
                <w:szCs w:val="20"/>
              </w:rPr>
            </w:pPr>
            <w:r>
              <w:rPr>
                <w:rFonts w:ascii="Arial" w:hAnsi="Arial" w:cs="Arial"/>
                <w:b/>
                <w:color w:val="000000"/>
                <w:sz w:val="20"/>
                <w:szCs w:val="20"/>
              </w:rPr>
              <w:t xml:space="preserve">6 965 406,19 zł </w:t>
            </w:r>
          </w:p>
        </w:tc>
        <w:tc>
          <w:tcPr>
            <w:tcW w:w="2110" w:type="dxa"/>
            <w:tcBorders>
              <w:top w:val="nil"/>
              <w:left w:val="single" w:sz="4" w:space="0" w:color="auto"/>
              <w:bottom w:val="nil"/>
              <w:right w:val="nil"/>
            </w:tcBorders>
            <w:vAlign w:val="center"/>
            <w:hideMark/>
          </w:tcPr>
          <w:p w:rsidR="00EB4F7C" w:rsidRDefault="00EB4F7C">
            <w:pPr>
              <w:jc w:val="right"/>
              <w:rPr>
                <w:rFonts w:ascii="Arial" w:hAnsi="Arial" w:cs="Arial"/>
                <w:b/>
                <w:color w:val="000000"/>
                <w:sz w:val="20"/>
                <w:szCs w:val="20"/>
              </w:rPr>
            </w:pPr>
            <w:r>
              <w:rPr>
                <w:rFonts w:ascii="Arial" w:hAnsi="Arial" w:cs="Arial"/>
                <w:b/>
                <w:color w:val="000000"/>
                <w:sz w:val="20"/>
                <w:szCs w:val="20"/>
              </w:rPr>
              <w:t xml:space="preserve">20 365 799,95 zł </w:t>
            </w:r>
          </w:p>
        </w:tc>
      </w:tr>
    </w:tbl>
    <w:p w:rsidR="00EE5FF1" w:rsidRPr="00765C97" w:rsidRDefault="00EE5FF1" w:rsidP="000C4D38">
      <w:pPr>
        <w:adjustRightInd w:val="0"/>
        <w:jc w:val="both"/>
        <w:rPr>
          <w:rFonts w:ascii="Arial" w:hAnsi="Arial"/>
          <w:sz w:val="20"/>
          <w:lang w:val="pl-PL"/>
        </w:rPr>
      </w:pPr>
    </w:p>
    <w:p w:rsidR="00EE5FF1" w:rsidRPr="00765C97" w:rsidRDefault="00EE5FF1">
      <w:pPr>
        <w:widowControl/>
        <w:autoSpaceDE/>
        <w:autoSpaceDN/>
        <w:rPr>
          <w:rFonts w:ascii="Arial" w:hAnsi="Arial"/>
          <w:sz w:val="20"/>
          <w:lang w:val="pl-PL"/>
        </w:rPr>
      </w:pPr>
      <w:r w:rsidRPr="00765C97">
        <w:rPr>
          <w:rFonts w:ascii="Arial" w:hAnsi="Arial"/>
          <w:sz w:val="20"/>
          <w:lang w:val="pl-PL"/>
        </w:rPr>
        <w:br w:type="page"/>
      </w:r>
    </w:p>
    <w:p w:rsidR="004B1467" w:rsidRPr="00765C97" w:rsidRDefault="004B1467" w:rsidP="000C4D38">
      <w:pPr>
        <w:adjustRightInd w:val="0"/>
        <w:jc w:val="both"/>
        <w:rPr>
          <w:rFonts w:ascii="Arial" w:hAnsi="Arial"/>
          <w:sz w:val="20"/>
          <w:lang w:val="pl-PL"/>
        </w:rPr>
      </w:pPr>
    </w:p>
    <w:tbl>
      <w:tblPr>
        <w:tblW w:w="8182" w:type="dxa"/>
        <w:tblInd w:w="70" w:type="dxa"/>
        <w:tblCellMar>
          <w:left w:w="70" w:type="dxa"/>
          <w:right w:w="70" w:type="dxa"/>
        </w:tblCellMar>
        <w:tblLook w:val="0000"/>
      </w:tblPr>
      <w:tblGrid>
        <w:gridCol w:w="426"/>
        <w:gridCol w:w="1984"/>
        <w:gridCol w:w="2126"/>
        <w:gridCol w:w="2167"/>
        <w:gridCol w:w="1479"/>
      </w:tblGrid>
      <w:tr w:rsidR="004B1467" w:rsidRPr="00F346A4" w:rsidTr="0017164D">
        <w:trPr>
          <w:trHeight w:val="266"/>
        </w:trPr>
        <w:tc>
          <w:tcPr>
            <w:tcW w:w="8182" w:type="dxa"/>
            <w:gridSpan w:val="5"/>
            <w:tcBorders>
              <w:top w:val="nil"/>
              <w:left w:val="nil"/>
              <w:right w:val="nil"/>
            </w:tcBorders>
            <w:noWrap/>
            <w:vAlign w:val="center"/>
          </w:tcPr>
          <w:p w:rsidR="004B1467" w:rsidRPr="00765C97" w:rsidRDefault="004B1467" w:rsidP="004B1467">
            <w:pPr>
              <w:rPr>
                <w:rFonts w:ascii="Arial" w:hAnsi="Arial" w:cs="Arial"/>
                <w:sz w:val="20"/>
                <w:szCs w:val="20"/>
                <w:lang w:val="pl-PL"/>
              </w:rPr>
            </w:pPr>
            <w:r w:rsidRPr="00765C97">
              <w:rPr>
                <w:rFonts w:ascii="Arial" w:hAnsi="Arial" w:cs="Arial"/>
                <w:b/>
                <w:sz w:val="20"/>
                <w:szCs w:val="20"/>
                <w:lang w:val="pl-PL"/>
              </w:rPr>
              <w:t>Rada Nadzorcza Comarch S.A.</w:t>
            </w:r>
          </w:p>
        </w:tc>
      </w:tr>
      <w:tr w:rsidR="004B1467" w:rsidRPr="00765C97" w:rsidTr="0017164D">
        <w:trPr>
          <w:trHeight w:val="703"/>
        </w:trPr>
        <w:tc>
          <w:tcPr>
            <w:tcW w:w="426" w:type="dxa"/>
            <w:tcBorders>
              <w:top w:val="nil"/>
              <w:left w:val="nil"/>
              <w:bottom w:val="single" w:sz="4" w:space="0" w:color="auto"/>
              <w:right w:val="single" w:sz="4" w:space="0" w:color="auto"/>
            </w:tcBorders>
            <w:vAlign w:val="bottom"/>
          </w:tcPr>
          <w:p w:rsidR="004B1467" w:rsidRPr="00765C97" w:rsidRDefault="004B1467" w:rsidP="004B1467">
            <w:pPr>
              <w:jc w:val="center"/>
              <w:rPr>
                <w:rFonts w:ascii="Arial" w:hAnsi="Arial" w:cs="Arial"/>
                <w:sz w:val="20"/>
                <w:szCs w:val="20"/>
              </w:rPr>
            </w:pPr>
            <w:r w:rsidRPr="00765C97">
              <w:rPr>
                <w:rFonts w:ascii="Arial" w:hAnsi="Arial" w:cs="Arial"/>
                <w:sz w:val="20"/>
                <w:szCs w:val="20"/>
              </w:rPr>
              <w:t>l.p.</w:t>
            </w:r>
          </w:p>
        </w:tc>
        <w:tc>
          <w:tcPr>
            <w:tcW w:w="1984" w:type="dxa"/>
            <w:tcBorders>
              <w:top w:val="nil"/>
              <w:left w:val="single" w:sz="4" w:space="0" w:color="auto"/>
              <w:bottom w:val="single" w:sz="4" w:space="0" w:color="auto"/>
              <w:right w:val="single" w:sz="4" w:space="0" w:color="auto"/>
            </w:tcBorders>
            <w:vAlign w:val="bottom"/>
          </w:tcPr>
          <w:p w:rsidR="004B1467" w:rsidRPr="00765C97" w:rsidRDefault="004B1467" w:rsidP="004B1467">
            <w:pPr>
              <w:jc w:val="center"/>
              <w:rPr>
                <w:rFonts w:ascii="Arial" w:hAnsi="Arial" w:cs="Arial"/>
                <w:sz w:val="20"/>
                <w:szCs w:val="20"/>
              </w:rPr>
            </w:pPr>
          </w:p>
        </w:tc>
        <w:tc>
          <w:tcPr>
            <w:tcW w:w="2126" w:type="dxa"/>
            <w:tcBorders>
              <w:top w:val="nil"/>
              <w:left w:val="single" w:sz="4" w:space="0" w:color="auto"/>
              <w:bottom w:val="single" w:sz="4" w:space="0" w:color="auto"/>
              <w:right w:val="single" w:sz="4" w:space="0" w:color="auto"/>
            </w:tcBorders>
            <w:vAlign w:val="center"/>
          </w:tcPr>
          <w:p w:rsidR="004B1467" w:rsidRPr="00765C97" w:rsidRDefault="004B1467" w:rsidP="004B1467">
            <w:pPr>
              <w:jc w:val="right"/>
              <w:rPr>
                <w:rFonts w:ascii="Arial" w:hAnsi="Arial" w:cs="Arial"/>
                <w:b/>
                <w:sz w:val="20"/>
                <w:szCs w:val="20"/>
                <w:lang w:val="pl-PL"/>
              </w:rPr>
            </w:pPr>
            <w:r w:rsidRPr="00765C97">
              <w:rPr>
                <w:rFonts w:ascii="Arial" w:hAnsi="Arial" w:cs="Arial"/>
                <w:b/>
                <w:sz w:val="20"/>
                <w:szCs w:val="20"/>
                <w:lang w:val="pl-PL"/>
              </w:rPr>
              <w:t>Wypłacone przez Comarch S.A.</w:t>
            </w:r>
          </w:p>
        </w:tc>
        <w:tc>
          <w:tcPr>
            <w:tcW w:w="2167" w:type="dxa"/>
            <w:tcBorders>
              <w:top w:val="nil"/>
              <w:left w:val="single" w:sz="4" w:space="0" w:color="auto"/>
              <w:bottom w:val="single" w:sz="4" w:space="0" w:color="auto"/>
              <w:right w:val="single" w:sz="4" w:space="0" w:color="auto"/>
            </w:tcBorders>
            <w:vAlign w:val="center"/>
          </w:tcPr>
          <w:p w:rsidR="004B1467" w:rsidRPr="00765C97" w:rsidRDefault="004B1467" w:rsidP="004B1467">
            <w:pPr>
              <w:ind w:left="-86"/>
              <w:jc w:val="right"/>
              <w:rPr>
                <w:rFonts w:ascii="Arial" w:hAnsi="Arial" w:cs="Arial"/>
                <w:b/>
                <w:sz w:val="20"/>
                <w:szCs w:val="20"/>
                <w:lang w:val="pl-PL"/>
              </w:rPr>
            </w:pPr>
            <w:r w:rsidRPr="00765C97">
              <w:rPr>
                <w:rFonts w:ascii="Arial" w:hAnsi="Arial" w:cs="Arial"/>
                <w:b/>
                <w:sz w:val="20"/>
                <w:szCs w:val="20"/>
                <w:lang w:val="pl-PL"/>
              </w:rPr>
              <w:t>Wypłacone przez jednostki zależne i stowarzyszone</w:t>
            </w:r>
          </w:p>
        </w:tc>
        <w:tc>
          <w:tcPr>
            <w:tcW w:w="1479" w:type="dxa"/>
            <w:tcBorders>
              <w:top w:val="nil"/>
              <w:left w:val="single" w:sz="4" w:space="0" w:color="auto"/>
              <w:bottom w:val="single" w:sz="4" w:space="0" w:color="auto"/>
              <w:right w:val="nil"/>
            </w:tcBorders>
            <w:vAlign w:val="center"/>
          </w:tcPr>
          <w:p w:rsidR="004B1467" w:rsidRPr="00765C97" w:rsidRDefault="004B1467" w:rsidP="004B1467">
            <w:pPr>
              <w:jc w:val="right"/>
              <w:rPr>
                <w:rFonts w:ascii="Arial" w:hAnsi="Arial" w:cs="Arial"/>
                <w:b/>
                <w:sz w:val="20"/>
                <w:szCs w:val="20"/>
              </w:rPr>
            </w:pPr>
            <w:r w:rsidRPr="00765C97">
              <w:rPr>
                <w:rFonts w:ascii="Arial" w:hAnsi="Arial" w:cs="Arial"/>
                <w:b/>
                <w:sz w:val="20"/>
                <w:szCs w:val="20"/>
              </w:rPr>
              <w:t>Razem</w:t>
            </w:r>
          </w:p>
        </w:tc>
      </w:tr>
      <w:tr w:rsidR="0017164D" w:rsidRPr="00765C97" w:rsidTr="0017164D">
        <w:trPr>
          <w:trHeight w:val="266"/>
        </w:trPr>
        <w:tc>
          <w:tcPr>
            <w:tcW w:w="426" w:type="dxa"/>
            <w:tcBorders>
              <w:top w:val="single" w:sz="4" w:space="0" w:color="auto"/>
              <w:left w:val="nil"/>
              <w:bottom w:val="nil"/>
              <w:right w:val="single" w:sz="4" w:space="0" w:color="auto"/>
            </w:tcBorders>
            <w:noWrap/>
            <w:vAlign w:val="center"/>
          </w:tcPr>
          <w:p w:rsidR="0017164D" w:rsidRPr="00765C97" w:rsidRDefault="0017164D" w:rsidP="004B1467">
            <w:pPr>
              <w:jc w:val="center"/>
              <w:rPr>
                <w:rFonts w:ascii="Arial" w:hAnsi="Arial" w:cs="Arial"/>
                <w:sz w:val="20"/>
                <w:szCs w:val="20"/>
              </w:rPr>
            </w:pPr>
            <w:r w:rsidRPr="00765C97">
              <w:rPr>
                <w:rFonts w:ascii="Arial" w:hAnsi="Arial" w:cs="Arial"/>
                <w:sz w:val="20"/>
                <w:szCs w:val="20"/>
              </w:rPr>
              <w:t>1</w:t>
            </w:r>
          </w:p>
        </w:tc>
        <w:tc>
          <w:tcPr>
            <w:tcW w:w="1984" w:type="dxa"/>
            <w:tcBorders>
              <w:top w:val="single" w:sz="4" w:space="0" w:color="auto"/>
              <w:left w:val="single" w:sz="4" w:space="0" w:color="auto"/>
              <w:bottom w:val="nil"/>
              <w:right w:val="single" w:sz="4" w:space="0" w:color="auto"/>
            </w:tcBorders>
            <w:noWrap/>
            <w:vAlign w:val="center"/>
          </w:tcPr>
          <w:p w:rsidR="0017164D" w:rsidRPr="00765C97" w:rsidRDefault="0017164D">
            <w:pPr>
              <w:rPr>
                <w:rFonts w:ascii="Arial" w:hAnsi="Arial" w:cs="Arial"/>
                <w:sz w:val="20"/>
                <w:szCs w:val="20"/>
              </w:rPr>
            </w:pPr>
            <w:r w:rsidRPr="00765C97">
              <w:rPr>
                <w:rFonts w:ascii="Arial" w:hAnsi="Arial" w:cs="Arial"/>
                <w:sz w:val="20"/>
                <w:szCs w:val="20"/>
              </w:rPr>
              <w:t>Elżbieta Filipiak</w:t>
            </w:r>
          </w:p>
        </w:tc>
        <w:tc>
          <w:tcPr>
            <w:tcW w:w="2126" w:type="dxa"/>
            <w:tcBorders>
              <w:top w:val="single" w:sz="4" w:space="0" w:color="auto"/>
              <w:left w:val="single" w:sz="4" w:space="0" w:color="auto"/>
              <w:bottom w:val="nil"/>
              <w:right w:val="single" w:sz="4" w:space="0" w:color="auto"/>
            </w:tcBorders>
            <w:vAlign w:val="center"/>
          </w:tcPr>
          <w:p w:rsidR="0017164D" w:rsidRPr="00765C97" w:rsidRDefault="0017164D">
            <w:pPr>
              <w:jc w:val="right"/>
              <w:rPr>
                <w:rFonts w:ascii="Arial" w:hAnsi="Arial" w:cs="Arial"/>
                <w:color w:val="000000"/>
                <w:sz w:val="20"/>
                <w:szCs w:val="20"/>
              </w:rPr>
            </w:pPr>
            <w:r w:rsidRPr="00765C97">
              <w:rPr>
                <w:rFonts w:ascii="Arial" w:hAnsi="Arial" w:cs="Arial"/>
                <w:color w:val="000000"/>
                <w:sz w:val="20"/>
                <w:szCs w:val="20"/>
              </w:rPr>
              <w:t xml:space="preserve">202 572,00 zł </w:t>
            </w:r>
          </w:p>
        </w:tc>
        <w:tc>
          <w:tcPr>
            <w:tcW w:w="2167" w:type="dxa"/>
            <w:tcBorders>
              <w:top w:val="single" w:sz="4" w:space="0" w:color="auto"/>
              <w:left w:val="single" w:sz="4" w:space="0" w:color="auto"/>
              <w:bottom w:val="nil"/>
              <w:right w:val="single" w:sz="4" w:space="0" w:color="auto"/>
            </w:tcBorders>
            <w:noWrap/>
            <w:vAlign w:val="center"/>
          </w:tcPr>
          <w:p w:rsidR="0017164D" w:rsidRPr="00765C97" w:rsidRDefault="0017164D">
            <w:pPr>
              <w:jc w:val="right"/>
              <w:rPr>
                <w:rFonts w:ascii="Arial" w:hAnsi="Arial" w:cs="Arial"/>
                <w:color w:val="000000"/>
                <w:sz w:val="20"/>
                <w:szCs w:val="20"/>
              </w:rPr>
            </w:pPr>
            <w:r w:rsidRPr="00765C97">
              <w:rPr>
                <w:rFonts w:ascii="Arial" w:hAnsi="Arial" w:cs="Arial"/>
                <w:color w:val="000000"/>
                <w:sz w:val="20"/>
                <w:szCs w:val="20"/>
              </w:rPr>
              <w:t>34 067,00 zł</w:t>
            </w:r>
          </w:p>
        </w:tc>
        <w:tc>
          <w:tcPr>
            <w:tcW w:w="1479" w:type="dxa"/>
            <w:tcBorders>
              <w:top w:val="single" w:sz="4" w:space="0" w:color="auto"/>
              <w:left w:val="single" w:sz="4" w:space="0" w:color="auto"/>
              <w:bottom w:val="nil"/>
              <w:right w:val="nil"/>
            </w:tcBorders>
            <w:vAlign w:val="center"/>
          </w:tcPr>
          <w:p w:rsidR="0017164D" w:rsidRPr="00765C97" w:rsidRDefault="0017164D">
            <w:pPr>
              <w:jc w:val="right"/>
              <w:rPr>
                <w:rFonts w:ascii="Arial" w:hAnsi="Arial" w:cs="Arial"/>
                <w:color w:val="000000"/>
                <w:sz w:val="20"/>
                <w:szCs w:val="20"/>
              </w:rPr>
            </w:pPr>
            <w:r w:rsidRPr="00765C97">
              <w:rPr>
                <w:rFonts w:ascii="Arial" w:hAnsi="Arial" w:cs="Arial"/>
                <w:color w:val="000000"/>
                <w:sz w:val="20"/>
                <w:szCs w:val="20"/>
              </w:rPr>
              <w:t xml:space="preserve">236 639,00 zł </w:t>
            </w:r>
          </w:p>
        </w:tc>
      </w:tr>
      <w:tr w:rsidR="0017164D" w:rsidRPr="00765C97" w:rsidTr="0017164D">
        <w:trPr>
          <w:trHeight w:val="266"/>
        </w:trPr>
        <w:tc>
          <w:tcPr>
            <w:tcW w:w="426" w:type="dxa"/>
            <w:tcBorders>
              <w:top w:val="nil"/>
              <w:left w:val="nil"/>
              <w:bottom w:val="nil"/>
              <w:right w:val="single" w:sz="4" w:space="0" w:color="auto"/>
            </w:tcBorders>
            <w:noWrap/>
            <w:vAlign w:val="center"/>
          </w:tcPr>
          <w:p w:rsidR="0017164D" w:rsidRPr="00765C97" w:rsidRDefault="0017164D" w:rsidP="004B1467">
            <w:pPr>
              <w:jc w:val="center"/>
              <w:rPr>
                <w:rFonts w:ascii="Arial" w:hAnsi="Arial" w:cs="Arial"/>
                <w:sz w:val="20"/>
                <w:szCs w:val="20"/>
              </w:rPr>
            </w:pPr>
            <w:r w:rsidRPr="00765C97">
              <w:rPr>
                <w:rFonts w:ascii="Arial" w:hAnsi="Arial" w:cs="Arial"/>
                <w:sz w:val="20"/>
                <w:szCs w:val="20"/>
              </w:rPr>
              <w:t>2</w:t>
            </w:r>
          </w:p>
        </w:tc>
        <w:tc>
          <w:tcPr>
            <w:tcW w:w="1984" w:type="dxa"/>
            <w:tcBorders>
              <w:top w:val="nil"/>
              <w:left w:val="single" w:sz="4" w:space="0" w:color="auto"/>
              <w:bottom w:val="nil"/>
              <w:right w:val="single" w:sz="4" w:space="0" w:color="auto"/>
            </w:tcBorders>
            <w:noWrap/>
            <w:vAlign w:val="center"/>
          </w:tcPr>
          <w:p w:rsidR="0017164D" w:rsidRPr="00765C97" w:rsidRDefault="0017164D">
            <w:pPr>
              <w:rPr>
                <w:rFonts w:ascii="Arial" w:hAnsi="Arial" w:cs="Arial"/>
                <w:sz w:val="20"/>
                <w:szCs w:val="20"/>
              </w:rPr>
            </w:pPr>
            <w:r w:rsidRPr="00765C97">
              <w:rPr>
                <w:rFonts w:ascii="Arial" w:hAnsi="Arial" w:cs="Arial"/>
                <w:sz w:val="20"/>
                <w:szCs w:val="20"/>
              </w:rPr>
              <w:t>Maciej Brzeziński</w:t>
            </w:r>
          </w:p>
        </w:tc>
        <w:tc>
          <w:tcPr>
            <w:tcW w:w="2126" w:type="dxa"/>
            <w:tcBorders>
              <w:top w:val="nil"/>
              <w:left w:val="single" w:sz="4" w:space="0" w:color="auto"/>
              <w:bottom w:val="nil"/>
              <w:right w:val="single" w:sz="4" w:space="0" w:color="auto"/>
            </w:tcBorders>
            <w:vAlign w:val="center"/>
          </w:tcPr>
          <w:p w:rsidR="0017164D" w:rsidRPr="00765C97" w:rsidRDefault="0017164D">
            <w:pPr>
              <w:jc w:val="right"/>
              <w:rPr>
                <w:rFonts w:ascii="Arial" w:hAnsi="Arial" w:cs="Arial"/>
                <w:color w:val="000000"/>
                <w:sz w:val="20"/>
                <w:szCs w:val="20"/>
              </w:rPr>
            </w:pPr>
            <w:r w:rsidRPr="00765C97">
              <w:rPr>
                <w:rFonts w:ascii="Arial" w:hAnsi="Arial" w:cs="Arial"/>
                <w:color w:val="000000"/>
                <w:sz w:val="20"/>
                <w:szCs w:val="20"/>
              </w:rPr>
              <w:t xml:space="preserve">30 000,00 zł </w:t>
            </w:r>
          </w:p>
        </w:tc>
        <w:tc>
          <w:tcPr>
            <w:tcW w:w="2167" w:type="dxa"/>
            <w:tcBorders>
              <w:top w:val="nil"/>
              <w:left w:val="single" w:sz="4" w:space="0" w:color="auto"/>
              <w:bottom w:val="nil"/>
              <w:right w:val="single" w:sz="4" w:space="0" w:color="auto"/>
            </w:tcBorders>
            <w:noWrap/>
            <w:vAlign w:val="center"/>
          </w:tcPr>
          <w:p w:rsidR="0017164D" w:rsidRPr="00765C97" w:rsidRDefault="0017164D">
            <w:pPr>
              <w:jc w:val="right"/>
              <w:rPr>
                <w:rFonts w:ascii="Arial" w:hAnsi="Arial" w:cs="Arial"/>
                <w:color w:val="000000"/>
                <w:sz w:val="20"/>
                <w:szCs w:val="20"/>
              </w:rPr>
            </w:pPr>
            <w:r w:rsidRPr="00765C97">
              <w:rPr>
                <w:rFonts w:ascii="Arial" w:hAnsi="Arial" w:cs="Arial"/>
                <w:color w:val="000000"/>
                <w:sz w:val="20"/>
                <w:szCs w:val="20"/>
              </w:rPr>
              <w:t xml:space="preserve">0,00 zł </w:t>
            </w:r>
          </w:p>
        </w:tc>
        <w:tc>
          <w:tcPr>
            <w:tcW w:w="1479" w:type="dxa"/>
            <w:tcBorders>
              <w:top w:val="nil"/>
              <w:left w:val="single" w:sz="4" w:space="0" w:color="auto"/>
              <w:bottom w:val="nil"/>
              <w:right w:val="nil"/>
            </w:tcBorders>
            <w:vAlign w:val="center"/>
          </w:tcPr>
          <w:p w:rsidR="0017164D" w:rsidRPr="00765C97" w:rsidRDefault="0017164D">
            <w:pPr>
              <w:jc w:val="right"/>
              <w:rPr>
                <w:rFonts w:ascii="Arial" w:hAnsi="Arial" w:cs="Arial"/>
                <w:color w:val="000000"/>
                <w:sz w:val="20"/>
                <w:szCs w:val="20"/>
              </w:rPr>
            </w:pPr>
            <w:r w:rsidRPr="00765C97">
              <w:rPr>
                <w:rFonts w:ascii="Arial" w:hAnsi="Arial" w:cs="Arial"/>
                <w:color w:val="000000"/>
                <w:sz w:val="20"/>
                <w:szCs w:val="20"/>
              </w:rPr>
              <w:t xml:space="preserve">30 000,00 zł </w:t>
            </w:r>
          </w:p>
        </w:tc>
      </w:tr>
      <w:tr w:rsidR="0017164D" w:rsidRPr="00765C97" w:rsidTr="0017164D">
        <w:trPr>
          <w:trHeight w:val="266"/>
        </w:trPr>
        <w:tc>
          <w:tcPr>
            <w:tcW w:w="426" w:type="dxa"/>
            <w:tcBorders>
              <w:top w:val="nil"/>
              <w:left w:val="nil"/>
              <w:bottom w:val="nil"/>
              <w:right w:val="single" w:sz="4" w:space="0" w:color="auto"/>
            </w:tcBorders>
            <w:noWrap/>
            <w:vAlign w:val="center"/>
          </w:tcPr>
          <w:p w:rsidR="0017164D" w:rsidRPr="00765C97" w:rsidRDefault="0017164D" w:rsidP="004B1467">
            <w:pPr>
              <w:jc w:val="center"/>
              <w:rPr>
                <w:rFonts w:ascii="Arial" w:hAnsi="Arial" w:cs="Arial"/>
                <w:sz w:val="20"/>
                <w:szCs w:val="20"/>
              </w:rPr>
            </w:pPr>
            <w:r w:rsidRPr="00765C97">
              <w:rPr>
                <w:rFonts w:ascii="Arial" w:hAnsi="Arial" w:cs="Arial"/>
                <w:sz w:val="20"/>
                <w:szCs w:val="20"/>
              </w:rPr>
              <w:t>3</w:t>
            </w:r>
          </w:p>
        </w:tc>
        <w:tc>
          <w:tcPr>
            <w:tcW w:w="1984" w:type="dxa"/>
            <w:tcBorders>
              <w:top w:val="nil"/>
              <w:left w:val="single" w:sz="4" w:space="0" w:color="auto"/>
              <w:bottom w:val="nil"/>
              <w:right w:val="single" w:sz="4" w:space="0" w:color="auto"/>
            </w:tcBorders>
            <w:noWrap/>
            <w:vAlign w:val="center"/>
          </w:tcPr>
          <w:p w:rsidR="0017164D" w:rsidRPr="00765C97" w:rsidRDefault="0017164D">
            <w:pPr>
              <w:rPr>
                <w:rFonts w:ascii="Arial" w:hAnsi="Arial" w:cs="Arial"/>
                <w:sz w:val="20"/>
                <w:szCs w:val="20"/>
              </w:rPr>
            </w:pPr>
            <w:r w:rsidRPr="00765C97">
              <w:rPr>
                <w:rFonts w:ascii="Arial" w:hAnsi="Arial" w:cs="Arial"/>
                <w:sz w:val="20"/>
                <w:szCs w:val="20"/>
              </w:rPr>
              <w:t>Danuta Drobniak</w:t>
            </w:r>
          </w:p>
        </w:tc>
        <w:tc>
          <w:tcPr>
            <w:tcW w:w="2126" w:type="dxa"/>
            <w:tcBorders>
              <w:top w:val="nil"/>
              <w:left w:val="single" w:sz="4" w:space="0" w:color="auto"/>
              <w:bottom w:val="nil"/>
              <w:right w:val="single" w:sz="4" w:space="0" w:color="auto"/>
            </w:tcBorders>
            <w:vAlign w:val="center"/>
          </w:tcPr>
          <w:p w:rsidR="0017164D" w:rsidRPr="00765C97" w:rsidRDefault="0017164D">
            <w:pPr>
              <w:jc w:val="right"/>
              <w:rPr>
                <w:rFonts w:ascii="Arial" w:hAnsi="Arial" w:cs="Arial"/>
                <w:color w:val="000000"/>
                <w:sz w:val="20"/>
                <w:szCs w:val="20"/>
              </w:rPr>
            </w:pPr>
            <w:r w:rsidRPr="00765C97">
              <w:rPr>
                <w:rFonts w:ascii="Arial" w:hAnsi="Arial" w:cs="Arial"/>
                <w:color w:val="000000"/>
                <w:sz w:val="20"/>
                <w:szCs w:val="20"/>
              </w:rPr>
              <w:t xml:space="preserve">30 000,00 zł </w:t>
            </w:r>
          </w:p>
        </w:tc>
        <w:tc>
          <w:tcPr>
            <w:tcW w:w="2167" w:type="dxa"/>
            <w:tcBorders>
              <w:top w:val="nil"/>
              <w:left w:val="single" w:sz="4" w:space="0" w:color="auto"/>
              <w:bottom w:val="nil"/>
              <w:right w:val="single" w:sz="4" w:space="0" w:color="auto"/>
            </w:tcBorders>
            <w:noWrap/>
            <w:vAlign w:val="center"/>
          </w:tcPr>
          <w:p w:rsidR="0017164D" w:rsidRPr="00765C97" w:rsidRDefault="0017164D">
            <w:pPr>
              <w:jc w:val="right"/>
              <w:rPr>
                <w:sz w:val="20"/>
                <w:szCs w:val="20"/>
              </w:rPr>
            </w:pPr>
            <w:r w:rsidRPr="00765C97">
              <w:rPr>
                <w:rFonts w:ascii="Arial" w:hAnsi="Arial" w:cs="Arial"/>
                <w:color w:val="000000"/>
                <w:sz w:val="20"/>
                <w:szCs w:val="20"/>
              </w:rPr>
              <w:t xml:space="preserve">0,00 zł </w:t>
            </w:r>
          </w:p>
        </w:tc>
        <w:tc>
          <w:tcPr>
            <w:tcW w:w="1479" w:type="dxa"/>
            <w:tcBorders>
              <w:top w:val="nil"/>
              <w:left w:val="single" w:sz="4" w:space="0" w:color="auto"/>
              <w:bottom w:val="nil"/>
              <w:right w:val="nil"/>
            </w:tcBorders>
            <w:vAlign w:val="center"/>
          </w:tcPr>
          <w:p w:rsidR="0017164D" w:rsidRPr="00765C97" w:rsidRDefault="0017164D">
            <w:pPr>
              <w:jc w:val="right"/>
              <w:rPr>
                <w:rFonts w:ascii="Arial" w:hAnsi="Arial" w:cs="Arial"/>
                <w:color w:val="000000"/>
                <w:sz w:val="20"/>
                <w:szCs w:val="20"/>
              </w:rPr>
            </w:pPr>
            <w:r w:rsidRPr="00765C97">
              <w:rPr>
                <w:rFonts w:ascii="Arial" w:hAnsi="Arial" w:cs="Arial"/>
                <w:color w:val="000000"/>
                <w:sz w:val="20"/>
                <w:szCs w:val="20"/>
              </w:rPr>
              <w:t xml:space="preserve">30 000,00 zł </w:t>
            </w:r>
          </w:p>
        </w:tc>
      </w:tr>
      <w:tr w:rsidR="0017164D" w:rsidRPr="00765C97" w:rsidTr="0017164D">
        <w:trPr>
          <w:trHeight w:val="266"/>
        </w:trPr>
        <w:tc>
          <w:tcPr>
            <w:tcW w:w="426" w:type="dxa"/>
            <w:tcBorders>
              <w:top w:val="nil"/>
              <w:left w:val="nil"/>
              <w:bottom w:val="nil"/>
              <w:right w:val="single" w:sz="4" w:space="0" w:color="auto"/>
            </w:tcBorders>
            <w:noWrap/>
            <w:vAlign w:val="center"/>
          </w:tcPr>
          <w:p w:rsidR="0017164D" w:rsidRPr="00765C97" w:rsidRDefault="0017164D" w:rsidP="004B1467">
            <w:pPr>
              <w:jc w:val="center"/>
              <w:rPr>
                <w:rFonts w:ascii="Arial" w:hAnsi="Arial" w:cs="Arial"/>
                <w:sz w:val="20"/>
                <w:szCs w:val="20"/>
              </w:rPr>
            </w:pPr>
            <w:r w:rsidRPr="00765C97">
              <w:rPr>
                <w:rFonts w:ascii="Arial" w:hAnsi="Arial" w:cs="Arial"/>
                <w:sz w:val="20"/>
                <w:szCs w:val="20"/>
              </w:rPr>
              <w:t>4</w:t>
            </w:r>
          </w:p>
        </w:tc>
        <w:tc>
          <w:tcPr>
            <w:tcW w:w="1984" w:type="dxa"/>
            <w:tcBorders>
              <w:top w:val="nil"/>
              <w:left w:val="single" w:sz="4" w:space="0" w:color="auto"/>
              <w:bottom w:val="nil"/>
              <w:right w:val="single" w:sz="4" w:space="0" w:color="auto"/>
            </w:tcBorders>
            <w:noWrap/>
            <w:vAlign w:val="center"/>
          </w:tcPr>
          <w:p w:rsidR="0017164D" w:rsidRPr="00765C97" w:rsidRDefault="0017164D">
            <w:pPr>
              <w:rPr>
                <w:rFonts w:ascii="Arial" w:hAnsi="Arial" w:cs="Arial"/>
                <w:sz w:val="20"/>
                <w:szCs w:val="20"/>
              </w:rPr>
            </w:pPr>
            <w:r w:rsidRPr="00765C97">
              <w:rPr>
                <w:rFonts w:ascii="Arial" w:hAnsi="Arial" w:cs="Arial"/>
                <w:sz w:val="20"/>
                <w:szCs w:val="20"/>
              </w:rPr>
              <w:t>Wojciech Kucharzyk</w:t>
            </w:r>
          </w:p>
        </w:tc>
        <w:tc>
          <w:tcPr>
            <w:tcW w:w="2126" w:type="dxa"/>
            <w:tcBorders>
              <w:top w:val="nil"/>
              <w:left w:val="single" w:sz="4" w:space="0" w:color="auto"/>
              <w:bottom w:val="nil"/>
              <w:right w:val="single" w:sz="4" w:space="0" w:color="auto"/>
            </w:tcBorders>
            <w:vAlign w:val="center"/>
          </w:tcPr>
          <w:p w:rsidR="0017164D" w:rsidRPr="00765C97" w:rsidRDefault="0017164D">
            <w:pPr>
              <w:jc w:val="right"/>
              <w:rPr>
                <w:rFonts w:ascii="Arial" w:hAnsi="Arial" w:cs="Arial"/>
                <w:color w:val="000000"/>
                <w:sz w:val="20"/>
                <w:szCs w:val="20"/>
              </w:rPr>
            </w:pPr>
            <w:r w:rsidRPr="00765C97">
              <w:rPr>
                <w:rFonts w:ascii="Arial" w:hAnsi="Arial" w:cs="Arial"/>
                <w:color w:val="000000"/>
                <w:sz w:val="20"/>
                <w:szCs w:val="20"/>
              </w:rPr>
              <w:t xml:space="preserve">30 000,00 zł </w:t>
            </w:r>
          </w:p>
        </w:tc>
        <w:tc>
          <w:tcPr>
            <w:tcW w:w="2167" w:type="dxa"/>
            <w:tcBorders>
              <w:top w:val="nil"/>
              <w:left w:val="single" w:sz="4" w:space="0" w:color="auto"/>
              <w:bottom w:val="nil"/>
              <w:right w:val="single" w:sz="4" w:space="0" w:color="auto"/>
            </w:tcBorders>
            <w:noWrap/>
            <w:vAlign w:val="center"/>
          </w:tcPr>
          <w:p w:rsidR="0017164D" w:rsidRPr="00765C97" w:rsidRDefault="0017164D">
            <w:pPr>
              <w:jc w:val="right"/>
              <w:rPr>
                <w:sz w:val="20"/>
                <w:szCs w:val="20"/>
              </w:rPr>
            </w:pPr>
            <w:r w:rsidRPr="00765C97">
              <w:rPr>
                <w:rFonts w:ascii="Arial" w:hAnsi="Arial" w:cs="Arial"/>
                <w:color w:val="000000"/>
                <w:sz w:val="20"/>
                <w:szCs w:val="20"/>
              </w:rPr>
              <w:t xml:space="preserve">0,00 zł </w:t>
            </w:r>
          </w:p>
        </w:tc>
        <w:tc>
          <w:tcPr>
            <w:tcW w:w="1479" w:type="dxa"/>
            <w:tcBorders>
              <w:top w:val="nil"/>
              <w:left w:val="single" w:sz="4" w:space="0" w:color="auto"/>
              <w:bottom w:val="nil"/>
              <w:right w:val="nil"/>
            </w:tcBorders>
            <w:vAlign w:val="center"/>
          </w:tcPr>
          <w:p w:rsidR="0017164D" w:rsidRPr="00765C97" w:rsidRDefault="0017164D">
            <w:pPr>
              <w:jc w:val="right"/>
              <w:rPr>
                <w:rFonts w:ascii="Arial" w:hAnsi="Arial" w:cs="Arial"/>
                <w:color w:val="000000"/>
                <w:sz w:val="20"/>
                <w:szCs w:val="20"/>
              </w:rPr>
            </w:pPr>
            <w:r w:rsidRPr="00765C97">
              <w:rPr>
                <w:rFonts w:ascii="Arial" w:hAnsi="Arial" w:cs="Arial"/>
                <w:color w:val="000000"/>
                <w:sz w:val="20"/>
                <w:szCs w:val="20"/>
              </w:rPr>
              <w:t xml:space="preserve">30 000,00 zł </w:t>
            </w:r>
          </w:p>
        </w:tc>
      </w:tr>
      <w:tr w:rsidR="0017164D" w:rsidRPr="00765C97" w:rsidTr="0017164D">
        <w:trPr>
          <w:trHeight w:val="266"/>
        </w:trPr>
        <w:tc>
          <w:tcPr>
            <w:tcW w:w="426" w:type="dxa"/>
            <w:tcBorders>
              <w:top w:val="nil"/>
              <w:left w:val="nil"/>
              <w:bottom w:val="nil"/>
              <w:right w:val="single" w:sz="4" w:space="0" w:color="auto"/>
            </w:tcBorders>
            <w:noWrap/>
            <w:vAlign w:val="center"/>
          </w:tcPr>
          <w:p w:rsidR="0017164D" w:rsidRPr="00765C97" w:rsidRDefault="0017164D" w:rsidP="004B1467">
            <w:pPr>
              <w:jc w:val="center"/>
              <w:rPr>
                <w:rFonts w:ascii="Arial" w:hAnsi="Arial" w:cs="Arial"/>
                <w:sz w:val="20"/>
                <w:szCs w:val="20"/>
              </w:rPr>
            </w:pPr>
            <w:r w:rsidRPr="00765C97">
              <w:rPr>
                <w:rFonts w:ascii="Arial" w:hAnsi="Arial" w:cs="Arial"/>
                <w:sz w:val="20"/>
                <w:szCs w:val="20"/>
              </w:rPr>
              <w:t>5</w:t>
            </w:r>
          </w:p>
        </w:tc>
        <w:tc>
          <w:tcPr>
            <w:tcW w:w="1984" w:type="dxa"/>
            <w:tcBorders>
              <w:top w:val="nil"/>
              <w:left w:val="single" w:sz="4" w:space="0" w:color="auto"/>
              <w:bottom w:val="nil"/>
              <w:right w:val="single" w:sz="4" w:space="0" w:color="auto"/>
            </w:tcBorders>
            <w:noWrap/>
            <w:vAlign w:val="center"/>
          </w:tcPr>
          <w:p w:rsidR="0017164D" w:rsidRPr="00765C97" w:rsidRDefault="0017164D">
            <w:pPr>
              <w:rPr>
                <w:rFonts w:ascii="Arial" w:hAnsi="Arial" w:cs="Arial"/>
                <w:sz w:val="20"/>
                <w:szCs w:val="20"/>
              </w:rPr>
            </w:pPr>
            <w:r w:rsidRPr="00765C97">
              <w:rPr>
                <w:rFonts w:ascii="Arial" w:hAnsi="Arial" w:cs="Arial"/>
                <w:sz w:val="20"/>
                <w:szCs w:val="20"/>
              </w:rPr>
              <w:t>Anna Ławrynowicz</w:t>
            </w:r>
          </w:p>
        </w:tc>
        <w:tc>
          <w:tcPr>
            <w:tcW w:w="2126" w:type="dxa"/>
            <w:tcBorders>
              <w:top w:val="nil"/>
              <w:left w:val="single" w:sz="4" w:space="0" w:color="auto"/>
              <w:bottom w:val="nil"/>
              <w:right w:val="single" w:sz="4" w:space="0" w:color="auto"/>
            </w:tcBorders>
            <w:vAlign w:val="center"/>
          </w:tcPr>
          <w:p w:rsidR="0017164D" w:rsidRPr="00765C97" w:rsidRDefault="0017164D">
            <w:pPr>
              <w:jc w:val="right"/>
              <w:rPr>
                <w:rFonts w:ascii="Arial" w:hAnsi="Arial" w:cs="Arial"/>
                <w:color w:val="000000"/>
                <w:sz w:val="20"/>
                <w:szCs w:val="20"/>
              </w:rPr>
            </w:pPr>
            <w:r w:rsidRPr="00765C97">
              <w:rPr>
                <w:rFonts w:ascii="Arial" w:hAnsi="Arial" w:cs="Arial"/>
                <w:color w:val="000000"/>
                <w:sz w:val="20"/>
                <w:szCs w:val="20"/>
              </w:rPr>
              <w:t xml:space="preserve">30 000,00 zł </w:t>
            </w:r>
          </w:p>
        </w:tc>
        <w:tc>
          <w:tcPr>
            <w:tcW w:w="2167" w:type="dxa"/>
            <w:tcBorders>
              <w:top w:val="nil"/>
              <w:left w:val="single" w:sz="4" w:space="0" w:color="auto"/>
              <w:bottom w:val="nil"/>
              <w:right w:val="single" w:sz="4" w:space="0" w:color="auto"/>
            </w:tcBorders>
            <w:noWrap/>
            <w:vAlign w:val="center"/>
          </w:tcPr>
          <w:p w:rsidR="0017164D" w:rsidRPr="00765C97" w:rsidRDefault="0017164D">
            <w:pPr>
              <w:jc w:val="right"/>
              <w:rPr>
                <w:sz w:val="20"/>
                <w:szCs w:val="20"/>
              </w:rPr>
            </w:pPr>
            <w:r w:rsidRPr="00765C97">
              <w:rPr>
                <w:rFonts w:ascii="Arial" w:hAnsi="Arial" w:cs="Arial"/>
                <w:color w:val="000000"/>
                <w:sz w:val="20"/>
                <w:szCs w:val="20"/>
              </w:rPr>
              <w:t xml:space="preserve">0,00 zł </w:t>
            </w:r>
          </w:p>
        </w:tc>
        <w:tc>
          <w:tcPr>
            <w:tcW w:w="1479" w:type="dxa"/>
            <w:tcBorders>
              <w:top w:val="nil"/>
              <w:left w:val="single" w:sz="4" w:space="0" w:color="auto"/>
              <w:bottom w:val="nil"/>
              <w:right w:val="nil"/>
            </w:tcBorders>
            <w:vAlign w:val="center"/>
          </w:tcPr>
          <w:p w:rsidR="0017164D" w:rsidRPr="00765C97" w:rsidRDefault="0017164D">
            <w:pPr>
              <w:jc w:val="right"/>
              <w:rPr>
                <w:rFonts w:ascii="Arial" w:hAnsi="Arial" w:cs="Arial"/>
                <w:color w:val="000000"/>
                <w:sz w:val="20"/>
                <w:szCs w:val="20"/>
              </w:rPr>
            </w:pPr>
            <w:r w:rsidRPr="00765C97">
              <w:rPr>
                <w:rFonts w:ascii="Arial" w:hAnsi="Arial" w:cs="Arial"/>
                <w:color w:val="000000"/>
                <w:sz w:val="20"/>
                <w:szCs w:val="20"/>
              </w:rPr>
              <w:t xml:space="preserve">30 000,00 zł </w:t>
            </w:r>
          </w:p>
        </w:tc>
      </w:tr>
      <w:tr w:rsidR="0017164D" w:rsidRPr="00765C97" w:rsidTr="0017164D">
        <w:trPr>
          <w:trHeight w:val="266"/>
        </w:trPr>
        <w:tc>
          <w:tcPr>
            <w:tcW w:w="426" w:type="dxa"/>
            <w:tcBorders>
              <w:top w:val="nil"/>
              <w:left w:val="nil"/>
              <w:bottom w:val="nil"/>
              <w:right w:val="single" w:sz="4" w:space="0" w:color="auto"/>
            </w:tcBorders>
            <w:noWrap/>
            <w:vAlign w:val="center"/>
          </w:tcPr>
          <w:p w:rsidR="0017164D" w:rsidRPr="00765C97" w:rsidRDefault="0017164D" w:rsidP="004B1467">
            <w:pPr>
              <w:jc w:val="center"/>
              <w:rPr>
                <w:rFonts w:ascii="Arial" w:hAnsi="Arial" w:cs="Arial"/>
                <w:sz w:val="20"/>
                <w:szCs w:val="20"/>
              </w:rPr>
            </w:pPr>
            <w:r w:rsidRPr="00765C97">
              <w:rPr>
                <w:rFonts w:ascii="Arial" w:hAnsi="Arial" w:cs="Arial"/>
                <w:sz w:val="20"/>
                <w:szCs w:val="20"/>
              </w:rPr>
              <w:t>6</w:t>
            </w:r>
          </w:p>
        </w:tc>
        <w:tc>
          <w:tcPr>
            <w:tcW w:w="1984" w:type="dxa"/>
            <w:tcBorders>
              <w:top w:val="nil"/>
              <w:left w:val="single" w:sz="4" w:space="0" w:color="auto"/>
              <w:bottom w:val="nil"/>
              <w:right w:val="single" w:sz="4" w:space="0" w:color="auto"/>
            </w:tcBorders>
            <w:noWrap/>
            <w:vAlign w:val="center"/>
          </w:tcPr>
          <w:p w:rsidR="0017164D" w:rsidRPr="00765C97" w:rsidRDefault="0017164D">
            <w:pPr>
              <w:rPr>
                <w:rFonts w:ascii="Arial" w:hAnsi="Arial" w:cs="Arial"/>
                <w:sz w:val="20"/>
                <w:szCs w:val="20"/>
              </w:rPr>
            </w:pPr>
            <w:r w:rsidRPr="00765C97">
              <w:rPr>
                <w:rFonts w:ascii="Arial" w:hAnsi="Arial" w:cs="Arial"/>
                <w:sz w:val="20"/>
                <w:szCs w:val="20"/>
              </w:rPr>
              <w:t>Tadeusz Syryjczyk</w:t>
            </w:r>
          </w:p>
        </w:tc>
        <w:tc>
          <w:tcPr>
            <w:tcW w:w="2126" w:type="dxa"/>
            <w:tcBorders>
              <w:top w:val="nil"/>
              <w:left w:val="single" w:sz="4" w:space="0" w:color="auto"/>
              <w:bottom w:val="nil"/>
              <w:right w:val="single" w:sz="4" w:space="0" w:color="auto"/>
            </w:tcBorders>
            <w:vAlign w:val="center"/>
          </w:tcPr>
          <w:p w:rsidR="0017164D" w:rsidRPr="00765C97" w:rsidRDefault="0017164D">
            <w:pPr>
              <w:jc w:val="right"/>
              <w:rPr>
                <w:rFonts w:ascii="Arial" w:hAnsi="Arial" w:cs="Arial"/>
                <w:color w:val="000000"/>
                <w:sz w:val="20"/>
                <w:szCs w:val="20"/>
              </w:rPr>
            </w:pPr>
            <w:r w:rsidRPr="00765C97">
              <w:rPr>
                <w:rFonts w:ascii="Arial" w:hAnsi="Arial" w:cs="Arial"/>
                <w:color w:val="000000"/>
                <w:sz w:val="20"/>
                <w:szCs w:val="20"/>
              </w:rPr>
              <w:t xml:space="preserve">30 000,00 zł </w:t>
            </w:r>
          </w:p>
        </w:tc>
        <w:tc>
          <w:tcPr>
            <w:tcW w:w="2167" w:type="dxa"/>
            <w:tcBorders>
              <w:top w:val="nil"/>
              <w:left w:val="single" w:sz="4" w:space="0" w:color="auto"/>
              <w:bottom w:val="nil"/>
              <w:right w:val="single" w:sz="4" w:space="0" w:color="auto"/>
            </w:tcBorders>
            <w:noWrap/>
            <w:vAlign w:val="center"/>
          </w:tcPr>
          <w:p w:rsidR="0017164D" w:rsidRPr="00765C97" w:rsidRDefault="0017164D">
            <w:pPr>
              <w:jc w:val="right"/>
              <w:rPr>
                <w:sz w:val="20"/>
                <w:szCs w:val="20"/>
              </w:rPr>
            </w:pPr>
            <w:r w:rsidRPr="00765C97">
              <w:rPr>
                <w:rFonts w:ascii="Arial" w:hAnsi="Arial" w:cs="Arial"/>
                <w:color w:val="000000"/>
                <w:sz w:val="20"/>
                <w:szCs w:val="20"/>
              </w:rPr>
              <w:t xml:space="preserve">0,00 zł </w:t>
            </w:r>
          </w:p>
        </w:tc>
        <w:tc>
          <w:tcPr>
            <w:tcW w:w="1479" w:type="dxa"/>
            <w:tcBorders>
              <w:top w:val="nil"/>
              <w:left w:val="single" w:sz="4" w:space="0" w:color="auto"/>
              <w:bottom w:val="nil"/>
              <w:right w:val="nil"/>
            </w:tcBorders>
            <w:vAlign w:val="center"/>
          </w:tcPr>
          <w:p w:rsidR="0017164D" w:rsidRPr="00765C97" w:rsidRDefault="0017164D">
            <w:pPr>
              <w:jc w:val="right"/>
              <w:rPr>
                <w:rFonts w:ascii="Arial" w:hAnsi="Arial" w:cs="Arial"/>
                <w:color w:val="000000"/>
                <w:sz w:val="20"/>
                <w:szCs w:val="20"/>
              </w:rPr>
            </w:pPr>
            <w:r w:rsidRPr="00765C97">
              <w:rPr>
                <w:rFonts w:ascii="Arial" w:hAnsi="Arial" w:cs="Arial"/>
                <w:color w:val="000000"/>
                <w:sz w:val="20"/>
                <w:szCs w:val="20"/>
              </w:rPr>
              <w:t xml:space="preserve">30 000,00 zł </w:t>
            </w:r>
          </w:p>
        </w:tc>
      </w:tr>
      <w:tr w:rsidR="0017164D" w:rsidRPr="00765C97" w:rsidTr="0017164D">
        <w:trPr>
          <w:trHeight w:val="266"/>
        </w:trPr>
        <w:tc>
          <w:tcPr>
            <w:tcW w:w="426" w:type="dxa"/>
            <w:tcBorders>
              <w:top w:val="nil"/>
              <w:left w:val="nil"/>
              <w:bottom w:val="nil"/>
              <w:right w:val="single" w:sz="4" w:space="0" w:color="auto"/>
            </w:tcBorders>
            <w:noWrap/>
            <w:vAlign w:val="center"/>
          </w:tcPr>
          <w:p w:rsidR="0017164D" w:rsidRPr="00765C97" w:rsidRDefault="0017164D" w:rsidP="004B1467">
            <w:pPr>
              <w:jc w:val="center"/>
              <w:rPr>
                <w:rFonts w:ascii="Arial" w:hAnsi="Arial" w:cs="Arial"/>
                <w:b/>
                <w:sz w:val="20"/>
                <w:szCs w:val="20"/>
              </w:rPr>
            </w:pPr>
          </w:p>
        </w:tc>
        <w:tc>
          <w:tcPr>
            <w:tcW w:w="1984" w:type="dxa"/>
            <w:tcBorders>
              <w:top w:val="nil"/>
              <w:left w:val="single" w:sz="4" w:space="0" w:color="auto"/>
              <w:bottom w:val="nil"/>
              <w:right w:val="single" w:sz="4" w:space="0" w:color="auto"/>
            </w:tcBorders>
            <w:noWrap/>
            <w:vAlign w:val="center"/>
          </w:tcPr>
          <w:p w:rsidR="0017164D" w:rsidRPr="00765C97" w:rsidRDefault="0017164D">
            <w:pPr>
              <w:rPr>
                <w:rFonts w:ascii="Arial" w:hAnsi="Arial" w:cs="Arial"/>
                <w:b/>
                <w:sz w:val="20"/>
                <w:szCs w:val="20"/>
              </w:rPr>
            </w:pPr>
            <w:r w:rsidRPr="00765C97">
              <w:rPr>
                <w:rFonts w:ascii="Arial" w:hAnsi="Arial" w:cs="Arial"/>
                <w:b/>
                <w:sz w:val="20"/>
                <w:szCs w:val="20"/>
              </w:rPr>
              <w:t>Razem</w:t>
            </w:r>
          </w:p>
        </w:tc>
        <w:tc>
          <w:tcPr>
            <w:tcW w:w="2126" w:type="dxa"/>
            <w:tcBorders>
              <w:top w:val="nil"/>
              <w:left w:val="single" w:sz="4" w:space="0" w:color="auto"/>
              <w:bottom w:val="nil"/>
              <w:right w:val="single" w:sz="4" w:space="0" w:color="auto"/>
            </w:tcBorders>
            <w:vAlign w:val="center"/>
          </w:tcPr>
          <w:p w:rsidR="0017164D" w:rsidRPr="00765C97" w:rsidRDefault="0017164D">
            <w:pPr>
              <w:jc w:val="right"/>
              <w:rPr>
                <w:rFonts w:ascii="Arial" w:hAnsi="Arial" w:cs="Arial"/>
                <w:b/>
                <w:bCs/>
                <w:color w:val="000000"/>
                <w:sz w:val="20"/>
                <w:szCs w:val="20"/>
              </w:rPr>
            </w:pPr>
            <w:r w:rsidRPr="00765C97">
              <w:rPr>
                <w:rFonts w:ascii="Arial" w:hAnsi="Arial" w:cs="Arial"/>
                <w:b/>
                <w:bCs/>
                <w:color w:val="000000"/>
                <w:sz w:val="20"/>
                <w:szCs w:val="20"/>
              </w:rPr>
              <w:t xml:space="preserve">352 572,00 zł </w:t>
            </w:r>
          </w:p>
        </w:tc>
        <w:tc>
          <w:tcPr>
            <w:tcW w:w="2167" w:type="dxa"/>
            <w:tcBorders>
              <w:top w:val="nil"/>
              <w:left w:val="single" w:sz="4" w:space="0" w:color="auto"/>
              <w:bottom w:val="nil"/>
              <w:right w:val="single" w:sz="4" w:space="0" w:color="auto"/>
            </w:tcBorders>
            <w:noWrap/>
            <w:vAlign w:val="center"/>
          </w:tcPr>
          <w:p w:rsidR="0017164D" w:rsidRPr="00765C97" w:rsidRDefault="0017164D">
            <w:pPr>
              <w:jc w:val="right"/>
              <w:rPr>
                <w:rFonts w:ascii="Arial" w:hAnsi="Arial" w:cs="Arial"/>
                <w:b/>
                <w:bCs/>
                <w:color w:val="000000"/>
                <w:sz w:val="20"/>
                <w:szCs w:val="20"/>
              </w:rPr>
            </w:pPr>
            <w:r w:rsidRPr="00765C97">
              <w:rPr>
                <w:rFonts w:ascii="Arial" w:hAnsi="Arial" w:cs="Arial"/>
                <w:b/>
                <w:bCs/>
                <w:color w:val="000000"/>
                <w:sz w:val="20"/>
                <w:szCs w:val="20"/>
              </w:rPr>
              <w:t>34 067,00 zł</w:t>
            </w:r>
          </w:p>
        </w:tc>
        <w:tc>
          <w:tcPr>
            <w:tcW w:w="1479" w:type="dxa"/>
            <w:tcBorders>
              <w:top w:val="nil"/>
              <w:left w:val="single" w:sz="4" w:space="0" w:color="auto"/>
              <w:bottom w:val="nil"/>
              <w:right w:val="nil"/>
            </w:tcBorders>
            <w:vAlign w:val="center"/>
          </w:tcPr>
          <w:p w:rsidR="0017164D" w:rsidRPr="00765C97" w:rsidRDefault="0017164D">
            <w:pPr>
              <w:jc w:val="right"/>
              <w:rPr>
                <w:rFonts w:ascii="Arial" w:hAnsi="Arial" w:cs="Arial"/>
                <w:b/>
                <w:bCs/>
                <w:color w:val="000000"/>
                <w:sz w:val="20"/>
                <w:szCs w:val="20"/>
              </w:rPr>
            </w:pPr>
            <w:r w:rsidRPr="00765C97">
              <w:rPr>
                <w:rFonts w:ascii="Arial" w:hAnsi="Arial" w:cs="Arial"/>
                <w:b/>
                <w:bCs/>
                <w:color w:val="000000"/>
                <w:sz w:val="20"/>
                <w:szCs w:val="20"/>
              </w:rPr>
              <w:t xml:space="preserve">386 639,00 zł </w:t>
            </w:r>
          </w:p>
        </w:tc>
      </w:tr>
    </w:tbl>
    <w:p w:rsidR="004B1467" w:rsidRPr="00765C97" w:rsidRDefault="004B1467">
      <w:pPr>
        <w:adjustRightInd w:val="0"/>
        <w:ind w:left="181"/>
        <w:jc w:val="both"/>
        <w:rPr>
          <w:rFonts w:ascii="Arial" w:hAnsi="Arial"/>
          <w:sz w:val="20"/>
          <w:lang w:val="pl-PL"/>
        </w:rPr>
      </w:pPr>
    </w:p>
    <w:p w:rsidR="00B24DA9" w:rsidRPr="00765C97" w:rsidRDefault="00B24DA9" w:rsidP="00666931">
      <w:pPr>
        <w:adjustRightInd w:val="0"/>
        <w:jc w:val="both"/>
        <w:rPr>
          <w:rFonts w:ascii="Arial" w:hAnsi="Arial"/>
          <w:sz w:val="20"/>
          <w:lang w:val="pl-PL"/>
        </w:rPr>
      </w:pPr>
      <w:r w:rsidRPr="00765C97">
        <w:rPr>
          <w:rFonts w:ascii="Arial" w:hAnsi="Arial"/>
          <w:sz w:val="20"/>
          <w:lang w:val="pl-PL"/>
        </w:rPr>
        <w:t>Na dzień 31 grudnia 20</w:t>
      </w:r>
      <w:r w:rsidR="004B1467" w:rsidRPr="00765C97">
        <w:rPr>
          <w:rFonts w:ascii="Arial" w:hAnsi="Arial"/>
          <w:sz w:val="20"/>
          <w:lang w:val="pl-PL"/>
        </w:rPr>
        <w:t>1</w:t>
      </w:r>
      <w:r w:rsidR="000C4D38" w:rsidRPr="00765C97">
        <w:rPr>
          <w:rFonts w:ascii="Arial" w:hAnsi="Arial"/>
          <w:sz w:val="20"/>
          <w:lang w:val="pl-PL"/>
        </w:rPr>
        <w:t>2</w:t>
      </w:r>
      <w:r w:rsidRPr="00765C97">
        <w:rPr>
          <w:rFonts w:ascii="Arial" w:hAnsi="Arial"/>
          <w:sz w:val="20"/>
          <w:lang w:val="pl-PL"/>
        </w:rPr>
        <w:t xml:space="preserve"> r. nie istnieją żadne niespłacone zaliczki, kredyty, pożyczki jak również udzielone przez Com</w:t>
      </w:r>
      <w:r w:rsidR="004B1467" w:rsidRPr="00765C97">
        <w:rPr>
          <w:rFonts w:ascii="Arial" w:hAnsi="Arial"/>
          <w:sz w:val="20"/>
          <w:lang w:val="pl-PL"/>
        </w:rPr>
        <w:t>a</w:t>
      </w:r>
      <w:r w:rsidR="0031442C" w:rsidRPr="00765C97">
        <w:rPr>
          <w:rFonts w:ascii="Arial" w:hAnsi="Arial"/>
          <w:sz w:val="20"/>
          <w:lang w:val="pl-PL"/>
        </w:rPr>
        <w:t>rch S.A. i jednostk</w:t>
      </w:r>
      <w:r w:rsidRPr="00765C97">
        <w:rPr>
          <w:rFonts w:ascii="Arial" w:hAnsi="Arial"/>
          <w:sz w:val="20"/>
          <w:lang w:val="pl-PL"/>
        </w:rPr>
        <w:t xml:space="preserve">i zależne gwarancje i poręczenia na rzecz Członków Zarządu, Rady Nadzorczej </w:t>
      </w:r>
      <w:r w:rsidR="00DB054E" w:rsidRPr="00765C97">
        <w:rPr>
          <w:rFonts w:ascii="Arial" w:hAnsi="Arial"/>
          <w:sz w:val="20"/>
          <w:lang w:val="pl-PL"/>
        </w:rPr>
        <w:t xml:space="preserve">Spółki </w:t>
      </w:r>
      <w:r w:rsidRPr="00765C97">
        <w:rPr>
          <w:rFonts w:ascii="Arial" w:hAnsi="Arial"/>
          <w:sz w:val="20"/>
          <w:lang w:val="pl-PL"/>
        </w:rPr>
        <w:t xml:space="preserve">oraz ich współmałżonków, krewnych i powinowatych do II stopnia. </w:t>
      </w:r>
    </w:p>
    <w:p w:rsidR="00B24DA9" w:rsidRPr="00765C97" w:rsidRDefault="00B24DA9" w:rsidP="00135A9A">
      <w:pPr>
        <w:pStyle w:val="Nagwek3"/>
        <w:numPr>
          <w:ilvl w:val="1"/>
          <w:numId w:val="22"/>
        </w:numPr>
        <w:spacing w:after="240"/>
        <w:ind w:left="709" w:hanging="567"/>
        <w:rPr>
          <w:sz w:val="20"/>
          <w:lang w:val="pl-PL"/>
        </w:rPr>
      </w:pPr>
      <w:bookmarkStart w:id="91" w:name="_Toc353973243"/>
      <w:r w:rsidRPr="00765C97">
        <w:rPr>
          <w:sz w:val="20"/>
          <w:lang w:val="pl-PL"/>
        </w:rPr>
        <w:t>Informacje o akcjonariuszach oraz akcjach posiadanych przez osoby zarządzające i nadzorujące</w:t>
      </w:r>
      <w:bookmarkEnd w:id="91"/>
    </w:p>
    <w:p w:rsidR="00B24DA9" w:rsidRPr="00765C97" w:rsidRDefault="00B24DA9" w:rsidP="00135A9A">
      <w:pPr>
        <w:pStyle w:val="Nagwek4"/>
        <w:numPr>
          <w:ilvl w:val="2"/>
          <w:numId w:val="18"/>
        </w:numPr>
        <w:spacing w:before="240" w:after="120" w:line="240" w:lineRule="auto"/>
        <w:ind w:left="1276" w:hanging="851"/>
        <w:rPr>
          <w:rFonts w:ascii="Arial" w:hAnsi="Arial"/>
          <w:sz w:val="20"/>
          <w:lang w:val="pl-PL"/>
        </w:rPr>
      </w:pPr>
      <w:r w:rsidRPr="00765C97">
        <w:rPr>
          <w:rFonts w:ascii="Arial" w:hAnsi="Arial"/>
          <w:sz w:val="20"/>
          <w:lang w:val="pl-PL"/>
        </w:rPr>
        <w:t>Akcjonariusze posiadający bezpośrednio lub pośrednio poprzez</w:t>
      </w:r>
      <w:r w:rsidR="00432736" w:rsidRPr="00765C97">
        <w:rPr>
          <w:rFonts w:ascii="Arial" w:hAnsi="Arial"/>
          <w:sz w:val="20"/>
          <w:lang w:val="pl-PL"/>
        </w:rPr>
        <w:t xml:space="preserve"> podmioty zależne co najmniej 5%</w:t>
      </w:r>
      <w:r w:rsidRPr="00765C97">
        <w:rPr>
          <w:rFonts w:ascii="Arial" w:hAnsi="Arial"/>
          <w:sz w:val="20"/>
          <w:lang w:val="pl-PL"/>
        </w:rPr>
        <w:t xml:space="preserve"> ogólnej liczby głosów na walnym zgromadzeniu </w:t>
      </w:r>
      <w:r w:rsidR="007171EC" w:rsidRPr="00765C97">
        <w:rPr>
          <w:rFonts w:ascii="Arial" w:hAnsi="Arial"/>
          <w:sz w:val="20"/>
          <w:lang w:val="pl-PL"/>
        </w:rPr>
        <w:t>Comarch</w:t>
      </w:r>
      <w:r w:rsidRPr="00765C97">
        <w:rPr>
          <w:rFonts w:ascii="Arial" w:hAnsi="Arial"/>
          <w:sz w:val="20"/>
          <w:lang w:val="pl-PL"/>
        </w:rPr>
        <w:t xml:space="preserve"> S.A., na dzień sporządzenia skonsolidowanego sprawozdania finansowego</w:t>
      </w:r>
    </w:p>
    <w:p w:rsidR="004B76AD" w:rsidRPr="00765C97" w:rsidRDefault="004B76AD" w:rsidP="004B76AD">
      <w:pPr>
        <w:adjustRightInd w:val="0"/>
        <w:jc w:val="both"/>
        <w:rPr>
          <w:rFonts w:ascii="Arial" w:hAnsi="Arial"/>
          <w:sz w:val="20"/>
          <w:lang w:val="pl-PL"/>
        </w:rPr>
      </w:pPr>
      <w:r w:rsidRPr="00765C97">
        <w:rPr>
          <w:rFonts w:ascii="Arial" w:hAnsi="Arial"/>
          <w:sz w:val="20"/>
          <w:lang w:val="pl-PL"/>
        </w:rPr>
        <w:t>Wg stanu na dzień sporządzenia raportu:</w:t>
      </w:r>
    </w:p>
    <w:p w:rsidR="004B76AD" w:rsidRPr="00765C97" w:rsidRDefault="004B76AD" w:rsidP="004B76AD">
      <w:pPr>
        <w:jc w:val="both"/>
        <w:rPr>
          <w:rFonts w:ascii="Arial" w:hAnsi="Arial"/>
          <w:sz w:val="20"/>
          <w:lang w:val="pl-PL"/>
        </w:rPr>
      </w:pPr>
    </w:p>
    <w:p w:rsidR="004B76AD" w:rsidRPr="00765C97" w:rsidRDefault="004B76AD" w:rsidP="004B76AD">
      <w:pPr>
        <w:jc w:val="both"/>
        <w:rPr>
          <w:rFonts w:ascii="Arial" w:hAnsi="Arial"/>
          <w:sz w:val="20"/>
          <w:lang w:val="pl-PL"/>
        </w:rPr>
      </w:pPr>
      <w:r w:rsidRPr="00765C97">
        <w:rPr>
          <w:rFonts w:ascii="Arial" w:hAnsi="Arial"/>
          <w:sz w:val="20"/>
          <w:lang w:val="pl-PL"/>
        </w:rPr>
        <w:t xml:space="preserve">- Janusz Filipiak posiada </w:t>
      </w:r>
      <w:r w:rsidRPr="00765C97">
        <w:rPr>
          <w:rFonts w:ascii="Arial" w:hAnsi="Arial" w:cs="Arial"/>
          <w:sz w:val="20"/>
          <w:szCs w:val="20"/>
          <w:lang w:val="pl-PL"/>
        </w:rPr>
        <w:t>2 620 010</w:t>
      </w:r>
      <w:r w:rsidRPr="00765C97">
        <w:rPr>
          <w:rFonts w:ascii="Arial" w:hAnsi="Arial"/>
          <w:sz w:val="20"/>
          <w:lang w:val="pl-PL"/>
        </w:rPr>
        <w:t xml:space="preserve"> akcji </w:t>
      </w:r>
      <w:r w:rsidR="007171EC" w:rsidRPr="00765C97">
        <w:rPr>
          <w:rFonts w:ascii="Arial" w:hAnsi="Arial"/>
          <w:sz w:val="20"/>
          <w:lang w:val="pl-PL"/>
        </w:rPr>
        <w:t>Comarch</w:t>
      </w:r>
      <w:r w:rsidRPr="00765C97">
        <w:rPr>
          <w:rFonts w:ascii="Arial" w:hAnsi="Arial"/>
          <w:sz w:val="20"/>
          <w:lang w:val="pl-PL"/>
        </w:rPr>
        <w:t xml:space="preserve"> S.A. (32,54% w kapitale zakładowym Spółki), które uprawniały do </w:t>
      </w:r>
      <w:r w:rsidRPr="00765C97">
        <w:rPr>
          <w:rFonts w:ascii="Arial" w:hAnsi="Arial" w:cs="Arial"/>
          <w:sz w:val="20"/>
          <w:szCs w:val="20"/>
          <w:lang w:val="pl-PL"/>
        </w:rPr>
        <w:t>6 192 010</w:t>
      </w:r>
      <w:r w:rsidRPr="00765C97">
        <w:rPr>
          <w:rFonts w:ascii="Arial" w:hAnsi="Arial"/>
          <w:sz w:val="20"/>
          <w:lang w:val="pl-PL"/>
        </w:rPr>
        <w:t xml:space="preserve"> głosów na WZA Spółki (41,16%);</w:t>
      </w:r>
    </w:p>
    <w:p w:rsidR="004B76AD" w:rsidRPr="00765C97" w:rsidRDefault="004B76AD" w:rsidP="004B76AD">
      <w:pPr>
        <w:jc w:val="both"/>
        <w:rPr>
          <w:rFonts w:ascii="Arial" w:hAnsi="Arial"/>
          <w:sz w:val="20"/>
          <w:lang w:val="pl-PL"/>
        </w:rPr>
      </w:pPr>
    </w:p>
    <w:p w:rsidR="004B76AD" w:rsidRPr="00765C97" w:rsidRDefault="004B76AD" w:rsidP="004B76AD">
      <w:pPr>
        <w:jc w:val="both"/>
        <w:rPr>
          <w:rFonts w:ascii="Arial" w:hAnsi="Arial"/>
          <w:sz w:val="20"/>
          <w:lang w:val="pl-PL"/>
        </w:rPr>
      </w:pPr>
      <w:r w:rsidRPr="00765C97">
        <w:rPr>
          <w:rFonts w:ascii="Arial" w:hAnsi="Arial"/>
          <w:sz w:val="20"/>
          <w:lang w:val="pl-PL"/>
        </w:rPr>
        <w:t xml:space="preserve">- Elżbieta Filipiak posiada 846 000 akcji </w:t>
      </w:r>
      <w:r w:rsidR="007171EC" w:rsidRPr="00765C97">
        <w:rPr>
          <w:rFonts w:ascii="Arial" w:hAnsi="Arial"/>
          <w:sz w:val="20"/>
          <w:lang w:val="pl-PL"/>
        </w:rPr>
        <w:t>Comarch</w:t>
      </w:r>
      <w:r w:rsidRPr="00765C97">
        <w:rPr>
          <w:rFonts w:ascii="Arial" w:hAnsi="Arial"/>
          <w:sz w:val="20"/>
          <w:lang w:val="pl-PL"/>
        </w:rPr>
        <w:t xml:space="preserve"> S.A. (10,51% w kapitale zakładowym Spółki), które uprawniały do 4 230 000 głosów na WZA Spółki (28,12%)</w:t>
      </w:r>
      <w:r w:rsidR="00F47E08" w:rsidRPr="00765C97">
        <w:rPr>
          <w:rFonts w:ascii="Arial" w:hAnsi="Arial"/>
          <w:sz w:val="20"/>
          <w:lang w:val="pl-PL"/>
        </w:rPr>
        <w:t>.</w:t>
      </w:r>
      <w:r w:rsidRPr="00765C97">
        <w:rPr>
          <w:rFonts w:ascii="Arial" w:hAnsi="Arial"/>
          <w:sz w:val="20"/>
          <w:lang w:val="pl-PL"/>
        </w:rPr>
        <w:t xml:space="preserve"> </w:t>
      </w:r>
    </w:p>
    <w:p w:rsidR="00B24DA9" w:rsidRPr="00765C97" w:rsidRDefault="00B24DA9" w:rsidP="00135A9A">
      <w:pPr>
        <w:pStyle w:val="Nagwek4"/>
        <w:numPr>
          <w:ilvl w:val="2"/>
          <w:numId w:val="18"/>
        </w:numPr>
        <w:spacing w:before="240" w:after="120" w:line="240" w:lineRule="auto"/>
        <w:ind w:left="1276" w:hanging="851"/>
        <w:rPr>
          <w:rFonts w:ascii="Arial" w:hAnsi="Arial"/>
          <w:sz w:val="20"/>
          <w:lang w:val="pl-PL"/>
        </w:rPr>
      </w:pPr>
      <w:r w:rsidRPr="00765C97">
        <w:rPr>
          <w:rFonts w:ascii="Arial" w:hAnsi="Arial"/>
          <w:sz w:val="20"/>
          <w:lang w:val="pl-PL"/>
        </w:rPr>
        <w:t xml:space="preserve">Zmiany w stanie posiadania akcji </w:t>
      </w:r>
      <w:r w:rsidR="007171EC" w:rsidRPr="00765C97">
        <w:rPr>
          <w:rFonts w:ascii="Arial" w:hAnsi="Arial"/>
          <w:sz w:val="20"/>
          <w:lang w:val="pl-PL"/>
        </w:rPr>
        <w:t>Comarch</w:t>
      </w:r>
      <w:r w:rsidRPr="00765C97">
        <w:rPr>
          <w:rFonts w:ascii="Arial" w:hAnsi="Arial"/>
          <w:sz w:val="20"/>
          <w:lang w:val="pl-PL"/>
        </w:rPr>
        <w:t xml:space="preserve"> S.A. przez osoby zarządzające i nadzorujące </w:t>
      </w:r>
      <w:r w:rsidR="007171EC" w:rsidRPr="00765C97">
        <w:rPr>
          <w:rFonts w:ascii="Arial" w:hAnsi="Arial"/>
          <w:sz w:val="20"/>
          <w:lang w:val="pl-PL"/>
        </w:rPr>
        <w:t>Comarch</w:t>
      </w:r>
      <w:r w:rsidRPr="00765C97">
        <w:rPr>
          <w:rFonts w:ascii="Arial" w:hAnsi="Arial"/>
          <w:sz w:val="20"/>
          <w:lang w:val="pl-PL"/>
        </w:rPr>
        <w:t xml:space="preserve"> S.A. w okresie od </w:t>
      </w:r>
      <w:r w:rsidR="0017164D" w:rsidRPr="00765C97">
        <w:rPr>
          <w:rFonts w:ascii="Arial" w:hAnsi="Arial"/>
          <w:sz w:val="20"/>
          <w:lang w:val="pl-PL"/>
        </w:rPr>
        <w:t>1</w:t>
      </w:r>
      <w:r w:rsidR="00F47E08" w:rsidRPr="00765C97">
        <w:rPr>
          <w:rFonts w:ascii="Arial" w:hAnsi="Arial"/>
          <w:sz w:val="20"/>
          <w:lang w:val="pl-PL"/>
        </w:rPr>
        <w:t xml:space="preserve"> </w:t>
      </w:r>
      <w:r w:rsidR="0017164D" w:rsidRPr="00765C97">
        <w:rPr>
          <w:rFonts w:ascii="Arial" w:hAnsi="Arial"/>
          <w:sz w:val="20"/>
          <w:lang w:val="pl-PL"/>
        </w:rPr>
        <w:t>marca</w:t>
      </w:r>
      <w:r w:rsidRPr="00765C97">
        <w:rPr>
          <w:rFonts w:ascii="Arial" w:hAnsi="Arial"/>
          <w:sz w:val="20"/>
          <w:lang w:val="pl-PL"/>
        </w:rPr>
        <w:t xml:space="preserve"> 201</w:t>
      </w:r>
      <w:r w:rsidR="0017164D" w:rsidRPr="00765C97">
        <w:rPr>
          <w:rFonts w:ascii="Arial" w:hAnsi="Arial"/>
          <w:sz w:val="20"/>
          <w:lang w:val="pl-PL"/>
        </w:rPr>
        <w:t>3</w:t>
      </w:r>
      <w:r w:rsidRPr="00765C97">
        <w:rPr>
          <w:rFonts w:ascii="Arial" w:hAnsi="Arial"/>
          <w:sz w:val="20"/>
          <w:lang w:val="pl-PL"/>
        </w:rPr>
        <w:t xml:space="preserve"> r. do </w:t>
      </w:r>
      <w:r w:rsidR="00890D49" w:rsidRPr="00765C97">
        <w:rPr>
          <w:rFonts w:ascii="Arial" w:hAnsi="Arial"/>
          <w:sz w:val="20"/>
          <w:lang w:val="pl-PL"/>
        </w:rPr>
        <w:t>30</w:t>
      </w:r>
      <w:r w:rsidRPr="00765C97">
        <w:rPr>
          <w:rFonts w:ascii="Arial" w:hAnsi="Arial"/>
          <w:sz w:val="20"/>
          <w:lang w:val="pl-PL"/>
        </w:rPr>
        <w:t xml:space="preserve"> kwietnia 201</w:t>
      </w:r>
      <w:r w:rsidR="0017164D" w:rsidRPr="00765C97">
        <w:rPr>
          <w:rFonts w:ascii="Arial" w:hAnsi="Arial"/>
          <w:sz w:val="20"/>
          <w:lang w:val="pl-PL"/>
        </w:rPr>
        <w:t>3</w:t>
      </w:r>
      <w:r w:rsidRPr="00765C97">
        <w:rPr>
          <w:rFonts w:ascii="Arial" w:hAnsi="Arial"/>
          <w:sz w:val="20"/>
          <w:lang w:val="pl-PL"/>
        </w:rPr>
        <w:t xml:space="preserve"> r.</w:t>
      </w:r>
    </w:p>
    <w:p w:rsidR="00B24DA9" w:rsidRPr="00765C97" w:rsidRDefault="00B24DA9" w:rsidP="00666931">
      <w:pPr>
        <w:jc w:val="both"/>
        <w:rPr>
          <w:rFonts w:ascii="Arial" w:hAnsi="Arial"/>
          <w:sz w:val="20"/>
          <w:lang w:val="pl-PL"/>
        </w:rPr>
      </w:pPr>
      <w:r w:rsidRPr="00765C97">
        <w:rPr>
          <w:rFonts w:ascii="Arial" w:hAnsi="Arial"/>
          <w:sz w:val="20"/>
          <w:lang w:val="pl-PL"/>
        </w:rPr>
        <w:t xml:space="preserve">W poniższej tabeli przedstawiono stan posiadania akcji </w:t>
      </w:r>
      <w:r w:rsidR="007171EC" w:rsidRPr="00765C97">
        <w:rPr>
          <w:rFonts w:ascii="Arial" w:hAnsi="Arial"/>
          <w:sz w:val="20"/>
          <w:lang w:val="pl-PL"/>
        </w:rPr>
        <w:t>Comarch</w:t>
      </w:r>
      <w:r w:rsidRPr="00765C97">
        <w:rPr>
          <w:rFonts w:ascii="Arial" w:hAnsi="Arial"/>
          <w:sz w:val="20"/>
          <w:lang w:val="pl-PL"/>
        </w:rPr>
        <w:t xml:space="preserve"> S.A. przez osoby zarządzające i nadzorujące na dzień opublikowania raportu kwartalnego za cztery kwartały 20</w:t>
      </w:r>
      <w:r w:rsidR="00172810" w:rsidRPr="00765C97">
        <w:rPr>
          <w:rFonts w:ascii="Arial" w:hAnsi="Arial"/>
          <w:sz w:val="20"/>
          <w:lang w:val="pl-PL"/>
        </w:rPr>
        <w:t>1</w:t>
      </w:r>
      <w:r w:rsidR="0017164D" w:rsidRPr="00765C97">
        <w:rPr>
          <w:rFonts w:ascii="Arial" w:hAnsi="Arial"/>
          <w:sz w:val="20"/>
          <w:lang w:val="pl-PL"/>
        </w:rPr>
        <w:t>2</w:t>
      </w:r>
      <w:r w:rsidRPr="00765C97">
        <w:rPr>
          <w:rFonts w:ascii="Arial" w:hAnsi="Arial"/>
          <w:sz w:val="20"/>
          <w:lang w:val="pl-PL"/>
        </w:rPr>
        <w:t xml:space="preserve"> roku, tj. </w:t>
      </w:r>
      <w:r w:rsidR="0017164D" w:rsidRPr="00765C97">
        <w:rPr>
          <w:rFonts w:ascii="Arial" w:hAnsi="Arial"/>
          <w:sz w:val="20"/>
          <w:lang w:val="pl-PL"/>
        </w:rPr>
        <w:t>1</w:t>
      </w:r>
      <w:r w:rsidR="00890D49" w:rsidRPr="00765C97">
        <w:rPr>
          <w:rFonts w:ascii="Arial" w:hAnsi="Arial"/>
          <w:sz w:val="20"/>
          <w:lang w:val="pl-PL"/>
        </w:rPr>
        <w:t xml:space="preserve"> </w:t>
      </w:r>
      <w:r w:rsidR="0017164D" w:rsidRPr="00765C97">
        <w:rPr>
          <w:rFonts w:ascii="Arial" w:hAnsi="Arial"/>
          <w:sz w:val="20"/>
          <w:lang w:val="pl-PL"/>
        </w:rPr>
        <w:t>marca</w:t>
      </w:r>
      <w:r w:rsidRPr="00765C97">
        <w:rPr>
          <w:rFonts w:ascii="Arial" w:hAnsi="Arial"/>
          <w:sz w:val="20"/>
          <w:lang w:val="pl-PL"/>
        </w:rPr>
        <w:t xml:space="preserve"> 201</w:t>
      </w:r>
      <w:r w:rsidR="0017164D" w:rsidRPr="00765C97">
        <w:rPr>
          <w:rFonts w:ascii="Arial" w:hAnsi="Arial"/>
          <w:sz w:val="20"/>
          <w:lang w:val="pl-PL"/>
        </w:rPr>
        <w:t>3</w:t>
      </w:r>
      <w:r w:rsidRPr="00765C97">
        <w:rPr>
          <w:rFonts w:ascii="Arial" w:hAnsi="Arial"/>
          <w:sz w:val="20"/>
          <w:lang w:val="pl-PL"/>
        </w:rPr>
        <w:t xml:space="preserve"> r. oraz w dniu </w:t>
      </w:r>
      <w:r w:rsidR="00890D49" w:rsidRPr="00765C97">
        <w:rPr>
          <w:rFonts w:ascii="Arial" w:hAnsi="Arial"/>
          <w:sz w:val="20"/>
          <w:lang w:val="pl-PL"/>
        </w:rPr>
        <w:t>30</w:t>
      </w:r>
      <w:r w:rsidRPr="00765C97">
        <w:rPr>
          <w:rFonts w:ascii="Arial" w:hAnsi="Arial"/>
          <w:sz w:val="20"/>
          <w:lang w:val="pl-PL"/>
        </w:rPr>
        <w:t xml:space="preserve"> kwietnia 201</w:t>
      </w:r>
      <w:r w:rsidR="0017164D" w:rsidRPr="00765C97">
        <w:rPr>
          <w:rFonts w:ascii="Arial" w:hAnsi="Arial"/>
          <w:sz w:val="20"/>
          <w:lang w:val="pl-PL"/>
        </w:rPr>
        <w:t>3</w:t>
      </w:r>
      <w:r w:rsidRPr="00765C97">
        <w:rPr>
          <w:rFonts w:ascii="Arial" w:hAnsi="Arial"/>
          <w:sz w:val="20"/>
          <w:lang w:val="pl-PL"/>
        </w:rPr>
        <w:t xml:space="preserve"> roku, zgodnie z posiadanymi przez Spółkę informacjami. </w:t>
      </w:r>
    </w:p>
    <w:p w:rsidR="00B24DA9" w:rsidRPr="00765C97" w:rsidRDefault="00B24DA9">
      <w:pPr>
        <w:ind w:left="180"/>
        <w:jc w:val="both"/>
        <w:rPr>
          <w:rFonts w:ascii="Arial" w:hAnsi="Arial"/>
          <w:sz w:val="20"/>
          <w:lang w:val="pl-PL"/>
        </w:rPr>
      </w:pPr>
    </w:p>
    <w:tbl>
      <w:tblPr>
        <w:tblW w:w="0" w:type="auto"/>
        <w:tblInd w:w="30" w:type="dxa"/>
        <w:tblLayout w:type="fixed"/>
        <w:tblCellMar>
          <w:left w:w="30" w:type="dxa"/>
          <w:right w:w="30" w:type="dxa"/>
        </w:tblCellMar>
        <w:tblLook w:val="0000"/>
      </w:tblPr>
      <w:tblGrid>
        <w:gridCol w:w="1843"/>
        <w:gridCol w:w="2126"/>
        <w:gridCol w:w="1276"/>
        <w:gridCol w:w="1134"/>
        <w:gridCol w:w="1006"/>
        <w:gridCol w:w="1120"/>
      </w:tblGrid>
      <w:tr w:rsidR="00B24DA9" w:rsidRPr="00765C97" w:rsidTr="00666931">
        <w:trPr>
          <w:trHeight w:val="262"/>
        </w:trPr>
        <w:tc>
          <w:tcPr>
            <w:tcW w:w="1843" w:type="dxa"/>
            <w:tcBorders>
              <w:top w:val="single" w:sz="6" w:space="0" w:color="auto"/>
              <w:left w:val="single" w:sz="6" w:space="0" w:color="auto"/>
              <w:right w:val="single" w:sz="6" w:space="0" w:color="auto"/>
            </w:tcBorders>
          </w:tcPr>
          <w:p w:rsidR="00B24DA9" w:rsidRPr="00765C97" w:rsidRDefault="00B24DA9">
            <w:pPr>
              <w:rPr>
                <w:rFonts w:ascii="Arial" w:hAnsi="Arial"/>
                <w:snapToGrid w:val="0"/>
                <w:color w:val="000000"/>
                <w:sz w:val="20"/>
                <w:lang w:val="pl-PL"/>
              </w:rPr>
            </w:pPr>
          </w:p>
        </w:tc>
        <w:tc>
          <w:tcPr>
            <w:tcW w:w="2126" w:type="dxa"/>
            <w:tcBorders>
              <w:top w:val="single" w:sz="6" w:space="0" w:color="auto"/>
              <w:left w:val="single" w:sz="6" w:space="0" w:color="auto"/>
            </w:tcBorders>
          </w:tcPr>
          <w:p w:rsidR="00B24DA9" w:rsidRPr="00765C97" w:rsidRDefault="00B24DA9">
            <w:pPr>
              <w:rPr>
                <w:rFonts w:ascii="Arial" w:hAnsi="Arial"/>
                <w:snapToGrid w:val="0"/>
                <w:color w:val="000000"/>
                <w:sz w:val="20"/>
                <w:lang w:val="pl-PL"/>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24DA9" w:rsidRPr="00765C97" w:rsidRDefault="00B24DA9">
            <w:pPr>
              <w:jc w:val="right"/>
              <w:rPr>
                <w:rFonts w:ascii="Arial" w:hAnsi="Arial"/>
                <w:b/>
                <w:sz w:val="20"/>
                <w:lang w:val="pl-PL"/>
              </w:rPr>
            </w:pPr>
            <w:bookmarkStart w:id="92" w:name="_Toc119749742"/>
            <w:bookmarkStart w:id="93" w:name="_Toc119750239"/>
            <w:r w:rsidRPr="00765C97">
              <w:rPr>
                <w:rFonts w:ascii="Arial" w:hAnsi="Arial"/>
                <w:b/>
                <w:sz w:val="20"/>
                <w:lang w:val="pl-PL"/>
              </w:rPr>
              <w:t xml:space="preserve">Stan na </w:t>
            </w:r>
          </w:p>
          <w:p w:rsidR="00B24DA9" w:rsidRPr="00765C97" w:rsidRDefault="00890D49" w:rsidP="00AE1135">
            <w:pPr>
              <w:jc w:val="right"/>
              <w:rPr>
                <w:rFonts w:ascii="Arial" w:hAnsi="Arial"/>
                <w:b/>
                <w:sz w:val="20"/>
                <w:lang w:val="pl-PL"/>
              </w:rPr>
            </w:pPr>
            <w:r w:rsidRPr="00765C97">
              <w:rPr>
                <w:rFonts w:ascii="Arial" w:hAnsi="Arial"/>
                <w:b/>
                <w:sz w:val="20"/>
                <w:lang w:val="pl-PL"/>
              </w:rPr>
              <w:t>30</w:t>
            </w:r>
            <w:r w:rsidR="00B24DA9" w:rsidRPr="00765C97">
              <w:rPr>
                <w:rFonts w:ascii="Arial" w:hAnsi="Arial"/>
                <w:b/>
                <w:sz w:val="20"/>
                <w:lang w:val="pl-PL"/>
              </w:rPr>
              <w:t xml:space="preserve"> kwietnia 20</w:t>
            </w:r>
            <w:bookmarkEnd w:id="92"/>
            <w:bookmarkEnd w:id="93"/>
            <w:r w:rsidR="00B24DA9" w:rsidRPr="00765C97">
              <w:rPr>
                <w:rFonts w:ascii="Arial" w:hAnsi="Arial"/>
                <w:b/>
                <w:sz w:val="20"/>
                <w:lang w:val="pl-PL"/>
              </w:rPr>
              <w:t>1</w:t>
            </w:r>
            <w:r w:rsidR="00AE1135" w:rsidRPr="00765C97">
              <w:rPr>
                <w:rFonts w:ascii="Arial" w:hAnsi="Arial"/>
                <w:b/>
                <w:sz w:val="20"/>
                <w:lang w:val="pl-PL"/>
              </w:rPr>
              <w:t>3</w:t>
            </w:r>
            <w:r w:rsidR="00B24DA9" w:rsidRPr="00765C97">
              <w:rPr>
                <w:rFonts w:ascii="Arial" w:hAnsi="Arial"/>
                <w:b/>
                <w:sz w:val="20"/>
                <w:lang w:val="pl-PL"/>
              </w:rPr>
              <w:t xml:space="preserve"> r.</w:t>
            </w:r>
          </w:p>
        </w:tc>
        <w:tc>
          <w:tcPr>
            <w:tcW w:w="2126" w:type="dxa"/>
            <w:gridSpan w:val="2"/>
            <w:tcBorders>
              <w:top w:val="single" w:sz="4" w:space="0" w:color="auto"/>
              <w:left w:val="single" w:sz="4" w:space="0" w:color="auto"/>
              <w:right w:val="single" w:sz="4" w:space="0" w:color="auto"/>
            </w:tcBorders>
            <w:vAlign w:val="center"/>
          </w:tcPr>
          <w:p w:rsidR="00B24DA9" w:rsidRPr="00765C97" w:rsidRDefault="00B24DA9">
            <w:pPr>
              <w:jc w:val="right"/>
              <w:rPr>
                <w:rFonts w:ascii="Arial" w:hAnsi="Arial"/>
                <w:b/>
                <w:sz w:val="20"/>
                <w:lang w:val="pl-PL"/>
              </w:rPr>
            </w:pPr>
            <w:bookmarkStart w:id="94" w:name="_Toc119749743"/>
            <w:bookmarkStart w:id="95" w:name="_Toc119750240"/>
            <w:r w:rsidRPr="00765C97">
              <w:rPr>
                <w:rFonts w:ascii="Arial" w:hAnsi="Arial"/>
                <w:b/>
                <w:sz w:val="20"/>
                <w:lang w:val="pl-PL"/>
              </w:rPr>
              <w:t xml:space="preserve">Stan na </w:t>
            </w:r>
          </w:p>
          <w:p w:rsidR="00B24DA9" w:rsidRPr="00765C97" w:rsidRDefault="0017164D" w:rsidP="00890D49">
            <w:pPr>
              <w:jc w:val="right"/>
              <w:rPr>
                <w:rFonts w:ascii="Arial" w:hAnsi="Arial"/>
                <w:b/>
                <w:sz w:val="20"/>
                <w:lang w:val="pl-PL"/>
              </w:rPr>
            </w:pPr>
            <w:r w:rsidRPr="00765C97">
              <w:rPr>
                <w:rFonts w:ascii="Arial" w:hAnsi="Arial"/>
                <w:b/>
                <w:sz w:val="20"/>
                <w:lang w:val="pl-PL"/>
              </w:rPr>
              <w:t>1 marca</w:t>
            </w:r>
            <w:r w:rsidR="00B24DA9" w:rsidRPr="00765C97">
              <w:rPr>
                <w:rFonts w:ascii="Arial" w:hAnsi="Arial"/>
                <w:b/>
                <w:sz w:val="20"/>
                <w:lang w:val="pl-PL"/>
              </w:rPr>
              <w:t xml:space="preserve"> 20</w:t>
            </w:r>
            <w:bookmarkEnd w:id="94"/>
            <w:bookmarkEnd w:id="95"/>
            <w:r w:rsidR="00B24DA9" w:rsidRPr="00765C97">
              <w:rPr>
                <w:rFonts w:ascii="Arial" w:hAnsi="Arial"/>
                <w:b/>
                <w:sz w:val="20"/>
                <w:lang w:val="pl-PL"/>
              </w:rPr>
              <w:t>1</w:t>
            </w:r>
            <w:r w:rsidRPr="00765C97">
              <w:rPr>
                <w:rFonts w:ascii="Arial" w:hAnsi="Arial"/>
                <w:b/>
                <w:sz w:val="20"/>
                <w:lang w:val="pl-PL"/>
              </w:rPr>
              <w:t>3</w:t>
            </w:r>
            <w:r w:rsidR="00B24DA9" w:rsidRPr="00765C97">
              <w:rPr>
                <w:rFonts w:ascii="Arial" w:hAnsi="Arial"/>
                <w:b/>
                <w:sz w:val="20"/>
                <w:lang w:val="pl-PL"/>
              </w:rPr>
              <w:t xml:space="preserve"> r.</w:t>
            </w:r>
          </w:p>
        </w:tc>
      </w:tr>
      <w:tr w:rsidR="00B24DA9" w:rsidRPr="00F346A4" w:rsidTr="00666931">
        <w:trPr>
          <w:trHeight w:val="549"/>
        </w:trPr>
        <w:tc>
          <w:tcPr>
            <w:tcW w:w="1843" w:type="dxa"/>
            <w:tcBorders>
              <w:left w:val="single" w:sz="6" w:space="0" w:color="auto"/>
              <w:bottom w:val="single" w:sz="6" w:space="0" w:color="auto"/>
              <w:right w:val="single" w:sz="6" w:space="0" w:color="auto"/>
            </w:tcBorders>
          </w:tcPr>
          <w:p w:rsidR="00B24DA9" w:rsidRPr="00765C97" w:rsidRDefault="00B24DA9">
            <w:pPr>
              <w:rPr>
                <w:rFonts w:ascii="Arial" w:hAnsi="Arial"/>
                <w:b/>
                <w:snapToGrid w:val="0"/>
                <w:color w:val="000000"/>
                <w:sz w:val="20"/>
                <w:lang w:val="pl-PL"/>
              </w:rPr>
            </w:pPr>
            <w:r w:rsidRPr="00765C97">
              <w:rPr>
                <w:rFonts w:ascii="Arial" w:hAnsi="Arial"/>
                <w:b/>
                <w:snapToGrid w:val="0"/>
                <w:color w:val="000000"/>
                <w:sz w:val="20"/>
                <w:lang w:val="pl-PL"/>
              </w:rPr>
              <w:t>Osoby zarządzające i nadzorujące</w:t>
            </w:r>
          </w:p>
        </w:tc>
        <w:tc>
          <w:tcPr>
            <w:tcW w:w="2126" w:type="dxa"/>
            <w:tcBorders>
              <w:left w:val="single" w:sz="6" w:space="0" w:color="auto"/>
              <w:bottom w:val="single" w:sz="6" w:space="0" w:color="auto"/>
              <w:right w:val="single" w:sz="6" w:space="0" w:color="auto"/>
            </w:tcBorders>
          </w:tcPr>
          <w:p w:rsidR="00B24DA9" w:rsidRPr="00765C97" w:rsidRDefault="00B24DA9">
            <w:pPr>
              <w:pStyle w:val="Nagwek4"/>
              <w:numPr>
                <w:ilvl w:val="0"/>
                <w:numId w:val="0"/>
              </w:numPr>
              <w:jc w:val="center"/>
              <w:rPr>
                <w:rFonts w:ascii="Arial" w:hAnsi="Arial"/>
                <w:sz w:val="20"/>
                <w:lang w:val="pl-PL"/>
              </w:rPr>
            </w:pPr>
            <w:r w:rsidRPr="00765C97">
              <w:rPr>
                <w:rFonts w:ascii="Arial" w:hAnsi="Arial"/>
                <w:sz w:val="20"/>
                <w:lang w:val="pl-PL"/>
              </w:rPr>
              <w:t>Funkcja</w:t>
            </w:r>
          </w:p>
        </w:tc>
        <w:tc>
          <w:tcPr>
            <w:tcW w:w="1276" w:type="dxa"/>
            <w:tcBorders>
              <w:bottom w:val="single" w:sz="6" w:space="0" w:color="auto"/>
            </w:tcBorders>
            <w:vAlign w:val="center"/>
          </w:tcPr>
          <w:p w:rsidR="00B24DA9" w:rsidRPr="00765C97" w:rsidRDefault="00B24DA9" w:rsidP="00DB1BE5">
            <w:pPr>
              <w:jc w:val="right"/>
              <w:rPr>
                <w:rFonts w:ascii="Arial" w:hAnsi="Arial"/>
                <w:b/>
                <w:snapToGrid w:val="0"/>
                <w:color w:val="000000"/>
                <w:sz w:val="20"/>
                <w:lang w:val="pl-PL"/>
              </w:rPr>
            </w:pPr>
            <w:r w:rsidRPr="00765C97">
              <w:rPr>
                <w:rFonts w:ascii="Arial" w:hAnsi="Arial"/>
                <w:b/>
                <w:snapToGrid w:val="0"/>
                <w:color w:val="000000"/>
                <w:sz w:val="20"/>
                <w:lang w:val="pl-PL"/>
              </w:rPr>
              <w:t>Akcje (szt.)</w:t>
            </w:r>
          </w:p>
        </w:tc>
        <w:tc>
          <w:tcPr>
            <w:tcW w:w="1134" w:type="dxa"/>
            <w:tcBorders>
              <w:bottom w:val="single" w:sz="6" w:space="0" w:color="auto"/>
              <w:right w:val="single" w:sz="6" w:space="0" w:color="auto"/>
            </w:tcBorders>
            <w:vAlign w:val="center"/>
          </w:tcPr>
          <w:p w:rsidR="00B24DA9" w:rsidRPr="00765C97" w:rsidRDefault="00B24DA9" w:rsidP="00DB1BE5">
            <w:pPr>
              <w:jc w:val="right"/>
              <w:rPr>
                <w:rFonts w:ascii="Arial" w:hAnsi="Arial"/>
                <w:b/>
                <w:snapToGrid w:val="0"/>
                <w:color w:val="000000"/>
                <w:sz w:val="20"/>
                <w:lang w:val="pl-PL"/>
              </w:rPr>
            </w:pPr>
            <w:r w:rsidRPr="00765C97">
              <w:rPr>
                <w:rFonts w:ascii="Arial" w:hAnsi="Arial"/>
                <w:b/>
                <w:snapToGrid w:val="0"/>
                <w:color w:val="000000"/>
                <w:sz w:val="20"/>
                <w:lang w:val="pl-PL"/>
              </w:rPr>
              <w:t>Udział w głosach na WZA (%)</w:t>
            </w:r>
          </w:p>
        </w:tc>
        <w:tc>
          <w:tcPr>
            <w:tcW w:w="1006" w:type="dxa"/>
            <w:tcBorders>
              <w:top w:val="single" w:sz="4" w:space="0" w:color="auto"/>
              <w:bottom w:val="single" w:sz="4" w:space="0" w:color="auto"/>
            </w:tcBorders>
            <w:vAlign w:val="center"/>
          </w:tcPr>
          <w:p w:rsidR="00B24DA9" w:rsidRPr="00765C97" w:rsidRDefault="00B24DA9">
            <w:pPr>
              <w:jc w:val="right"/>
              <w:rPr>
                <w:rFonts w:ascii="Arial" w:hAnsi="Arial"/>
                <w:b/>
                <w:snapToGrid w:val="0"/>
                <w:color w:val="000000"/>
                <w:sz w:val="20"/>
                <w:lang w:val="pl-PL"/>
              </w:rPr>
            </w:pPr>
            <w:r w:rsidRPr="00765C97">
              <w:rPr>
                <w:rFonts w:ascii="Arial" w:hAnsi="Arial"/>
                <w:b/>
                <w:snapToGrid w:val="0"/>
                <w:color w:val="000000"/>
                <w:sz w:val="20"/>
                <w:lang w:val="pl-PL"/>
              </w:rPr>
              <w:t>Akcje (szt.)</w:t>
            </w:r>
          </w:p>
        </w:tc>
        <w:tc>
          <w:tcPr>
            <w:tcW w:w="1120" w:type="dxa"/>
            <w:tcBorders>
              <w:top w:val="single" w:sz="4" w:space="0" w:color="auto"/>
              <w:bottom w:val="single" w:sz="4" w:space="0" w:color="auto"/>
              <w:right w:val="single" w:sz="4" w:space="0" w:color="auto"/>
            </w:tcBorders>
            <w:vAlign w:val="center"/>
          </w:tcPr>
          <w:p w:rsidR="00B24DA9" w:rsidRPr="00765C97" w:rsidRDefault="00B24DA9">
            <w:pPr>
              <w:ind w:left="-36"/>
              <w:jc w:val="right"/>
              <w:rPr>
                <w:rFonts w:ascii="Arial" w:hAnsi="Arial"/>
                <w:b/>
                <w:snapToGrid w:val="0"/>
                <w:color w:val="000000"/>
                <w:sz w:val="20"/>
                <w:lang w:val="pl-PL"/>
              </w:rPr>
            </w:pPr>
            <w:r w:rsidRPr="00765C97">
              <w:rPr>
                <w:rFonts w:ascii="Arial" w:hAnsi="Arial"/>
                <w:b/>
                <w:snapToGrid w:val="0"/>
                <w:color w:val="000000"/>
                <w:sz w:val="20"/>
                <w:lang w:val="pl-PL"/>
              </w:rPr>
              <w:t>Udział w głosach na WZA (%)</w:t>
            </w:r>
          </w:p>
        </w:tc>
      </w:tr>
      <w:tr w:rsidR="00DB59B9" w:rsidRPr="00765C97" w:rsidTr="00666931">
        <w:trPr>
          <w:trHeight w:val="262"/>
        </w:trPr>
        <w:tc>
          <w:tcPr>
            <w:tcW w:w="1843" w:type="dxa"/>
            <w:tcBorders>
              <w:left w:val="single" w:sz="6" w:space="0" w:color="auto"/>
              <w:right w:val="single" w:sz="6" w:space="0" w:color="auto"/>
            </w:tcBorders>
            <w:vAlign w:val="center"/>
          </w:tcPr>
          <w:p w:rsidR="00DB59B9" w:rsidRPr="00765C97" w:rsidRDefault="00DB59B9" w:rsidP="00515B8C">
            <w:pPr>
              <w:rPr>
                <w:rFonts w:ascii="Arial" w:hAnsi="Arial"/>
                <w:snapToGrid w:val="0"/>
                <w:color w:val="000000"/>
                <w:sz w:val="20"/>
                <w:lang w:val="pl-PL"/>
              </w:rPr>
            </w:pPr>
            <w:r w:rsidRPr="00765C97">
              <w:rPr>
                <w:rFonts w:ascii="Arial" w:hAnsi="Arial"/>
                <w:snapToGrid w:val="0"/>
                <w:color w:val="000000"/>
                <w:sz w:val="20"/>
                <w:lang w:val="pl-PL"/>
              </w:rPr>
              <w:t>Janusz Filipiak</w:t>
            </w:r>
          </w:p>
        </w:tc>
        <w:tc>
          <w:tcPr>
            <w:tcW w:w="2126" w:type="dxa"/>
            <w:tcBorders>
              <w:left w:val="single" w:sz="6" w:space="0" w:color="auto"/>
              <w:right w:val="single" w:sz="6" w:space="0" w:color="auto"/>
            </w:tcBorders>
            <w:vAlign w:val="center"/>
          </w:tcPr>
          <w:p w:rsidR="00DB59B9" w:rsidRPr="00765C97" w:rsidRDefault="00DB59B9" w:rsidP="00515B8C">
            <w:pPr>
              <w:rPr>
                <w:rFonts w:ascii="Arial" w:hAnsi="Arial"/>
                <w:snapToGrid w:val="0"/>
                <w:color w:val="000000"/>
                <w:sz w:val="20"/>
                <w:lang w:val="pl-PL"/>
              </w:rPr>
            </w:pPr>
            <w:r w:rsidRPr="00765C97">
              <w:rPr>
                <w:rFonts w:ascii="Arial" w:hAnsi="Arial"/>
                <w:snapToGrid w:val="0"/>
                <w:color w:val="000000"/>
                <w:sz w:val="20"/>
                <w:lang w:val="pl-PL"/>
              </w:rPr>
              <w:t>Prezes Zarządu</w:t>
            </w:r>
          </w:p>
        </w:tc>
        <w:tc>
          <w:tcPr>
            <w:tcW w:w="1276" w:type="dxa"/>
            <w:vAlign w:val="center"/>
          </w:tcPr>
          <w:p w:rsidR="00DB59B9" w:rsidRPr="00765C97" w:rsidRDefault="00DB59B9" w:rsidP="00496C6C">
            <w:pPr>
              <w:ind w:left="-30"/>
              <w:jc w:val="right"/>
              <w:rPr>
                <w:rFonts w:ascii="Arial" w:hAnsi="Arial"/>
                <w:sz w:val="20"/>
                <w:szCs w:val="20"/>
                <w:lang w:val="pl-PL"/>
              </w:rPr>
            </w:pPr>
            <w:r w:rsidRPr="00765C97">
              <w:rPr>
                <w:rFonts w:ascii="Arial" w:hAnsi="Arial"/>
                <w:sz w:val="20"/>
                <w:szCs w:val="20"/>
                <w:lang w:val="pl-PL"/>
              </w:rPr>
              <w:t>2 620 010</w:t>
            </w:r>
          </w:p>
        </w:tc>
        <w:tc>
          <w:tcPr>
            <w:tcW w:w="1134" w:type="dxa"/>
            <w:tcBorders>
              <w:right w:val="single" w:sz="6" w:space="0" w:color="auto"/>
            </w:tcBorders>
            <w:vAlign w:val="center"/>
          </w:tcPr>
          <w:p w:rsidR="00DB59B9" w:rsidRPr="00765C97" w:rsidRDefault="00DB59B9" w:rsidP="00496C6C">
            <w:pPr>
              <w:ind w:left="-30"/>
              <w:jc w:val="right"/>
              <w:rPr>
                <w:rFonts w:ascii="Arial" w:hAnsi="Arial"/>
                <w:sz w:val="20"/>
                <w:szCs w:val="20"/>
                <w:lang w:val="pl-PL"/>
              </w:rPr>
            </w:pPr>
            <w:r w:rsidRPr="00765C97">
              <w:rPr>
                <w:rFonts w:ascii="Arial" w:hAnsi="Arial"/>
                <w:sz w:val="20"/>
                <w:szCs w:val="20"/>
                <w:lang w:val="pl-PL"/>
              </w:rPr>
              <w:t>41,16</w:t>
            </w:r>
          </w:p>
        </w:tc>
        <w:tc>
          <w:tcPr>
            <w:tcW w:w="1006" w:type="dxa"/>
            <w:vAlign w:val="center"/>
          </w:tcPr>
          <w:p w:rsidR="00DB59B9" w:rsidRPr="00765C97" w:rsidRDefault="00DB59B9" w:rsidP="00DB59B9">
            <w:pPr>
              <w:ind w:left="-30"/>
              <w:jc w:val="right"/>
              <w:rPr>
                <w:rFonts w:ascii="Arial" w:hAnsi="Arial"/>
                <w:sz w:val="20"/>
                <w:szCs w:val="20"/>
                <w:lang w:val="pl-PL"/>
              </w:rPr>
            </w:pPr>
            <w:r w:rsidRPr="00765C97">
              <w:rPr>
                <w:rFonts w:ascii="Arial" w:hAnsi="Arial"/>
                <w:sz w:val="20"/>
                <w:szCs w:val="20"/>
                <w:lang w:val="pl-PL"/>
              </w:rPr>
              <w:t>2 620 010</w:t>
            </w:r>
          </w:p>
        </w:tc>
        <w:tc>
          <w:tcPr>
            <w:tcW w:w="1120" w:type="dxa"/>
            <w:tcBorders>
              <w:right w:val="single" w:sz="4" w:space="0" w:color="auto"/>
            </w:tcBorders>
            <w:vAlign w:val="center"/>
          </w:tcPr>
          <w:p w:rsidR="00DB59B9" w:rsidRPr="00765C97" w:rsidRDefault="00DB59B9" w:rsidP="00DB59B9">
            <w:pPr>
              <w:ind w:left="-30"/>
              <w:jc w:val="right"/>
              <w:rPr>
                <w:rFonts w:ascii="Arial" w:hAnsi="Arial"/>
                <w:sz w:val="20"/>
                <w:szCs w:val="20"/>
                <w:lang w:val="pl-PL"/>
              </w:rPr>
            </w:pPr>
            <w:r w:rsidRPr="00765C97">
              <w:rPr>
                <w:rFonts w:ascii="Arial" w:hAnsi="Arial"/>
                <w:sz w:val="20"/>
                <w:szCs w:val="20"/>
                <w:lang w:val="pl-PL"/>
              </w:rPr>
              <w:t>41,16</w:t>
            </w:r>
          </w:p>
        </w:tc>
      </w:tr>
      <w:tr w:rsidR="00DB59B9" w:rsidRPr="00765C97" w:rsidTr="00666931">
        <w:trPr>
          <w:trHeight w:val="261"/>
        </w:trPr>
        <w:tc>
          <w:tcPr>
            <w:tcW w:w="1843" w:type="dxa"/>
            <w:tcBorders>
              <w:left w:val="single" w:sz="6" w:space="0" w:color="auto"/>
              <w:right w:val="single" w:sz="6" w:space="0" w:color="auto"/>
            </w:tcBorders>
            <w:vAlign w:val="center"/>
          </w:tcPr>
          <w:p w:rsidR="00DB59B9" w:rsidRPr="00765C97" w:rsidRDefault="00DB59B9" w:rsidP="00515B8C">
            <w:pPr>
              <w:rPr>
                <w:rFonts w:ascii="Arial" w:hAnsi="Arial"/>
                <w:snapToGrid w:val="0"/>
                <w:color w:val="000000"/>
                <w:sz w:val="20"/>
                <w:lang w:val="pl-PL"/>
              </w:rPr>
            </w:pPr>
            <w:r w:rsidRPr="00765C97">
              <w:rPr>
                <w:rFonts w:ascii="Arial" w:hAnsi="Arial"/>
                <w:snapToGrid w:val="0"/>
                <w:color w:val="000000"/>
                <w:sz w:val="20"/>
                <w:lang w:val="pl-PL"/>
              </w:rPr>
              <w:t>Elżbieta Filipiak</w:t>
            </w:r>
          </w:p>
        </w:tc>
        <w:tc>
          <w:tcPr>
            <w:tcW w:w="2126" w:type="dxa"/>
            <w:tcBorders>
              <w:left w:val="single" w:sz="6" w:space="0" w:color="auto"/>
              <w:right w:val="single" w:sz="6" w:space="0" w:color="auto"/>
            </w:tcBorders>
            <w:vAlign w:val="center"/>
          </w:tcPr>
          <w:p w:rsidR="00DB59B9" w:rsidRPr="00765C97" w:rsidRDefault="00DB59B9" w:rsidP="00515B8C">
            <w:pPr>
              <w:rPr>
                <w:rFonts w:ascii="Arial" w:hAnsi="Arial"/>
                <w:snapToGrid w:val="0"/>
                <w:color w:val="000000"/>
                <w:sz w:val="20"/>
                <w:lang w:val="pl-PL"/>
              </w:rPr>
            </w:pPr>
            <w:r w:rsidRPr="00765C97">
              <w:rPr>
                <w:rFonts w:ascii="Arial" w:hAnsi="Arial"/>
                <w:snapToGrid w:val="0"/>
                <w:color w:val="000000"/>
                <w:sz w:val="20"/>
                <w:lang w:val="pl-PL"/>
              </w:rPr>
              <w:t>Przewodnicząca Rady Nadzorczej</w:t>
            </w:r>
          </w:p>
        </w:tc>
        <w:tc>
          <w:tcPr>
            <w:tcW w:w="1276" w:type="dxa"/>
            <w:vAlign w:val="center"/>
          </w:tcPr>
          <w:p w:rsidR="00DB59B9" w:rsidRPr="00765C97" w:rsidRDefault="00DB59B9" w:rsidP="00496C6C">
            <w:pPr>
              <w:ind w:left="-30"/>
              <w:jc w:val="right"/>
              <w:rPr>
                <w:rFonts w:ascii="Arial" w:hAnsi="Arial"/>
                <w:sz w:val="20"/>
                <w:szCs w:val="20"/>
                <w:lang w:val="pl-PL"/>
              </w:rPr>
            </w:pPr>
            <w:r w:rsidRPr="00765C97">
              <w:rPr>
                <w:rFonts w:ascii="Arial" w:hAnsi="Arial"/>
                <w:sz w:val="20"/>
                <w:szCs w:val="20"/>
                <w:lang w:val="pl-PL"/>
              </w:rPr>
              <w:t>846 000</w:t>
            </w:r>
          </w:p>
        </w:tc>
        <w:tc>
          <w:tcPr>
            <w:tcW w:w="1134" w:type="dxa"/>
            <w:tcBorders>
              <w:right w:val="single" w:sz="6" w:space="0" w:color="auto"/>
            </w:tcBorders>
            <w:vAlign w:val="center"/>
          </w:tcPr>
          <w:p w:rsidR="00DB59B9" w:rsidRPr="00765C97" w:rsidRDefault="00DB59B9" w:rsidP="00496C6C">
            <w:pPr>
              <w:ind w:left="-30"/>
              <w:jc w:val="right"/>
              <w:rPr>
                <w:rFonts w:ascii="Arial" w:hAnsi="Arial"/>
                <w:sz w:val="20"/>
                <w:szCs w:val="20"/>
                <w:lang w:val="pl-PL"/>
              </w:rPr>
            </w:pPr>
            <w:r w:rsidRPr="00765C97">
              <w:rPr>
                <w:rFonts w:ascii="Arial" w:hAnsi="Arial"/>
                <w:sz w:val="20"/>
                <w:szCs w:val="20"/>
                <w:lang w:val="pl-PL"/>
              </w:rPr>
              <w:t>28,12</w:t>
            </w:r>
          </w:p>
        </w:tc>
        <w:tc>
          <w:tcPr>
            <w:tcW w:w="1006" w:type="dxa"/>
            <w:vAlign w:val="center"/>
          </w:tcPr>
          <w:p w:rsidR="00DB59B9" w:rsidRPr="00765C97" w:rsidRDefault="00DB59B9" w:rsidP="00DB59B9">
            <w:pPr>
              <w:ind w:left="-30"/>
              <w:jc w:val="right"/>
              <w:rPr>
                <w:rFonts w:ascii="Arial" w:hAnsi="Arial"/>
                <w:sz w:val="20"/>
                <w:szCs w:val="20"/>
                <w:lang w:val="pl-PL"/>
              </w:rPr>
            </w:pPr>
            <w:r w:rsidRPr="00765C97">
              <w:rPr>
                <w:rFonts w:ascii="Arial" w:hAnsi="Arial"/>
                <w:sz w:val="20"/>
                <w:szCs w:val="20"/>
                <w:lang w:val="pl-PL"/>
              </w:rPr>
              <w:t>846 000</w:t>
            </w:r>
          </w:p>
        </w:tc>
        <w:tc>
          <w:tcPr>
            <w:tcW w:w="1120" w:type="dxa"/>
            <w:tcBorders>
              <w:right w:val="single" w:sz="4" w:space="0" w:color="auto"/>
            </w:tcBorders>
            <w:vAlign w:val="center"/>
          </w:tcPr>
          <w:p w:rsidR="00DB59B9" w:rsidRPr="00765C97" w:rsidRDefault="00DB59B9" w:rsidP="00DB59B9">
            <w:pPr>
              <w:ind w:left="-30"/>
              <w:jc w:val="right"/>
              <w:rPr>
                <w:rFonts w:ascii="Arial" w:hAnsi="Arial"/>
                <w:sz w:val="20"/>
                <w:szCs w:val="20"/>
                <w:lang w:val="pl-PL"/>
              </w:rPr>
            </w:pPr>
            <w:r w:rsidRPr="00765C97">
              <w:rPr>
                <w:rFonts w:ascii="Arial" w:hAnsi="Arial"/>
                <w:sz w:val="20"/>
                <w:szCs w:val="20"/>
                <w:lang w:val="pl-PL"/>
              </w:rPr>
              <w:t>28,12</w:t>
            </w:r>
          </w:p>
        </w:tc>
      </w:tr>
      <w:tr w:rsidR="00DB59B9" w:rsidRPr="00765C97" w:rsidTr="00666931">
        <w:trPr>
          <w:trHeight w:val="261"/>
        </w:trPr>
        <w:tc>
          <w:tcPr>
            <w:tcW w:w="1843" w:type="dxa"/>
            <w:tcBorders>
              <w:left w:val="single" w:sz="6" w:space="0" w:color="auto"/>
              <w:right w:val="single" w:sz="6" w:space="0" w:color="auto"/>
            </w:tcBorders>
            <w:vAlign w:val="center"/>
          </w:tcPr>
          <w:p w:rsidR="00DB59B9" w:rsidRPr="00765C97" w:rsidRDefault="00DB59B9" w:rsidP="00515B8C">
            <w:pPr>
              <w:rPr>
                <w:rFonts w:ascii="Arial" w:hAnsi="Arial"/>
                <w:snapToGrid w:val="0"/>
                <w:color w:val="000000"/>
                <w:sz w:val="20"/>
                <w:lang w:val="pl-PL"/>
              </w:rPr>
            </w:pPr>
            <w:r w:rsidRPr="00765C97">
              <w:rPr>
                <w:rFonts w:ascii="Arial" w:hAnsi="Arial"/>
                <w:snapToGrid w:val="0"/>
                <w:color w:val="000000"/>
                <w:sz w:val="20"/>
                <w:lang w:val="pl-PL"/>
              </w:rPr>
              <w:t>Piotr Piątosa</w:t>
            </w:r>
          </w:p>
        </w:tc>
        <w:tc>
          <w:tcPr>
            <w:tcW w:w="2126" w:type="dxa"/>
            <w:tcBorders>
              <w:left w:val="single" w:sz="6" w:space="0" w:color="auto"/>
              <w:right w:val="single" w:sz="6" w:space="0" w:color="auto"/>
            </w:tcBorders>
            <w:vAlign w:val="center"/>
          </w:tcPr>
          <w:p w:rsidR="00DB59B9" w:rsidRPr="00765C97" w:rsidRDefault="00DB59B9" w:rsidP="00515B8C">
            <w:pPr>
              <w:rPr>
                <w:rFonts w:ascii="Arial" w:hAnsi="Arial"/>
                <w:snapToGrid w:val="0"/>
                <w:color w:val="000000"/>
                <w:sz w:val="20"/>
                <w:lang w:val="pl-PL"/>
              </w:rPr>
            </w:pPr>
            <w:r w:rsidRPr="00765C97">
              <w:rPr>
                <w:rFonts w:ascii="Arial" w:hAnsi="Arial"/>
                <w:snapToGrid w:val="0"/>
                <w:color w:val="000000"/>
                <w:sz w:val="20"/>
                <w:lang w:val="pl-PL"/>
              </w:rPr>
              <w:t>Wiceprezes Zarządu</w:t>
            </w:r>
          </w:p>
        </w:tc>
        <w:tc>
          <w:tcPr>
            <w:tcW w:w="1276" w:type="dxa"/>
            <w:vAlign w:val="center"/>
          </w:tcPr>
          <w:p w:rsidR="00DB59B9" w:rsidRPr="00765C97" w:rsidRDefault="00DB59B9" w:rsidP="00496C6C">
            <w:pPr>
              <w:ind w:left="-30"/>
              <w:jc w:val="right"/>
              <w:rPr>
                <w:rFonts w:ascii="Arial" w:hAnsi="Arial"/>
                <w:sz w:val="20"/>
                <w:szCs w:val="20"/>
                <w:lang w:val="pl-PL"/>
              </w:rPr>
            </w:pPr>
            <w:r w:rsidRPr="00765C97">
              <w:rPr>
                <w:rFonts w:ascii="Arial" w:hAnsi="Arial"/>
                <w:sz w:val="20"/>
                <w:szCs w:val="20"/>
                <w:lang w:val="pl-PL"/>
              </w:rPr>
              <w:t>16 845</w:t>
            </w:r>
          </w:p>
        </w:tc>
        <w:tc>
          <w:tcPr>
            <w:tcW w:w="1134" w:type="dxa"/>
            <w:tcBorders>
              <w:right w:val="single" w:sz="6" w:space="0" w:color="auto"/>
            </w:tcBorders>
            <w:vAlign w:val="center"/>
          </w:tcPr>
          <w:p w:rsidR="00DB59B9" w:rsidRPr="00765C97" w:rsidRDefault="00DB59B9" w:rsidP="00496C6C">
            <w:pPr>
              <w:ind w:left="-30"/>
              <w:jc w:val="right"/>
              <w:rPr>
                <w:rFonts w:ascii="Arial" w:hAnsi="Arial"/>
                <w:sz w:val="20"/>
                <w:szCs w:val="20"/>
                <w:lang w:val="pl-PL"/>
              </w:rPr>
            </w:pPr>
            <w:r w:rsidRPr="00765C97">
              <w:rPr>
                <w:rFonts w:ascii="Arial" w:hAnsi="Arial"/>
                <w:sz w:val="20"/>
                <w:szCs w:val="20"/>
                <w:lang w:val="pl-PL"/>
              </w:rPr>
              <w:t>0,11</w:t>
            </w:r>
          </w:p>
        </w:tc>
        <w:tc>
          <w:tcPr>
            <w:tcW w:w="1006" w:type="dxa"/>
            <w:vAlign w:val="center"/>
          </w:tcPr>
          <w:p w:rsidR="00DB59B9" w:rsidRPr="00765C97" w:rsidRDefault="00DB59B9" w:rsidP="00DB59B9">
            <w:pPr>
              <w:ind w:left="-30"/>
              <w:jc w:val="right"/>
              <w:rPr>
                <w:rFonts w:ascii="Arial" w:hAnsi="Arial"/>
                <w:sz w:val="20"/>
                <w:szCs w:val="20"/>
                <w:lang w:val="pl-PL"/>
              </w:rPr>
            </w:pPr>
            <w:r w:rsidRPr="00765C97">
              <w:rPr>
                <w:rFonts w:ascii="Arial" w:hAnsi="Arial"/>
                <w:sz w:val="20"/>
                <w:szCs w:val="20"/>
                <w:lang w:val="pl-PL"/>
              </w:rPr>
              <w:t>16 845</w:t>
            </w:r>
          </w:p>
        </w:tc>
        <w:tc>
          <w:tcPr>
            <w:tcW w:w="1120" w:type="dxa"/>
            <w:tcBorders>
              <w:right w:val="single" w:sz="4" w:space="0" w:color="auto"/>
            </w:tcBorders>
            <w:vAlign w:val="center"/>
          </w:tcPr>
          <w:p w:rsidR="00DB59B9" w:rsidRPr="00765C97" w:rsidRDefault="00DB59B9" w:rsidP="00DB59B9">
            <w:pPr>
              <w:ind w:left="-30"/>
              <w:jc w:val="right"/>
              <w:rPr>
                <w:rFonts w:ascii="Arial" w:hAnsi="Arial"/>
                <w:sz w:val="20"/>
                <w:szCs w:val="20"/>
                <w:lang w:val="pl-PL"/>
              </w:rPr>
            </w:pPr>
            <w:r w:rsidRPr="00765C97">
              <w:rPr>
                <w:rFonts w:ascii="Arial" w:hAnsi="Arial"/>
                <w:sz w:val="20"/>
                <w:szCs w:val="20"/>
                <w:lang w:val="pl-PL"/>
              </w:rPr>
              <w:t>0,11</w:t>
            </w:r>
          </w:p>
        </w:tc>
      </w:tr>
      <w:tr w:rsidR="00DB59B9" w:rsidRPr="00765C97" w:rsidTr="00666931">
        <w:trPr>
          <w:trHeight w:val="261"/>
        </w:trPr>
        <w:tc>
          <w:tcPr>
            <w:tcW w:w="1843" w:type="dxa"/>
            <w:tcBorders>
              <w:left w:val="single" w:sz="6" w:space="0" w:color="auto"/>
              <w:right w:val="single" w:sz="6" w:space="0" w:color="auto"/>
            </w:tcBorders>
            <w:vAlign w:val="center"/>
          </w:tcPr>
          <w:p w:rsidR="00DB59B9" w:rsidRPr="00765C97" w:rsidRDefault="00DB59B9" w:rsidP="00515B8C">
            <w:pPr>
              <w:rPr>
                <w:rFonts w:ascii="Arial" w:hAnsi="Arial"/>
                <w:snapToGrid w:val="0"/>
                <w:color w:val="000000"/>
                <w:sz w:val="20"/>
                <w:lang w:val="pl-PL"/>
              </w:rPr>
            </w:pPr>
            <w:r w:rsidRPr="00765C97">
              <w:rPr>
                <w:rFonts w:ascii="Arial" w:hAnsi="Arial"/>
                <w:snapToGrid w:val="0"/>
                <w:color w:val="000000"/>
                <w:sz w:val="20"/>
                <w:lang w:val="pl-PL"/>
              </w:rPr>
              <w:t>Paweł Prokop</w:t>
            </w:r>
          </w:p>
        </w:tc>
        <w:tc>
          <w:tcPr>
            <w:tcW w:w="2126" w:type="dxa"/>
            <w:tcBorders>
              <w:left w:val="single" w:sz="6" w:space="0" w:color="auto"/>
              <w:right w:val="single" w:sz="6" w:space="0" w:color="auto"/>
            </w:tcBorders>
            <w:vAlign w:val="center"/>
          </w:tcPr>
          <w:p w:rsidR="00DB59B9" w:rsidRPr="00765C97" w:rsidRDefault="00DB59B9" w:rsidP="00515B8C">
            <w:pPr>
              <w:rPr>
                <w:rFonts w:ascii="Arial" w:hAnsi="Arial"/>
                <w:snapToGrid w:val="0"/>
                <w:color w:val="000000"/>
                <w:sz w:val="20"/>
                <w:lang w:val="pl-PL"/>
              </w:rPr>
            </w:pPr>
            <w:r w:rsidRPr="00765C97">
              <w:rPr>
                <w:rFonts w:ascii="Arial" w:hAnsi="Arial"/>
                <w:snapToGrid w:val="0"/>
                <w:color w:val="000000"/>
                <w:sz w:val="20"/>
                <w:lang w:val="pl-PL"/>
              </w:rPr>
              <w:t>Wiceprezes Zarządu</w:t>
            </w:r>
          </w:p>
        </w:tc>
        <w:tc>
          <w:tcPr>
            <w:tcW w:w="1276" w:type="dxa"/>
            <w:vAlign w:val="center"/>
          </w:tcPr>
          <w:p w:rsidR="00DB59B9" w:rsidRPr="00765C97" w:rsidRDefault="00DB59B9" w:rsidP="00496C6C">
            <w:pPr>
              <w:ind w:left="-30"/>
              <w:jc w:val="right"/>
              <w:rPr>
                <w:rFonts w:ascii="Arial" w:hAnsi="Arial"/>
                <w:sz w:val="20"/>
                <w:szCs w:val="20"/>
                <w:lang w:val="pl-PL"/>
              </w:rPr>
            </w:pPr>
            <w:r w:rsidRPr="00765C97">
              <w:rPr>
                <w:rFonts w:ascii="Arial" w:hAnsi="Arial"/>
                <w:sz w:val="20"/>
                <w:szCs w:val="20"/>
                <w:lang w:val="pl-PL"/>
              </w:rPr>
              <w:t>39 974</w:t>
            </w:r>
          </w:p>
        </w:tc>
        <w:tc>
          <w:tcPr>
            <w:tcW w:w="1134" w:type="dxa"/>
            <w:tcBorders>
              <w:right w:val="single" w:sz="6" w:space="0" w:color="auto"/>
            </w:tcBorders>
            <w:vAlign w:val="center"/>
          </w:tcPr>
          <w:p w:rsidR="00DB59B9" w:rsidRPr="00765C97" w:rsidRDefault="00DB59B9" w:rsidP="00496C6C">
            <w:pPr>
              <w:ind w:left="-30"/>
              <w:jc w:val="right"/>
              <w:rPr>
                <w:rFonts w:ascii="Arial" w:hAnsi="Arial"/>
                <w:sz w:val="20"/>
                <w:szCs w:val="20"/>
                <w:lang w:val="pl-PL"/>
              </w:rPr>
            </w:pPr>
            <w:r w:rsidRPr="00765C97">
              <w:rPr>
                <w:rFonts w:ascii="Arial" w:hAnsi="Arial"/>
                <w:sz w:val="20"/>
                <w:szCs w:val="20"/>
                <w:lang w:val="pl-PL"/>
              </w:rPr>
              <w:t>0,52</w:t>
            </w:r>
          </w:p>
        </w:tc>
        <w:tc>
          <w:tcPr>
            <w:tcW w:w="1006" w:type="dxa"/>
            <w:vAlign w:val="center"/>
          </w:tcPr>
          <w:p w:rsidR="00DB59B9" w:rsidRPr="00765C97" w:rsidRDefault="00DB59B9" w:rsidP="00DB59B9">
            <w:pPr>
              <w:ind w:left="-30"/>
              <w:jc w:val="right"/>
              <w:rPr>
                <w:rFonts w:ascii="Arial" w:hAnsi="Arial"/>
                <w:sz w:val="20"/>
                <w:szCs w:val="20"/>
                <w:lang w:val="pl-PL"/>
              </w:rPr>
            </w:pPr>
            <w:r w:rsidRPr="00765C97">
              <w:rPr>
                <w:rFonts w:ascii="Arial" w:hAnsi="Arial"/>
                <w:sz w:val="20"/>
                <w:szCs w:val="20"/>
                <w:lang w:val="pl-PL"/>
              </w:rPr>
              <w:t>39 974</w:t>
            </w:r>
          </w:p>
        </w:tc>
        <w:tc>
          <w:tcPr>
            <w:tcW w:w="1120" w:type="dxa"/>
            <w:tcBorders>
              <w:right w:val="single" w:sz="4" w:space="0" w:color="auto"/>
            </w:tcBorders>
            <w:vAlign w:val="center"/>
          </w:tcPr>
          <w:p w:rsidR="00DB59B9" w:rsidRPr="00765C97" w:rsidRDefault="00DB59B9" w:rsidP="00DB59B9">
            <w:pPr>
              <w:ind w:left="-30"/>
              <w:jc w:val="right"/>
              <w:rPr>
                <w:rFonts w:ascii="Arial" w:hAnsi="Arial"/>
                <w:sz w:val="20"/>
                <w:szCs w:val="20"/>
                <w:lang w:val="pl-PL"/>
              </w:rPr>
            </w:pPr>
            <w:r w:rsidRPr="00765C97">
              <w:rPr>
                <w:rFonts w:ascii="Arial" w:hAnsi="Arial"/>
                <w:sz w:val="20"/>
                <w:szCs w:val="20"/>
                <w:lang w:val="pl-PL"/>
              </w:rPr>
              <w:t>0,52</w:t>
            </w:r>
          </w:p>
        </w:tc>
      </w:tr>
      <w:tr w:rsidR="00DB59B9" w:rsidRPr="00765C97" w:rsidTr="00666931">
        <w:trPr>
          <w:trHeight w:val="261"/>
        </w:trPr>
        <w:tc>
          <w:tcPr>
            <w:tcW w:w="1843" w:type="dxa"/>
            <w:tcBorders>
              <w:left w:val="single" w:sz="6" w:space="0" w:color="auto"/>
              <w:right w:val="single" w:sz="6" w:space="0" w:color="auto"/>
            </w:tcBorders>
            <w:vAlign w:val="center"/>
          </w:tcPr>
          <w:p w:rsidR="00DB59B9" w:rsidRPr="00765C97" w:rsidRDefault="00DB59B9" w:rsidP="00515B8C">
            <w:pPr>
              <w:rPr>
                <w:rFonts w:ascii="Arial" w:hAnsi="Arial"/>
                <w:snapToGrid w:val="0"/>
                <w:color w:val="000000"/>
                <w:sz w:val="20"/>
                <w:lang w:val="pl-PL"/>
              </w:rPr>
            </w:pPr>
            <w:r w:rsidRPr="00765C97">
              <w:rPr>
                <w:rFonts w:ascii="Arial" w:hAnsi="Arial"/>
                <w:snapToGrid w:val="0"/>
                <w:color w:val="000000"/>
                <w:sz w:val="20"/>
                <w:lang w:val="pl-PL"/>
              </w:rPr>
              <w:t>Piotr Reichert</w:t>
            </w:r>
          </w:p>
        </w:tc>
        <w:tc>
          <w:tcPr>
            <w:tcW w:w="2126" w:type="dxa"/>
            <w:tcBorders>
              <w:left w:val="single" w:sz="6" w:space="0" w:color="auto"/>
              <w:right w:val="single" w:sz="6" w:space="0" w:color="auto"/>
            </w:tcBorders>
            <w:vAlign w:val="center"/>
          </w:tcPr>
          <w:p w:rsidR="00DB59B9" w:rsidRPr="00765C97" w:rsidRDefault="00DB59B9" w:rsidP="00515B8C">
            <w:pPr>
              <w:rPr>
                <w:rFonts w:ascii="Arial" w:hAnsi="Arial"/>
                <w:snapToGrid w:val="0"/>
                <w:color w:val="000000"/>
                <w:sz w:val="20"/>
                <w:lang w:val="pl-PL"/>
              </w:rPr>
            </w:pPr>
            <w:r w:rsidRPr="00765C97">
              <w:rPr>
                <w:rFonts w:ascii="Arial" w:hAnsi="Arial"/>
                <w:snapToGrid w:val="0"/>
                <w:color w:val="000000"/>
                <w:sz w:val="20"/>
                <w:lang w:val="pl-PL"/>
              </w:rPr>
              <w:t>Wiceprezes Zarządu</w:t>
            </w:r>
          </w:p>
        </w:tc>
        <w:tc>
          <w:tcPr>
            <w:tcW w:w="1276" w:type="dxa"/>
            <w:vAlign w:val="center"/>
          </w:tcPr>
          <w:p w:rsidR="00DB59B9" w:rsidRPr="00765C97" w:rsidRDefault="00DB59B9" w:rsidP="00496C6C">
            <w:pPr>
              <w:ind w:left="-30"/>
              <w:jc w:val="right"/>
              <w:rPr>
                <w:rFonts w:ascii="Arial" w:hAnsi="Arial"/>
                <w:sz w:val="20"/>
                <w:szCs w:val="20"/>
                <w:lang w:val="pl-PL"/>
              </w:rPr>
            </w:pPr>
            <w:r w:rsidRPr="00765C97">
              <w:rPr>
                <w:rFonts w:ascii="Arial" w:hAnsi="Arial"/>
                <w:sz w:val="20"/>
                <w:szCs w:val="20"/>
                <w:lang w:val="pl-PL"/>
              </w:rPr>
              <w:t>6 069</w:t>
            </w:r>
          </w:p>
        </w:tc>
        <w:tc>
          <w:tcPr>
            <w:tcW w:w="1134" w:type="dxa"/>
            <w:tcBorders>
              <w:right w:val="single" w:sz="6" w:space="0" w:color="auto"/>
            </w:tcBorders>
            <w:vAlign w:val="center"/>
          </w:tcPr>
          <w:p w:rsidR="00DB59B9" w:rsidRPr="00765C97" w:rsidRDefault="00DB59B9" w:rsidP="00496C6C">
            <w:pPr>
              <w:ind w:left="-30"/>
              <w:jc w:val="right"/>
              <w:rPr>
                <w:rFonts w:ascii="Arial" w:hAnsi="Arial"/>
                <w:sz w:val="20"/>
                <w:szCs w:val="20"/>
                <w:lang w:val="pl-PL"/>
              </w:rPr>
            </w:pPr>
            <w:r w:rsidRPr="00765C97">
              <w:rPr>
                <w:rFonts w:ascii="Arial" w:hAnsi="Arial"/>
                <w:sz w:val="20"/>
                <w:szCs w:val="20"/>
                <w:lang w:val="pl-PL"/>
              </w:rPr>
              <w:t>0,04</w:t>
            </w:r>
          </w:p>
        </w:tc>
        <w:tc>
          <w:tcPr>
            <w:tcW w:w="1006" w:type="dxa"/>
            <w:vAlign w:val="center"/>
          </w:tcPr>
          <w:p w:rsidR="00DB59B9" w:rsidRPr="00765C97" w:rsidRDefault="00DB59B9" w:rsidP="00DB59B9">
            <w:pPr>
              <w:ind w:left="-30"/>
              <w:jc w:val="right"/>
              <w:rPr>
                <w:rFonts w:ascii="Arial" w:hAnsi="Arial"/>
                <w:sz w:val="20"/>
                <w:szCs w:val="20"/>
                <w:lang w:val="pl-PL"/>
              </w:rPr>
            </w:pPr>
            <w:r w:rsidRPr="00765C97">
              <w:rPr>
                <w:rFonts w:ascii="Arial" w:hAnsi="Arial"/>
                <w:sz w:val="20"/>
                <w:szCs w:val="20"/>
                <w:lang w:val="pl-PL"/>
              </w:rPr>
              <w:t>6 069</w:t>
            </w:r>
          </w:p>
        </w:tc>
        <w:tc>
          <w:tcPr>
            <w:tcW w:w="1120" w:type="dxa"/>
            <w:tcBorders>
              <w:right w:val="single" w:sz="4" w:space="0" w:color="auto"/>
            </w:tcBorders>
            <w:vAlign w:val="center"/>
          </w:tcPr>
          <w:p w:rsidR="00DB59B9" w:rsidRPr="00765C97" w:rsidRDefault="00DB59B9" w:rsidP="00DB59B9">
            <w:pPr>
              <w:ind w:left="-30"/>
              <w:jc w:val="right"/>
              <w:rPr>
                <w:rFonts w:ascii="Arial" w:hAnsi="Arial"/>
                <w:sz w:val="20"/>
                <w:szCs w:val="20"/>
                <w:lang w:val="pl-PL"/>
              </w:rPr>
            </w:pPr>
            <w:r w:rsidRPr="00765C97">
              <w:rPr>
                <w:rFonts w:ascii="Arial" w:hAnsi="Arial"/>
                <w:sz w:val="20"/>
                <w:szCs w:val="20"/>
                <w:lang w:val="pl-PL"/>
              </w:rPr>
              <w:t>0,04</w:t>
            </w:r>
          </w:p>
        </w:tc>
      </w:tr>
      <w:tr w:rsidR="00DB59B9" w:rsidRPr="00765C97" w:rsidTr="00666931">
        <w:trPr>
          <w:trHeight w:val="261"/>
        </w:trPr>
        <w:tc>
          <w:tcPr>
            <w:tcW w:w="1843" w:type="dxa"/>
            <w:tcBorders>
              <w:left w:val="single" w:sz="6" w:space="0" w:color="auto"/>
              <w:right w:val="single" w:sz="6" w:space="0" w:color="auto"/>
            </w:tcBorders>
            <w:vAlign w:val="center"/>
          </w:tcPr>
          <w:p w:rsidR="00DB59B9" w:rsidRPr="00765C97" w:rsidRDefault="00DB59B9" w:rsidP="00515B8C">
            <w:pPr>
              <w:rPr>
                <w:rFonts w:ascii="Arial" w:hAnsi="Arial"/>
                <w:snapToGrid w:val="0"/>
                <w:color w:val="000000"/>
                <w:sz w:val="20"/>
                <w:lang w:val="pl-PL"/>
              </w:rPr>
            </w:pPr>
            <w:r w:rsidRPr="00765C97">
              <w:rPr>
                <w:rFonts w:ascii="Arial" w:hAnsi="Arial"/>
                <w:snapToGrid w:val="0"/>
                <w:color w:val="000000"/>
                <w:sz w:val="20"/>
                <w:lang w:val="pl-PL"/>
              </w:rPr>
              <w:t>Zbigniew Rymarczyk</w:t>
            </w:r>
          </w:p>
        </w:tc>
        <w:tc>
          <w:tcPr>
            <w:tcW w:w="2126" w:type="dxa"/>
            <w:tcBorders>
              <w:left w:val="single" w:sz="6" w:space="0" w:color="auto"/>
              <w:right w:val="single" w:sz="6" w:space="0" w:color="auto"/>
            </w:tcBorders>
            <w:vAlign w:val="center"/>
          </w:tcPr>
          <w:p w:rsidR="00DB59B9" w:rsidRPr="00765C97" w:rsidRDefault="00DB59B9" w:rsidP="00515B8C">
            <w:pPr>
              <w:rPr>
                <w:rFonts w:ascii="Arial" w:hAnsi="Arial"/>
                <w:snapToGrid w:val="0"/>
                <w:color w:val="000000"/>
                <w:sz w:val="20"/>
                <w:lang w:val="pl-PL"/>
              </w:rPr>
            </w:pPr>
            <w:r w:rsidRPr="00765C97">
              <w:rPr>
                <w:rFonts w:ascii="Arial" w:hAnsi="Arial"/>
                <w:snapToGrid w:val="0"/>
                <w:color w:val="000000"/>
                <w:sz w:val="20"/>
                <w:lang w:val="pl-PL"/>
              </w:rPr>
              <w:t>Wiceprezes Zarządu</w:t>
            </w:r>
          </w:p>
        </w:tc>
        <w:tc>
          <w:tcPr>
            <w:tcW w:w="1276" w:type="dxa"/>
            <w:vAlign w:val="center"/>
          </w:tcPr>
          <w:p w:rsidR="00DB59B9" w:rsidRPr="00765C97" w:rsidRDefault="00DB59B9" w:rsidP="00496C6C">
            <w:pPr>
              <w:ind w:left="-30"/>
              <w:jc w:val="right"/>
              <w:rPr>
                <w:rFonts w:ascii="Arial" w:hAnsi="Arial"/>
                <w:sz w:val="20"/>
                <w:szCs w:val="20"/>
                <w:lang w:val="pl-PL"/>
              </w:rPr>
            </w:pPr>
            <w:r w:rsidRPr="00765C97">
              <w:rPr>
                <w:rFonts w:ascii="Arial" w:hAnsi="Arial"/>
                <w:sz w:val="20"/>
                <w:szCs w:val="20"/>
                <w:lang w:val="pl-PL"/>
              </w:rPr>
              <w:t>28 141</w:t>
            </w:r>
          </w:p>
        </w:tc>
        <w:tc>
          <w:tcPr>
            <w:tcW w:w="1134" w:type="dxa"/>
            <w:tcBorders>
              <w:right w:val="single" w:sz="6" w:space="0" w:color="auto"/>
            </w:tcBorders>
            <w:vAlign w:val="center"/>
          </w:tcPr>
          <w:p w:rsidR="00DB59B9" w:rsidRPr="00765C97" w:rsidRDefault="00DB59B9" w:rsidP="00496C6C">
            <w:pPr>
              <w:ind w:left="-30"/>
              <w:jc w:val="right"/>
              <w:rPr>
                <w:rFonts w:ascii="Arial" w:hAnsi="Arial"/>
                <w:sz w:val="20"/>
                <w:szCs w:val="20"/>
                <w:lang w:val="pl-PL"/>
              </w:rPr>
            </w:pPr>
            <w:r w:rsidRPr="00765C97">
              <w:rPr>
                <w:rFonts w:ascii="Arial" w:hAnsi="Arial"/>
                <w:sz w:val="20"/>
                <w:szCs w:val="20"/>
                <w:lang w:val="pl-PL"/>
              </w:rPr>
              <w:t>0,19</w:t>
            </w:r>
          </w:p>
        </w:tc>
        <w:tc>
          <w:tcPr>
            <w:tcW w:w="1006" w:type="dxa"/>
            <w:vAlign w:val="center"/>
          </w:tcPr>
          <w:p w:rsidR="00DB59B9" w:rsidRPr="00765C97" w:rsidRDefault="00DB59B9" w:rsidP="00DB59B9">
            <w:pPr>
              <w:ind w:left="-30"/>
              <w:jc w:val="right"/>
              <w:rPr>
                <w:rFonts w:ascii="Arial" w:hAnsi="Arial"/>
                <w:sz w:val="20"/>
                <w:szCs w:val="20"/>
                <w:lang w:val="pl-PL"/>
              </w:rPr>
            </w:pPr>
            <w:r w:rsidRPr="00765C97">
              <w:rPr>
                <w:rFonts w:ascii="Arial" w:hAnsi="Arial"/>
                <w:sz w:val="20"/>
                <w:szCs w:val="20"/>
                <w:lang w:val="pl-PL"/>
              </w:rPr>
              <w:t>28 141</w:t>
            </w:r>
          </w:p>
        </w:tc>
        <w:tc>
          <w:tcPr>
            <w:tcW w:w="1120" w:type="dxa"/>
            <w:tcBorders>
              <w:right w:val="single" w:sz="4" w:space="0" w:color="auto"/>
            </w:tcBorders>
            <w:vAlign w:val="center"/>
          </w:tcPr>
          <w:p w:rsidR="00DB59B9" w:rsidRPr="00765C97" w:rsidRDefault="00DB59B9" w:rsidP="00DB59B9">
            <w:pPr>
              <w:ind w:left="-30"/>
              <w:jc w:val="right"/>
              <w:rPr>
                <w:rFonts w:ascii="Arial" w:hAnsi="Arial"/>
                <w:sz w:val="20"/>
                <w:szCs w:val="20"/>
                <w:lang w:val="pl-PL"/>
              </w:rPr>
            </w:pPr>
            <w:r w:rsidRPr="00765C97">
              <w:rPr>
                <w:rFonts w:ascii="Arial" w:hAnsi="Arial"/>
                <w:sz w:val="20"/>
                <w:szCs w:val="20"/>
                <w:lang w:val="pl-PL"/>
              </w:rPr>
              <w:t>0,19</w:t>
            </w:r>
          </w:p>
        </w:tc>
      </w:tr>
      <w:tr w:rsidR="00DB59B9" w:rsidRPr="00765C97" w:rsidTr="00666931">
        <w:trPr>
          <w:trHeight w:val="261"/>
        </w:trPr>
        <w:tc>
          <w:tcPr>
            <w:tcW w:w="1843" w:type="dxa"/>
            <w:tcBorders>
              <w:left w:val="single" w:sz="6" w:space="0" w:color="auto"/>
              <w:right w:val="single" w:sz="6" w:space="0" w:color="auto"/>
            </w:tcBorders>
            <w:vAlign w:val="center"/>
          </w:tcPr>
          <w:p w:rsidR="00DB59B9" w:rsidRPr="00765C97" w:rsidRDefault="00DB59B9" w:rsidP="00515B8C">
            <w:pPr>
              <w:rPr>
                <w:rFonts w:ascii="Arial" w:hAnsi="Arial"/>
                <w:snapToGrid w:val="0"/>
                <w:color w:val="000000"/>
                <w:sz w:val="20"/>
                <w:lang w:val="pl-PL"/>
              </w:rPr>
            </w:pPr>
            <w:r w:rsidRPr="00765C97">
              <w:rPr>
                <w:rFonts w:ascii="Arial" w:hAnsi="Arial"/>
                <w:snapToGrid w:val="0"/>
                <w:color w:val="000000"/>
                <w:sz w:val="20"/>
                <w:lang w:val="pl-PL"/>
              </w:rPr>
              <w:t>Konrad Tarański</w:t>
            </w:r>
          </w:p>
        </w:tc>
        <w:tc>
          <w:tcPr>
            <w:tcW w:w="2126" w:type="dxa"/>
            <w:tcBorders>
              <w:left w:val="single" w:sz="6" w:space="0" w:color="auto"/>
              <w:right w:val="single" w:sz="6" w:space="0" w:color="auto"/>
            </w:tcBorders>
            <w:vAlign w:val="center"/>
          </w:tcPr>
          <w:p w:rsidR="00DB59B9" w:rsidRPr="00765C97" w:rsidRDefault="00DB59B9" w:rsidP="00515B8C">
            <w:pPr>
              <w:rPr>
                <w:rFonts w:ascii="Arial" w:hAnsi="Arial"/>
                <w:snapToGrid w:val="0"/>
                <w:color w:val="000000"/>
                <w:sz w:val="20"/>
                <w:lang w:val="pl-PL"/>
              </w:rPr>
            </w:pPr>
            <w:r w:rsidRPr="00765C97">
              <w:rPr>
                <w:rFonts w:ascii="Arial" w:hAnsi="Arial"/>
                <w:snapToGrid w:val="0"/>
                <w:color w:val="000000"/>
                <w:sz w:val="20"/>
                <w:lang w:val="pl-PL"/>
              </w:rPr>
              <w:t>Wiceprezes Zarządu</w:t>
            </w:r>
          </w:p>
        </w:tc>
        <w:tc>
          <w:tcPr>
            <w:tcW w:w="1276" w:type="dxa"/>
            <w:vAlign w:val="center"/>
          </w:tcPr>
          <w:p w:rsidR="00DB59B9" w:rsidRPr="00765C97" w:rsidRDefault="00DB59B9" w:rsidP="00496C6C">
            <w:pPr>
              <w:ind w:left="-30"/>
              <w:jc w:val="right"/>
              <w:rPr>
                <w:rFonts w:ascii="Arial" w:hAnsi="Arial"/>
                <w:sz w:val="20"/>
                <w:szCs w:val="20"/>
                <w:lang w:val="pl-PL"/>
              </w:rPr>
            </w:pPr>
            <w:r w:rsidRPr="00765C97">
              <w:rPr>
                <w:rFonts w:ascii="Arial" w:hAnsi="Arial"/>
                <w:sz w:val="20"/>
                <w:szCs w:val="20"/>
                <w:lang w:val="pl-PL"/>
              </w:rPr>
              <w:t>6 069</w:t>
            </w:r>
          </w:p>
        </w:tc>
        <w:tc>
          <w:tcPr>
            <w:tcW w:w="1134" w:type="dxa"/>
            <w:tcBorders>
              <w:right w:val="single" w:sz="6" w:space="0" w:color="auto"/>
            </w:tcBorders>
            <w:vAlign w:val="center"/>
          </w:tcPr>
          <w:p w:rsidR="00DB59B9" w:rsidRPr="00765C97" w:rsidRDefault="00DB59B9" w:rsidP="00496C6C">
            <w:pPr>
              <w:ind w:left="-30"/>
              <w:jc w:val="right"/>
              <w:rPr>
                <w:rFonts w:ascii="Arial" w:hAnsi="Arial"/>
                <w:sz w:val="20"/>
                <w:szCs w:val="20"/>
                <w:lang w:val="pl-PL"/>
              </w:rPr>
            </w:pPr>
            <w:r w:rsidRPr="00765C97">
              <w:rPr>
                <w:rFonts w:ascii="Arial" w:hAnsi="Arial"/>
                <w:sz w:val="20"/>
                <w:szCs w:val="20"/>
                <w:lang w:val="pl-PL"/>
              </w:rPr>
              <w:t>0,04</w:t>
            </w:r>
          </w:p>
        </w:tc>
        <w:tc>
          <w:tcPr>
            <w:tcW w:w="1006" w:type="dxa"/>
            <w:vAlign w:val="center"/>
          </w:tcPr>
          <w:p w:rsidR="00DB59B9" w:rsidRPr="00765C97" w:rsidRDefault="00DB59B9" w:rsidP="00DB59B9">
            <w:pPr>
              <w:ind w:left="-30"/>
              <w:jc w:val="right"/>
              <w:rPr>
                <w:rFonts w:ascii="Arial" w:hAnsi="Arial"/>
                <w:sz w:val="20"/>
                <w:szCs w:val="20"/>
                <w:lang w:val="pl-PL"/>
              </w:rPr>
            </w:pPr>
            <w:r w:rsidRPr="00765C97">
              <w:rPr>
                <w:rFonts w:ascii="Arial" w:hAnsi="Arial"/>
                <w:sz w:val="20"/>
                <w:szCs w:val="20"/>
                <w:lang w:val="pl-PL"/>
              </w:rPr>
              <w:t>6 069</w:t>
            </w:r>
          </w:p>
        </w:tc>
        <w:tc>
          <w:tcPr>
            <w:tcW w:w="1120" w:type="dxa"/>
            <w:tcBorders>
              <w:right w:val="single" w:sz="4" w:space="0" w:color="auto"/>
            </w:tcBorders>
            <w:vAlign w:val="center"/>
          </w:tcPr>
          <w:p w:rsidR="00DB59B9" w:rsidRPr="00765C97" w:rsidRDefault="00DB59B9" w:rsidP="00DB59B9">
            <w:pPr>
              <w:ind w:left="-30"/>
              <w:jc w:val="right"/>
              <w:rPr>
                <w:rFonts w:ascii="Arial" w:hAnsi="Arial"/>
                <w:sz w:val="20"/>
                <w:szCs w:val="20"/>
                <w:lang w:val="pl-PL"/>
              </w:rPr>
            </w:pPr>
            <w:r w:rsidRPr="00765C97">
              <w:rPr>
                <w:rFonts w:ascii="Arial" w:hAnsi="Arial"/>
                <w:sz w:val="20"/>
                <w:szCs w:val="20"/>
                <w:lang w:val="pl-PL"/>
              </w:rPr>
              <w:t>0,04</w:t>
            </w:r>
          </w:p>
        </w:tc>
      </w:tr>
      <w:tr w:rsidR="00DB59B9" w:rsidRPr="00765C97" w:rsidTr="00666931">
        <w:trPr>
          <w:trHeight w:val="261"/>
        </w:trPr>
        <w:tc>
          <w:tcPr>
            <w:tcW w:w="1843" w:type="dxa"/>
            <w:tcBorders>
              <w:left w:val="single" w:sz="6" w:space="0" w:color="auto"/>
              <w:right w:val="single" w:sz="6" w:space="0" w:color="auto"/>
            </w:tcBorders>
            <w:vAlign w:val="center"/>
          </w:tcPr>
          <w:p w:rsidR="00DB59B9" w:rsidRPr="00765C97" w:rsidRDefault="00DB59B9" w:rsidP="00515B8C">
            <w:pPr>
              <w:rPr>
                <w:rFonts w:ascii="Arial" w:hAnsi="Arial"/>
                <w:snapToGrid w:val="0"/>
                <w:color w:val="000000"/>
                <w:sz w:val="20"/>
                <w:lang w:val="pl-PL"/>
              </w:rPr>
            </w:pPr>
            <w:r w:rsidRPr="00765C97">
              <w:rPr>
                <w:rFonts w:ascii="Arial" w:hAnsi="Arial"/>
                <w:snapToGrid w:val="0"/>
                <w:color w:val="000000"/>
                <w:sz w:val="20"/>
                <w:lang w:val="pl-PL"/>
              </w:rPr>
              <w:t>Marcin Warwas</w:t>
            </w:r>
          </w:p>
        </w:tc>
        <w:tc>
          <w:tcPr>
            <w:tcW w:w="2126" w:type="dxa"/>
            <w:tcBorders>
              <w:left w:val="single" w:sz="6" w:space="0" w:color="auto"/>
              <w:right w:val="single" w:sz="6" w:space="0" w:color="auto"/>
            </w:tcBorders>
            <w:vAlign w:val="center"/>
          </w:tcPr>
          <w:p w:rsidR="00DB59B9" w:rsidRPr="00765C97" w:rsidRDefault="00DB59B9" w:rsidP="00515B8C">
            <w:pPr>
              <w:rPr>
                <w:rFonts w:ascii="Arial" w:hAnsi="Arial"/>
                <w:snapToGrid w:val="0"/>
                <w:color w:val="000000"/>
                <w:sz w:val="20"/>
                <w:lang w:val="pl-PL"/>
              </w:rPr>
            </w:pPr>
            <w:r w:rsidRPr="00765C97">
              <w:rPr>
                <w:rFonts w:ascii="Arial" w:hAnsi="Arial"/>
                <w:snapToGrid w:val="0"/>
                <w:color w:val="000000"/>
                <w:sz w:val="20"/>
                <w:lang w:val="pl-PL"/>
              </w:rPr>
              <w:t>Wiceprezes Zarządu</w:t>
            </w:r>
          </w:p>
        </w:tc>
        <w:tc>
          <w:tcPr>
            <w:tcW w:w="1276" w:type="dxa"/>
            <w:vAlign w:val="center"/>
          </w:tcPr>
          <w:p w:rsidR="00DB59B9" w:rsidRPr="00765C97" w:rsidRDefault="00DB59B9" w:rsidP="00496C6C">
            <w:pPr>
              <w:ind w:left="-30"/>
              <w:jc w:val="right"/>
              <w:rPr>
                <w:rFonts w:ascii="Arial" w:hAnsi="Arial"/>
                <w:sz w:val="20"/>
                <w:szCs w:val="20"/>
                <w:lang w:val="pl-PL"/>
              </w:rPr>
            </w:pPr>
            <w:r w:rsidRPr="00765C97">
              <w:rPr>
                <w:rFonts w:ascii="Arial" w:hAnsi="Arial"/>
                <w:sz w:val="20"/>
                <w:szCs w:val="20"/>
                <w:lang w:val="pl-PL"/>
              </w:rPr>
              <w:t>6 069</w:t>
            </w:r>
          </w:p>
        </w:tc>
        <w:tc>
          <w:tcPr>
            <w:tcW w:w="1134" w:type="dxa"/>
            <w:tcBorders>
              <w:right w:val="single" w:sz="6" w:space="0" w:color="auto"/>
            </w:tcBorders>
            <w:vAlign w:val="center"/>
          </w:tcPr>
          <w:p w:rsidR="00DB59B9" w:rsidRPr="00765C97" w:rsidRDefault="00DB59B9" w:rsidP="00496C6C">
            <w:pPr>
              <w:ind w:left="-30"/>
              <w:jc w:val="right"/>
              <w:rPr>
                <w:rFonts w:ascii="Arial" w:hAnsi="Arial"/>
                <w:sz w:val="20"/>
                <w:szCs w:val="20"/>
                <w:lang w:val="pl-PL"/>
              </w:rPr>
            </w:pPr>
            <w:r w:rsidRPr="00765C97">
              <w:rPr>
                <w:rFonts w:ascii="Arial" w:hAnsi="Arial"/>
                <w:sz w:val="20"/>
                <w:szCs w:val="20"/>
                <w:lang w:val="pl-PL"/>
              </w:rPr>
              <w:t>0,04</w:t>
            </w:r>
          </w:p>
        </w:tc>
        <w:tc>
          <w:tcPr>
            <w:tcW w:w="1006" w:type="dxa"/>
            <w:vAlign w:val="center"/>
          </w:tcPr>
          <w:p w:rsidR="00DB59B9" w:rsidRPr="00765C97" w:rsidRDefault="00DB59B9" w:rsidP="00DB59B9">
            <w:pPr>
              <w:ind w:left="-30"/>
              <w:jc w:val="right"/>
              <w:rPr>
                <w:rFonts w:ascii="Arial" w:hAnsi="Arial"/>
                <w:sz w:val="20"/>
                <w:szCs w:val="20"/>
                <w:lang w:val="pl-PL"/>
              </w:rPr>
            </w:pPr>
            <w:r w:rsidRPr="00765C97">
              <w:rPr>
                <w:rFonts w:ascii="Arial" w:hAnsi="Arial"/>
                <w:sz w:val="20"/>
                <w:szCs w:val="20"/>
                <w:lang w:val="pl-PL"/>
              </w:rPr>
              <w:t>6 069</w:t>
            </w:r>
          </w:p>
        </w:tc>
        <w:tc>
          <w:tcPr>
            <w:tcW w:w="1120" w:type="dxa"/>
            <w:tcBorders>
              <w:right w:val="single" w:sz="4" w:space="0" w:color="auto"/>
            </w:tcBorders>
            <w:vAlign w:val="center"/>
          </w:tcPr>
          <w:p w:rsidR="00DB59B9" w:rsidRPr="00765C97" w:rsidRDefault="00DB59B9" w:rsidP="00DB59B9">
            <w:pPr>
              <w:ind w:left="-30"/>
              <w:jc w:val="right"/>
              <w:rPr>
                <w:rFonts w:ascii="Arial" w:hAnsi="Arial"/>
                <w:sz w:val="20"/>
                <w:szCs w:val="20"/>
                <w:lang w:val="pl-PL"/>
              </w:rPr>
            </w:pPr>
            <w:r w:rsidRPr="00765C97">
              <w:rPr>
                <w:rFonts w:ascii="Arial" w:hAnsi="Arial"/>
                <w:sz w:val="20"/>
                <w:szCs w:val="20"/>
                <w:lang w:val="pl-PL"/>
              </w:rPr>
              <w:t>0,04</w:t>
            </w:r>
          </w:p>
        </w:tc>
      </w:tr>
      <w:tr w:rsidR="00DB59B9" w:rsidRPr="00765C97" w:rsidTr="00666931">
        <w:trPr>
          <w:trHeight w:val="261"/>
        </w:trPr>
        <w:tc>
          <w:tcPr>
            <w:tcW w:w="3969" w:type="dxa"/>
            <w:gridSpan w:val="2"/>
            <w:tcBorders>
              <w:top w:val="single" w:sz="6" w:space="0" w:color="auto"/>
              <w:left w:val="single" w:sz="6" w:space="0" w:color="auto"/>
              <w:bottom w:val="single" w:sz="6" w:space="0" w:color="auto"/>
              <w:right w:val="single" w:sz="6" w:space="0" w:color="auto"/>
            </w:tcBorders>
            <w:vAlign w:val="center"/>
          </w:tcPr>
          <w:p w:rsidR="00DB59B9" w:rsidRPr="00765C97" w:rsidRDefault="00DB59B9" w:rsidP="00515B8C">
            <w:pPr>
              <w:rPr>
                <w:rFonts w:ascii="Arial" w:hAnsi="Arial"/>
                <w:b/>
                <w:sz w:val="20"/>
                <w:lang w:val="pl-PL"/>
              </w:rPr>
            </w:pPr>
            <w:r w:rsidRPr="00765C97">
              <w:rPr>
                <w:rFonts w:ascii="Arial" w:hAnsi="Arial"/>
                <w:b/>
                <w:sz w:val="20"/>
                <w:lang w:val="pl-PL"/>
              </w:rPr>
              <w:t>Ilość wyemitowanych akcji</w:t>
            </w:r>
          </w:p>
        </w:tc>
        <w:tc>
          <w:tcPr>
            <w:tcW w:w="1276" w:type="dxa"/>
            <w:tcBorders>
              <w:top w:val="single" w:sz="6" w:space="0" w:color="auto"/>
              <w:bottom w:val="single" w:sz="6" w:space="0" w:color="auto"/>
            </w:tcBorders>
            <w:vAlign w:val="center"/>
          </w:tcPr>
          <w:p w:rsidR="00DB59B9" w:rsidRPr="00765C97" w:rsidRDefault="00DB59B9" w:rsidP="00890D49">
            <w:pPr>
              <w:jc w:val="right"/>
              <w:rPr>
                <w:rFonts w:ascii="Arial" w:hAnsi="Arial"/>
                <w:sz w:val="20"/>
                <w:lang w:val="pl-PL"/>
              </w:rPr>
            </w:pPr>
            <w:r w:rsidRPr="00765C97">
              <w:rPr>
                <w:rFonts w:ascii="Arial" w:hAnsi="Arial"/>
                <w:b/>
                <w:bCs/>
                <w:sz w:val="20"/>
                <w:szCs w:val="20"/>
              </w:rPr>
              <w:t>8 051</w:t>
            </w:r>
            <w:r w:rsidRPr="00765C97">
              <w:rPr>
                <w:rFonts w:ascii="Arial" w:hAnsi="Arial" w:hint="eastAsia"/>
                <w:b/>
                <w:bCs/>
                <w:sz w:val="20"/>
                <w:szCs w:val="20"/>
              </w:rPr>
              <w:t> </w:t>
            </w:r>
            <w:r w:rsidRPr="00765C97">
              <w:rPr>
                <w:rFonts w:ascii="Arial" w:hAnsi="Arial"/>
                <w:b/>
                <w:bCs/>
                <w:sz w:val="20"/>
                <w:szCs w:val="20"/>
              </w:rPr>
              <w:t>637</w:t>
            </w:r>
          </w:p>
        </w:tc>
        <w:tc>
          <w:tcPr>
            <w:tcW w:w="1134" w:type="dxa"/>
            <w:tcBorders>
              <w:top w:val="single" w:sz="6" w:space="0" w:color="auto"/>
              <w:bottom w:val="single" w:sz="6" w:space="0" w:color="auto"/>
              <w:right w:val="single" w:sz="6" w:space="0" w:color="auto"/>
            </w:tcBorders>
            <w:vAlign w:val="center"/>
          </w:tcPr>
          <w:p w:rsidR="00DB59B9" w:rsidRPr="00765C97" w:rsidRDefault="00AE1135" w:rsidP="00496C6C">
            <w:pPr>
              <w:ind w:left="-30"/>
              <w:jc w:val="right"/>
              <w:rPr>
                <w:rFonts w:ascii="Arial" w:hAnsi="Arial"/>
                <w:b/>
                <w:sz w:val="20"/>
                <w:szCs w:val="20"/>
                <w:lang w:val="pl-PL"/>
              </w:rPr>
            </w:pPr>
            <w:r w:rsidRPr="00765C97">
              <w:rPr>
                <w:rFonts w:ascii="Arial" w:hAnsi="Arial"/>
                <w:b/>
                <w:sz w:val="20"/>
                <w:szCs w:val="20"/>
                <w:lang w:val="pl-PL"/>
              </w:rPr>
              <w:t>100,00</w:t>
            </w:r>
          </w:p>
        </w:tc>
        <w:tc>
          <w:tcPr>
            <w:tcW w:w="1006" w:type="dxa"/>
            <w:tcBorders>
              <w:top w:val="single" w:sz="4" w:space="0" w:color="auto"/>
              <w:bottom w:val="single" w:sz="4" w:space="0" w:color="auto"/>
            </w:tcBorders>
            <w:vAlign w:val="center"/>
          </w:tcPr>
          <w:p w:rsidR="00DB59B9" w:rsidRPr="00765C97" w:rsidRDefault="00DB59B9" w:rsidP="00496C6C">
            <w:pPr>
              <w:ind w:left="-30"/>
              <w:jc w:val="right"/>
              <w:rPr>
                <w:rFonts w:ascii="Arial" w:hAnsi="Arial"/>
                <w:b/>
                <w:sz w:val="20"/>
                <w:szCs w:val="20"/>
                <w:lang w:val="pl-PL"/>
              </w:rPr>
            </w:pPr>
            <w:r w:rsidRPr="00765C97">
              <w:rPr>
                <w:rFonts w:ascii="Arial" w:hAnsi="Arial"/>
                <w:b/>
                <w:sz w:val="20"/>
                <w:szCs w:val="20"/>
                <w:lang w:val="pl-PL"/>
              </w:rPr>
              <w:t>8 051 637</w:t>
            </w:r>
          </w:p>
        </w:tc>
        <w:tc>
          <w:tcPr>
            <w:tcW w:w="1120" w:type="dxa"/>
            <w:tcBorders>
              <w:top w:val="single" w:sz="4" w:space="0" w:color="auto"/>
              <w:bottom w:val="single" w:sz="4" w:space="0" w:color="auto"/>
              <w:right w:val="single" w:sz="4" w:space="0" w:color="auto"/>
            </w:tcBorders>
            <w:vAlign w:val="center"/>
          </w:tcPr>
          <w:p w:rsidR="00DB59B9" w:rsidRPr="00765C97" w:rsidRDefault="00AE1135" w:rsidP="00DB59B9">
            <w:pPr>
              <w:ind w:left="-30"/>
              <w:jc w:val="right"/>
              <w:rPr>
                <w:rFonts w:ascii="Arial" w:hAnsi="Arial"/>
                <w:b/>
                <w:sz w:val="20"/>
                <w:szCs w:val="20"/>
                <w:lang w:val="pl-PL"/>
              </w:rPr>
            </w:pPr>
            <w:r w:rsidRPr="00765C97">
              <w:rPr>
                <w:rFonts w:ascii="Arial" w:hAnsi="Arial"/>
                <w:b/>
                <w:sz w:val="20"/>
                <w:szCs w:val="20"/>
                <w:lang w:val="pl-PL"/>
              </w:rPr>
              <w:t>100,00</w:t>
            </w:r>
          </w:p>
        </w:tc>
      </w:tr>
    </w:tbl>
    <w:p w:rsidR="00B24DA9" w:rsidRPr="00765C97" w:rsidRDefault="00B24DA9" w:rsidP="00135A9A">
      <w:pPr>
        <w:pStyle w:val="Nagwek3"/>
        <w:numPr>
          <w:ilvl w:val="1"/>
          <w:numId w:val="22"/>
        </w:numPr>
        <w:spacing w:after="240"/>
        <w:ind w:left="709" w:hanging="567"/>
        <w:rPr>
          <w:sz w:val="20"/>
          <w:szCs w:val="20"/>
          <w:lang w:val="pl-PL"/>
        </w:rPr>
      </w:pPr>
      <w:bookmarkStart w:id="96" w:name="_Toc353973244"/>
      <w:r w:rsidRPr="00765C97">
        <w:rPr>
          <w:sz w:val="20"/>
          <w:szCs w:val="20"/>
          <w:lang w:val="pl-PL"/>
        </w:rPr>
        <w:t>Czynniki i zdarzenia o nietypowym charakterze, mające znaczący wpływ na osiągnięte wyniki finansowe</w:t>
      </w:r>
      <w:bookmarkEnd w:id="96"/>
    </w:p>
    <w:p w:rsidR="00B24DA9" w:rsidRPr="00765C97" w:rsidRDefault="00B24DA9" w:rsidP="00135A9A">
      <w:pPr>
        <w:pStyle w:val="Nagwek4"/>
        <w:numPr>
          <w:ilvl w:val="2"/>
          <w:numId w:val="19"/>
        </w:numPr>
        <w:spacing w:before="240" w:after="120" w:line="240" w:lineRule="auto"/>
        <w:ind w:left="1276" w:hanging="851"/>
        <w:rPr>
          <w:rFonts w:ascii="Arial" w:hAnsi="Arial"/>
          <w:sz w:val="20"/>
          <w:lang w:val="pl-PL"/>
        </w:rPr>
      </w:pPr>
      <w:r w:rsidRPr="00765C97">
        <w:rPr>
          <w:rFonts w:ascii="Arial" w:hAnsi="Arial"/>
          <w:sz w:val="20"/>
          <w:lang w:val="pl-PL"/>
        </w:rPr>
        <w:t xml:space="preserve">Aktywo z tytułu odroczonego podatku dochodowego  </w:t>
      </w:r>
    </w:p>
    <w:p w:rsidR="009E717D" w:rsidRPr="00765C97" w:rsidRDefault="004B1467" w:rsidP="009E717D">
      <w:pPr>
        <w:pStyle w:val="Style1"/>
        <w:jc w:val="both"/>
        <w:rPr>
          <w:rFonts w:ascii="Arial" w:hAnsi="Arial"/>
          <w:lang w:val="pl-PL"/>
        </w:rPr>
      </w:pPr>
      <w:r w:rsidRPr="00765C97">
        <w:rPr>
          <w:rFonts w:ascii="Arial" w:hAnsi="Arial"/>
          <w:lang w:val="pl-PL"/>
        </w:rPr>
        <w:t xml:space="preserve">W </w:t>
      </w:r>
      <w:r w:rsidR="00A30544" w:rsidRPr="00765C97">
        <w:rPr>
          <w:rFonts w:ascii="Arial" w:hAnsi="Arial"/>
          <w:lang w:val="pl-PL"/>
        </w:rPr>
        <w:t xml:space="preserve">okresie 2012 roku dokonano częściowego rozwiązania utworzonego na dzień 31 grudnia 2011 r. aktywa z tytułu działalności strefowej w kwocie 9 </w:t>
      </w:r>
      <w:r w:rsidR="009E717D" w:rsidRPr="00765C97">
        <w:rPr>
          <w:rFonts w:ascii="Arial" w:hAnsi="Arial"/>
          <w:lang w:val="pl-PL"/>
        </w:rPr>
        <w:t>904</w:t>
      </w:r>
      <w:r w:rsidR="00A30544" w:rsidRPr="00765C97">
        <w:rPr>
          <w:rFonts w:ascii="Arial" w:hAnsi="Arial"/>
          <w:lang w:val="pl-PL"/>
        </w:rPr>
        <w:t xml:space="preserve"> tys. zł oraz utworzenia na 31 grudnia 2012 r. aktywa z powyższego tytułu w kwocie 10 055 tys. zł (wpływ na wynik </w:t>
      </w:r>
      <w:r w:rsidR="00A30544" w:rsidRPr="00765C97">
        <w:rPr>
          <w:rFonts w:ascii="Arial" w:hAnsi="Arial"/>
          <w:lang w:val="pl-PL"/>
        </w:rPr>
        <w:br/>
        <w:t>+</w:t>
      </w:r>
      <w:r w:rsidR="009E717D" w:rsidRPr="00765C97">
        <w:rPr>
          <w:rFonts w:ascii="Arial" w:hAnsi="Arial"/>
          <w:lang w:val="pl-PL"/>
        </w:rPr>
        <w:t>151</w:t>
      </w:r>
      <w:r w:rsidR="00A30544" w:rsidRPr="00765C97">
        <w:rPr>
          <w:rFonts w:ascii="Arial" w:hAnsi="Arial"/>
          <w:lang w:val="pl-PL"/>
        </w:rPr>
        <w:t xml:space="preserve"> tys. zł).</w:t>
      </w:r>
      <w:r w:rsidR="009E717D" w:rsidRPr="00765C97">
        <w:rPr>
          <w:rFonts w:ascii="Arial" w:hAnsi="Arial"/>
          <w:lang w:val="pl-PL"/>
        </w:rPr>
        <w:t xml:space="preserve"> W roku 2012 Grupa dokonała częściowego rozliczenia aktywa utworzonego na 31 grudnia 2011 roku z tytułu podatku odroczonego dotyczącego różnic przejściowych w kwocie </w:t>
      </w:r>
      <w:r w:rsidR="009E717D" w:rsidRPr="00765C97">
        <w:rPr>
          <w:rFonts w:ascii="Arial" w:hAnsi="Arial"/>
          <w:lang w:val="pl-PL"/>
        </w:rPr>
        <w:br/>
        <w:t>5 97</w:t>
      </w:r>
      <w:r w:rsidR="00280311" w:rsidRPr="00765C97">
        <w:rPr>
          <w:rFonts w:ascii="Arial" w:hAnsi="Arial"/>
          <w:lang w:val="pl-PL"/>
        </w:rPr>
        <w:t>1</w:t>
      </w:r>
      <w:r w:rsidR="009E717D" w:rsidRPr="00765C97">
        <w:rPr>
          <w:rFonts w:ascii="Arial" w:hAnsi="Arial"/>
          <w:lang w:val="pl-PL"/>
        </w:rPr>
        <w:t xml:space="preserve"> tys. zł oraz dokonano utworzenia aktywa z tytułu różnic przejściowych w kwocie </w:t>
      </w:r>
      <w:r w:rsidR="009E717D" w:rsidRPr="00765C97">
        <w:rPr>
          <w:rFonts w:ascii="Arial" w:hAnsi="Arial"/>
          <w:lang w:val="pl-PL"/>
        </w:rPr>
        <w:br/>
        <w:t>3 10</w:t>
      </w:r>
      <w:r w:rsidR="00280311" w:rsidRPr="00765C97">
        <w:rPr>
          <w:rFonts w:ascii="Arial" w:hAnsi="Arial"/>
          <w:lang w:val="pl-PL"/>
        </w:rPr>
        <w:t>4</w:t>
      </w:r>
      <w:r w:rsidR="009E717D" w:rsidRPr="00765C97">
        <w:rPr>
          <w:rFonts w:ascii="Arial" w:hAnsi="Arial"/>
          <w:lang w:val="pl-PL"/>
        </w:rPr>
        <w:t xml:space="preserve"> tys. zł a także rozwiązania aktywa z tytułu straty podatkowej w kwocie 6 194 tys. zł oraz utworzenia w kwocie 3 192 tys. zł. Łączny wpływ wszystkich powyżej opisanych operacji na wynik netto roku 2012 wyniósł + 16 tys. zł.</w:t>
      </w:r>
    </w:p>
    <w:p w:rsidR="00890D49" w:rsidRPr="00765C97" w:rsidRDefault="00890D49" w:rsidP="00135A9A">
      <w:pPr>
        <w:pStyle w:val="Nagwek4"/>
        <w:numPr>
          <w:ilvl w:val="2"/>
          <w:numId w:val="19"/>
        </w:numPr>
        <w:spacing w:before="240" w:after="120" w:line="240" w:lineRule="auto"/>
        <w:ind w:left="1276" w:hanging="851"/>
        <w:rPr>
          <w:rFonts w:ascii="Arial" w:hAnsi="Arial"/>
          <w:sz w:val="20"/>
          <w:szCs w:val="20"/>
          <w:lang w:val="pl-PL"/>
        </w:rPr>
      </w:pPr>
      <w:r w:rsidRPr="00765C97">
        <w:rPr>
          <w:rFonts w:ascii="Arial" w:hAnsi="Arial"/>
          <w:sz w:val="20"/>
          <w:szCs w:val="20"/>
          <w:lang w:val="pl-PL"/>
        </w:rPr>
        <w:t>Wycena różnic kursowych</w:t>
      </w:r>
    </w:p>
    <w:p w:rsidR="00890D49" w:rsidRPr="00765C97" w:rsidRDefault="000665EB" w:rsidP="000665EB">
      <w:pPr>
        <w:pStyle w:val="Zwykytekst"/>
        <w:jc w:val="both"/>
        <w:rPr>
          <w:rFonts w:ascii="Arial" w:hAnsi="Arial" w:cs="Arial"/>
        </w:rPr>
      </w:pPr>
      <w:r w:rsidRPr="00765C97">
        <w:rPr>
          <w:rFonts w:ascii="Arial" w:hAnsi="Arial" w:cs="Arial"/>
        </w:rPr>
        <w:t xml:space="preserve">Istotny wpływ na przychody i wyniki Grupy Comarch w okresie  2012 roku miały zmiany kursu PLN wobec walut EUR i USD odnotowane w tym okresie. Różnice kursowe zrealizowane oraz wycena bilansowa różnic kursowych od należności i zobowiązań na dzień 31 grudnia 2012 r. zmniejszyły przychody i wynik operacyjny Grupy Comarch o 11 </w:t>
      </w:r>
      <w:r w:rsidR="009E717D" w:rsidRPr="00765C97">
        <w:rPr>
          <w:rFonts w:ascii="Arial" w:hAnsi="Arial" w:cs="Arial"/>
        </w:rPr>
        <w:t>180</w:t>
      </w:r>
      <w:r w:rsidRPr="00765C97">
        <w:rPr>
          <w:rFonts w:ascii="Arial" w:hAnsi="Arial" w:cs="Arial"/>
        </w:rPr>
        <w:t xml:space="preserve"> tys. zł, natomiast różnice kursowe z pozostałych tytułów (głównie od spłaconych pożyczek długoterminowych) zwiększyły wynik Grupy Comarch o 7 0</w:t>
      </w:r>
      <w:r w:rsidR="009E717D" w:rsidRPr="00765C97">
        <w:rPr>
          <w:rFonts w:ascii="Arial" w:hAnsi="Arial" w:cs="Arial"/>
        </w:rPr>
        <w:t>71</w:t>
      </w:r>
      <w:r w:rsidRPr="00765C97">
        <w:rPr>
          <w:rFonts w:ascii="Arial" w:hAnsi="Arial" w:cs="Arial"/>
        </w:rPr>
        <w:t xml:space="preserve"> tys. zł. Łączny wpływ różnic kursowych na wynik netto Grupy Comarch wyniósł -4 10</w:t>
      </w:r>
      <w:r w:rsidR="009E717D" w:rsidRPr="00765C97">
        <w:rPr>
          <w:rFonts w:ascii="Arial" w:hAnsi="Arial" w:cs="Arial"/>
        </w:rPr>
        <w:t>9</w:t>
      </w:r>
      <w:r w:rsidRPr="00765C97">
        <w:rPr>
          <w:rFonts w:ascii="Arial" w:hAnsi="Arial" w:cs="Arial"/>
        </w:rPr>
        <w:t xml:space="preserve"> tys. zł.</w:t>
      </w:r>
    </w:p>
    <w:p w:rsidR="00B24DA9" w:rsidRPr="00765C97" w:rsidRDefault="00B24DA9" w:rsidP="00135A9A">
      <w:pPr>
        <w:pStyle w:val="Nagwek3"/>
        <w:numPr>
          <w:ilvl w:val="1"/>
          <w:numId w:val="22"/>
        </w:numPr>
        <w:spacing w:after="240"/>
        <w:ind w:left="709" w:hanging="567"/>
        <w:rPr>
          <w:sz w:val="20"/>
          <w:lang w:val="pl-PL"/>
        </w:rPr>
      </w:pPr>
      <w:bookmarkStart w:id="97" w:name="_Toc353973245"/>
      <w:r w:rsidRPr="00765C97">
        <w:rPr>
          <w:sz w:val="20"/>
          <w:lang w:val="pl-PL"/>
        </w:rPr>
        <w:t>Zdarzenia po dacie bilansu</w:t>
      </w:r>
      <w:bookmarkEnd w:id="97"/>
      <w:r w:rsidRPr="00765C97">
        <w:rPr>
          <w:sz w:val="20"/>
          <w:lang w:val="pl-PL"/>
        </w:rPr>
        <w:t xml:space="preserve"> </w:t>
      </w:r>
    </w:p>
    <w:p w:rsidR="00B24DA9" w:rsidRPr="00765C97" w:rsidRDefault="00DB59B9" w:rsidP="00135A9A">
      <w:pPr>
        <w:pStyle w:val="Nagwek4"/>
        <w:numPr>
          <w:ilvl w:val="2"/>
          <w:numId w:val="20"/>
        </w:numPr>
        <w:spacing w:before="240" w:after="120" w:line="240" w:lineRule="auto"/>
        <w:ind w:left="1276" w:hanging="851"/>
        <w:rPr>
          <w:rFonts w:ascii="Arial" w:hAnsi="Arial"/>
          <w:sz w:val="20"/>
          <w:lang w:val="pl-PL"/>
        </w:rPr>
      </w:pPr>
      <w:r w:rsidRPr="00765C97">
        <w:rPr>
          <w:rFonts w:ascii="Arial" w:hAnsi="Arial" w:cs="Arial"/>
          <w:sz w:val="20"/>
          <w:szCs w:val="20"/>
          <w:lang w:val="pl-PL"/>
        </w:rPr>
        <w:t>Daty przekazywania raportów okresowych w 2013 roku</w:t>
      </w:r>
    </w:p>
    <w:p w:rsidR="00DB59B9" w:rsidRPr="00765C97" w:rsidRDefault="00DB59B9" w:rsidP="00DB59B9">
      <w:pPr>
        <w:pStyle w:val="Zwykytekst"/>
        <w:jc w:val="both"/>
        <w:rPr>
          <w:rFonts w:ascii="Arial" w:hAnsi="Arial" w:cs="Arial"/>
        </w:rPr>
      </w:pPr>
      <w:r w:rsidRPr="00765C97">
        <w:rPr>
          <w:rFonts w:ascii="Arial" w:hAnsi="Arial" w:cs="Arial"/>
        </w:rPr>
        <w:t>W dniu 8 stycznia 2013 r. raportem bieżącym nr 1/2013 Zarząd Comarch S.A. określił następujące stałe daty przekazywania raportów okresowych w 2013 roku:</w:t>
      </w:r>
    </w:p>
    <w:p w:rsidR="00DB59B9" w:rsidRPr="00765C97" w:rsidRDefault="00DB59B9" w:rsidP="00DB59B9">
      <w:pPr>
        <w:pStyle w:val="Zwykytekst"/>
        <w:jc w:val="both"/>
        <w:rPr>
          <w:rFonts w:ascii="Arial" w:hAnsi="Arial" w:cs="Arial"/>
        </w:rPr>
      </w:pPr>
      <w:r w:rsidRPr="00765C97">
        <w:rPr>
          <w:rFonts w:ascii="Arial" w:hAnsi="Arial" w:cs="Arial"/>
        </w:rPr>
        <w:t xml:space="preserve">Skonsolidowane raporty kwartalne zawierające skrócone skonsolidowane sprawozdania finansowe i skrócone jednostkowe sprawozdania finansowe:  </w:t>
      </w:r>
    </w:p>
    <w:p w:rsidR="00DB59B9" w:rsidRPr="00765C97" w:rsidRDefault="00DB59B9" w:rsidP="00DB59B9">
      <w:pPr>
        <w:pStyle w:val="Zwykytekst"/>
        <w:jc w:val="both"/>
        <w:rPr>
          <w:rFonts w:ascii="Arial" w:hAnsi="Arial" w:cs="Arial"/>
        </w:rPr>
      </w:pPr>
      <w:r w:rsidRPr="00765C97">
        <w:rPr>
          <w:rFonts w:ascii="Arial" w:hAnsi="Arial" w:cs="Arial"/>
        </w:rPr>
        <w:t xml:space="preserve">1) IV kwartał 2012 w dniu 01.03.2013   </w:t>
      </w:r>
    </w:p>
    <w:p w:rsidR="00DB59B9" w:rsidRPr="00765C97" w:rsidRDefault="00DB59B9" w:rsidP="00DB59B9">
      <w:pPr>
        <w:pStyle w:val="Zwykytekst"/>
        <w:jc w:val="both"/>
        <w:rPr>
          <w:rFonts w:ascii="Arial" w:hAnsi="Arial" w:cs="Arial"/>
        </w:rPr>
      </w:pPr>
      <w:r w:rsidRPr="00765C97">
        <w:rPr>
          <w:rFonts w:ascii="Arial" w:hAnsi="Arial" w:cs="Arial"/>
        </w:rPr>
        <w:t xml:space="preserve">2) I kwartał 2013 w dniu 15.05.2013 </w:t>
      </w:r>
    </w:p>
    <w:p w:rsidR="00DB59B9" w:rsidRPr="00765C97" w:rsidRDefault="00DB59B9" w:rsidP="00DB59B9">
      <w:pPr>
        <w:pStyle w:val="Zwykytekst"/>
        <w:jc w:val="both"/>
        <w:rPr>
          <w:rFonts w:ascii="Arial" w:hAnsi="Arial" w:cs="Arial"/>
        </w:rPr>
      </w:pPr>
      <w:r w:rsidRPr="00765C97">
        <w:rPr>
          <w:rFonts w:ascii="Arial" w:hAnsi="Arial" w:cs="Arial"/>
        </w:rPr>
        <w:t xml:space="preserve">3) II kwartał 2013 - Zgodnie z zasadami § 101 ust. 2 Rozporządzenia Ministra Finansów w sprawie informacji bieżących i okresowych przekazywanych przez emitentów papierów wartościowych oraz warunków uznawania za równoważne informacji wymaganych przepisami prawa państwa niebędącego państwem członkowskim, Comarch S.A. nie będzie publikować raportu kwartalnego i skonsolidowanego raportu kwartalnego za II kwartał 2013 r.   </w:t>
      </w:r>
    </w:p>
    <w:p w:rsidR="00DB59B9" w:rsidRPr="00765C97" w:rsidRDefault="00DB59B9" w:rsidP="00DB59B9">
      <w:pPr>
        <w:pStyle w:val="Zwykytekst"/>
        <w:jc w:val="both"/>
        <w:rPr>
          <w:rFonts w:ascii="Arial" w:hAnsi="Arial" w:cs="Arial"/>
        </w:rPr>
      </w:pPr>
      <w:r w:rsidRPr="00765C97">
        <w:rPr>
          <w:rFonts w:ascii="Arial" w:hAnsi="Arial" w:cs="Arial"/>
        </w:rPr>
        <w:t xml:space="preserve">4) III kwartał 2013 w dniu 14.11.2013     </w:t>
      </w:r>
    </w:p>
    <w:p w:rsidR="00DB59B9" w:rsidRPr="00765C97" w:rsidRDefault="00DB59B9" w:rsidP="00DB59B9">
      <w:pPr>
        <w:pStyle w:val="Zwykytekst"/>
        <w:jc w:val="both"/>
        <w:rPr>
          <w:rFonts w:ascii="Arial" w:hAnsi="Arial" w:cs="Arial"/>
        </w:rPr>
      </w:pPr>
      <w:r w:rsidRPr="00765C97">
        <w:rPr>
          <w:rFonts w:ascii="Arial" w:hAnsi="Arial" w:cs="Arial"/>
        </w:rPr>
        <w:t xml:space="preserve">RAPORTY ROCZNE I PÓŁROCZNE:   </w:t>
      </w:r>
    </w:p>
    <w:p w:rsidR="00DB59B9" w:rsidRPr="00765C97" w:rsidRDefault="00DB59B9" w:rsidP="00DB59B9">
      <w:pPr>
        <w:pStyle w:val="Zwykytekst"/>
        <w:jc w:val="both"/>
        <w:rPr>
          <w:rFonts w:ascii="Arial" w:hAnsi="Arial" w:cs="Arial"/>
        </w:rPr>
      </w:pPr>
      <w:r w:rsidRPr="00765C97">
        <w:rPr>
          <w:rFonts w:ascii="Arial" w:hAnsi="Arial" w:cs="Arial"/>
        </w:rPr>
        <w:t xml:space="preserve">1) Skonsolidowany raport półroczny zawierający skrócone skonsolidowane sprawozdanie finansowe oraz skrócone jednostkowe sprawozdanie finansowe za I półrocze 2013 roku w dniu 30.08.2013   </w:t>
      </w:r>
    </w:p>
    <w:p w:rsidR="00DB59B9" w:rsidRPr="00765C97" w:rsidRDefault="00DB59B9" w:rsidP="00DB59B9">
      <w:pPr>
        <w:pStyle w:val="Zwykytekst"/>
        <w:jc w:val="both"/>
        <w:rPr>
          <w:rFonts w:ascii="Arial" w:hAnsi="Arial" w:cs="Arial"/>
        </w:rPr>
      </w:pPr>
      <w:r w:rsidRPr="00765C97">
        <w:rPr>
          <w:rFonts w:ascii="Arial" w:hAnsi="Arial" w:cs="Arial"/>
        </w:rPr>
        <w:t xml:space="preserve">2) Raport roczny za 2012 rok w dniu 30.04.2013   </w:t>
      </w:r>
    </w:p>
    <w:p w:rsidR="00890D49" w:rsidRPr="00765C97" w:rsidRDefault="00DB59B9" w:rsidP="00DB59B9">
      <w:pPr>
        <w:jc w:val="both"/>
        <w:rPr>
          <w:rFonts w:ascii="Arial" w:hAnsi="Arial" w:cs="Arial"/>
          <w:sz w:val="20"/>
          <w:szCs w:val="20"/>
          <w:lang w:val="pl-PL" w:eastAsia="pl-PL"/>
        </w:rPr>
      </w:pPr>
      <w:r w:rsidRPr="00765C97">
        <w:rPr>
          <w:rFonts w:ascii="Arial" w:hAnsi="Arial" w:cs="Arial"/>
          <w:sz w:val="20"/>
          <w:szCs w:val="20"/>
          <w:lang w:val="pl-PL"/>
        </w:rPr>
        <w:t>3) Skonsolidowany raport roczny za 2012 rok w dniu 30.04.2013</w:t>
      </w:r>
    </w:p>
    <w:p w:rsidR="00890D49" w:rsidRPr="00765C97" w:rsidRDefault="00E05872" w:rsidP="00135A9A">
      <w:pPr>
        <w:pStyle w:val="Nagwek4"/>
        <w:numPr>
          <w:ilvl w:val="2"/>
          <w:numId w:val="20"/>
        </w:numPr>
        <w:spacing w:before="240" w:after="120" w:line="240" w:lineRule="auto"/>
        <w:ind w:left="1276" w:hanging="851"/>
        <w:rPr>
          <w:rFonts w:ascii="Arial" w:hAnsi="Arial" w:cs="Arial"/>
          <w:sz w:val="20"/>
          <w:szCs w:val="20"/>
          <w:lang w:val="pl-PL" w:eastAsia="pl-PL"/>
        </w:rPr>
      </w:pPr>
      <w:r w:rsidRPr="00765C97">
        <w:rPr>
          <w:rFonts w:ascii="Arial" w:hAnsi="Arial" w:cs="Arial"/>
          <w:sz w:val="20"/>
          <w:szCs w:val="20"/>
          <w:lang w:val="pl-PL" w:eastAsia="pl-PL"/>
        </w:rPr>
        <w:t>Spłata kredytu inwestycyjnego w BZ WBK Bank S.A. (dawniej Kredyt Bank S.A.)</w:t>
      </w:r>
    </w:p>
    <w:p w:rsidR="00890D49" w:rsidRPr="00765C97" w:rsidRDefault="00E05872" w:rsidP="00666931">
      <w:pPr>
        <w:autoSpaceDE/>
        <w:jc w:val="both"/>
        <w:rPr>
          <w:rFonts w:ascii="Arial" w:hAnsi="Arial" w:cs="Arial"/>
          <w:sz w:val="20"/>
          <w:szCs w:val="20"/>
          <w:lang w:val="pl-PL"/>
        </w:rPr>
      </w:pPr>
      <w:r w:rsidRPr="00765C97">
        <w:rPr>
          <w:rFonts w:ascii="Arial" w:hAnsi="Arial" w:cs="Arial"/>
          <w:sz w:val="20"/>
          <w:szCs w:val="20"/>
          <w:lang w:val="pl-PL"/>
        </w:rPr>
        <w:t xml:space="preserve">W dniu 31 stycznia 2013 r. </w:t>
      </w:r>
      <w:r w:rsidR="006724E3" w:rsidRPr="00765C97">
        <w:rPr>
          <w:rFonts w:ascii="Arial" w:hAnsi="Arial" w:cs="Arial"/>
          <w:sz w:val="20"/>
          <w:szCs w:val="20"/>
          <w:lang w:val="pl-PL"/>
        </w:rPr>
        <w:t>S</w:t>
      </w:r>
      <w:r w:rsidRPr="00765C97">
        <w:rPr>
          <w:rFonts w:ascii="Arial" w:hAnsi="Arial" w:cs="Arial"/>
          <w:sz w:val="20"/>
          <w:szCs w:val="20"/>
          <w:lang w:val="pl-PL"/>
        </w:rPr>
        <w:t xml:space="preserve">półka dokonała spłaty całości pozostałego zadłużenia wynikającego z kredytu </w:t>
      </w:r>
      <w:r w:rsidRPr="00765C97">
        <w:rPr>
          <w:rFonts w:ascii="Arial" w:hAnsi="Arial"/>
          <w:sz w:val="20"/>
          <w:lang w:val="pl-PL"/>
        </w:rPr>
        <w:t>na finansowanie II etapu budowy nowych budynków produkcyjno- biurowych w Specjalnej Strefie Ekonomicznej w Krakowie</w:t>
      </w:r>
      <w:r w:rsidRPr="00765C97">
        <w:rPr>
          <w:rFonts w:ascii="Arial" w:hAnsi="Arial" w:cs="Arial"/>
          <w:sz w:val="20"/>
          <w:szCs w:val="20"/>
          <w:lang w:val="pl-PL"/>
        </w:rPr>
        <w:t>. Informacja została przekazana raportem bieżącym RB-2-2013 z dnia 31 stycznia 2013 r. Więcej szczegółów w punkcie 3.1</w:t>
      </w:r>
      <w:r w:rsidR="006724E3" w:rsidRPr="00765C97">
        <w:rPr>
          <w:rFonts w:ascii="Arial" w:hAnsi="Arial" w:cs="Arial"/>
          <w:sz w:val="20"/>
          <w:szCs w:val="20"/>
          <w:lang w:val="pl-PL"/>
        </w:rPr>
        <w:t xml:space="preserve">8 </w:t>
      </w:r>
      <w:r w:rsidRPr="00765C97">
        <w:rPr>
          <w:rFonts w:ascii="Arial" w:hAnsi="Arial" w:cs="Arial"/>
          <w:sz w:val="20"/>
          <w:szCs w:val="20"/>
          <w:lang w:val="pl-PL"/>
        </w:rPr>
        <w:t>b</w:t>
      </w:r>
      <w:r w:rsidR="006724E3" w:rsidRPr="00765C97">
        <w:rPr>
          <w:rFonts w:ascii="Arial" w:hAnsi="Arial" w:cs="Arial"/>
          <w:sz w:val="20"/>
          <w:szCs w:val="20"/>
          <w:lang w:val="pl-PL"/>
        </w:rPr>
        <w:t>)</w:t>
      </w:r>
      <w:r w:rsidRPr="00765C97">
        <w:rPr>
          <w:rFonts w:ascii="Arial" w:hAnsi="Arial" w:cs="Arial"/>
          <w:sz w:val="20"/>
          <w:szCs w:val="20"/>
          <w:lang w:val="pl-PL"/>
        </w:rPr>
        <w:t xml:space="preserve"> niniejszego sprawozdania.</w:t>
      </w:r>
    </w:p>
    <w:p w:rsidR="00890D49" w:rsidRPr="00765C97" w:rsidRDefault="00E05872" w:rsidP="00135A9A">
      <w:pPr>
        <w:pStyle w:val="Nagwek4"/>
        <w:numPr>
          <w:ilvl w:val="2"/>
          <w:numId w:val="20"/>
        </w:numPr>
        <w:spacing w:before="240" w:after="120" w:line="240" w:lineRule="auto"/>
        <w:ind w:left="1276" w:hanging="851"/>
        <w:rPr>
          <w:rFonts w:ascii="Arial" w:hAnsi="Arial" w:cs="Arial"/>
          <w:sz w:val="20"/>
          <w:szCs w:val="20"/>
          <w:lang w:val="pl-PL" w:eastAsia="pl-PL"/>
        </w:rPr>
      </w:pPr>
      <w:r w:rsidRPr="00765C97">
        <w:rPr>
          <w:rFonts w:ascii="Arial" w:hAnsi="Arial" w:cs="Arial"/>
          <w:sz w:val="20"/>
          <w:szCs w:val="20"/>
          <w:lang w:val="pl-PL"/>
        </w:rPr>
        <w:t xml:space="preserve">Ustanowienie hipoteki na aktywach </w:t>
      </w:r>
      <w:r w:rsidR="006724E3" w:rsidRPr="00765C97">
        <w:rPr>
          <w:rFonts w:ascii="Arial" w:hAnsi="Arial" w:cs="Arial"/>
          <w:sz w:val="20"/>
          <w:szCs w:val="20"/>
          <w:lang w:val="pl-PL"/>
        </w:rPr>
        <w:t>S</w:t>
      </w:r>
      <w:r w:rsidRPr="00765C97">
        <w:rPr>
          <w:rFonts w:ascii="Arial" w:hAnsi="Arial" w:cs="Arial"/>
          <w:sz w:val="20"/>
          <w:szCs w:val="20"/>
          <w:lang w:val="pl-PL"/>
        </w:rPr>
        <w:t>półki Comarch S.A.</w:t>
      </w:r>
    </w:p>
    <w:p w:rsidR="00890D49" w:rsidRPr="00765C97" w:rsidRDefault="00E05872" w:rsidP="00666931">
      <w:pPr>
        <w:pStyle w:val="Zwykytekst"/>
        <w:jc w:val="both"/>
        <w:rPr>
          <w:rFonts w:ascii="Arial" w:hAnsi="Arial" w:cs="Arial"/>
          <w:lang w:eastAsia="en-US"/>
        </w:rPr>
      </w:pPr>
      <w:r w:rsidRPr="00765C97">
        <w:rPr>
          <w:rFonts w:ascii="Arial" w:hAnsi="Arial" w:cs="Arial"/>
        </w:rPr>
        <w:t>W dniu 6 lutego 2013 r. Zarząd Comarch S.A. poinformował o otrzymaniu w dniu 6 lutego 2013 r. zawiadomienia Sądu Rejonowego dla Krakowa-Podgórza w Krakowie IV Wydział Ksiąg Wieczystych o wpisie z dnia 30 stycznia 2013 r. w Księdze Wieczystej hipoteki na nieruchomości zlokalizowanej w Specjalnej Strefie Ekonomicznej w Krakowie, będącej własnością Comarch S.A. Aktualna wartość ewidencyjna nieruchomości wynosi 18 952 737,42 PLN. Podstawą wpisu ww. hipoteki jest umowa nieodnawialnego, długoterminowego kredytu obrotowego z dnia 4 stycznia 2013 r. pomiędzy bankiem  BZ WBK S.A. a Comarch S.A. na kwotę 7 400 000, tj. 30 932 740 PLN. Wierzytelność banku BZ WBK S.A. z tytułu niniejszej umowy jest zabezpieczona do kwoty 11 100 000 EUR, tj. 46 399 110 PLN. Nie występują powiązania pomiędzy spółką Comarch S.A. i jej osobami zarządzającymi lub nadzorującymi a BZ WBK S.A.</w:t>
      </w:r>
      <w:r w:rsidR="006724E3" w:rsidRPr="00765C97">
        <w:rPr>
          <w:rFonts w:ascii="Arial" w:hAnsi="Arial" w:cs="Arial"/>
        </w:rPr>
        <w:t xml:space="preserve"> </w:t>
      </w:r>
      <w:r w:rsidR="006724E3" w:rsidRPr="00765C97">
        <w:rPr>
          <w:rFonts w:ascii="Arial" w:hAnsi="Arial"/>
        </w:rPr>
        <w:t>O szczegółach Spółka informowała raportem bieżącym nr 3/2013.</w:t>
      </w:r>
    </w:p>
    <w:p w:rsidR="00ED3EA9" w:rsidRPr="00765C97" w:rsidRDefault="00783368" w:rsidP="00135A9A">
      <w:pPr>
        <w:pStyle w:val="Nagwek4"/>
        <w:numPr>
          <w:ilvl w:val="2"/>
          <w:numId w:val="20"/>
        </w:numPr>
        <w:spacing w:before="240" w:after="120" w:line="240" w:lineRule="auto"/>
        <w:ind w:left="1276" w:hanging="851"/>
        <w:rPr>
          <w:rFonts w:ascii="Arial" w:hAnsi="Arial" w:cs="Arial"/>
          <w:b w:val="0"/>
          <w:color w:val="FF0000"/>
          <w:sz w:val="20"/>
          <w:szCs w:val="20"/>
          <w:lang w:val="pl-PL"/>
        </w:rPr>
      </w:pPr>
      <w:r w:rsidRPr="00765C97">
        <w:rPr>
          <w:rFonts w:ascii="Arial" w:hAnsi="Arial" w:cs="Arial"/>
          <w:sz w:val="20"/>
          <w:szCs w:val="20"/>
          <w:lang w:val="pl-PL"/>
        </w:rPr>
        <w:t>Umowa objęcia akcji MKS Cracovia SSA przez Comarch</w:t>
      </w:r>
      <w:r w:rsidR="00ED3EA9" w:rsidRPr="00765C97">
        <w:rPr>
          <w:rFonts w:ascii="Arial" w:hAnsi="Arial" w:cs="Arial"/>
          <w:color w:val="FF0000"/>
          <w:sz w:val="20"/>
          <w:szCs w:val="20"/>
          <w:lang w:val="pl-PL"/>
        </w:rPr>
        <w:t xml:space="preserve"> </w:t>
      </w:r>
    </w:p>
    <w:p w:rsidR="00ED3EA9" w:rsidRPr="00765C97" w:rsidRDefault="00783368" w:rsidP="00666931">
      <w:pPr>
        <w:pStyle w:val="Zwykytekst"/>
        <w:jc w:val="both"/>
        <w:rPr>
          <w:rFonts w:ascii="Arial" w:hAnsi="Arial" w:cs="Arial"/>
        </w:rPr>
      </w:pPr>
      <w:r w:rsidRPr="00765C97">
        <w:rPr>
          <w:rFonts w:ascii="Arial" w:hAnsi="Arial"/>
        </w:rPr>
        <w:t>W dniu 20 lutego 2013 r. Comarch S</w:t>
      </w:r>
      <w:r w:rsidR="00C73F2A" w:rsidRPr="00765C97">
        <w:rPr>
          <w:rFonts w:ascii="Arial" w:hAnsi="Arial"/>
        </w:rPr>
        <w:t>.</w:t>
      </w:r>
      <w:r w:rsidRPr="00765C97">
        <w:rPr>
          <w:rFonts w:ascii="Arial" w:hAnsi="Arial"/>
        </w:rPr>
        <w:t>A</w:t>
      </w:r>
      <w:r w:rsidR="00C73F2A" w:rsidRPr="00765C97">
        <w:rPr>
          <w:rFonts w:ascii="Arial" w:hAnsi="Arial"/>
        </w:rPr>
        <w:t>.</w:t>
      </w:r>
      <w:r w:rsidRPr="00765C97">
        <w:rPr>
          <w:rFonts w:ascii="Arial" w:hAnsi="Arial"/>
        </w:rPr>
        <w:t xml:space="preserve"> podpisała umowę objęcia akcji serii F w kapitale zakładowym spółki MKS Cracovia SSA. MKS Cracovia SSA złożyła Comarch S</w:t>
      </w:r>
      <w:r w:rsidR="00C73F2A" w:rsidRPr="00765C97">
        <w:rPr>
          <w:rFonts w:ascii="Arial" w:hAnsi="Arial"/>
        </w:rPr>
        <w:t>.</w:t>
      </w:r>
      <w:r w:rsidRPr="00765C97">
        <w:rPr>
          <w:rFonts w:ascii="Arial" w:hAnsi="Arial"/>
        </w:rPr>
        <w:t>A</w:t>
      </w:r>
      <w:r w:rsidR="00C73F2A" w:rsidRPr="00765C97">
        <w:rPr>
          <w:rFonts w:ascii="Arial" w:hAnsi="Arial"/>
        </w:rPr>
        <w:t>.</w:t>
      </w:r>
      <w:r w:rsidRPr="00765C97">
        <w:rPr>
          <w:rFonts w:ascii="Arial" w:hAnsi="Arial"/>
        </w:rPr>
        <w:t xml:space="preserve"> ofertę objęcia akcji serii F w łącznej liczbie 11 400 sztuk o wartości nominalnej 100 zł. MKS Cracovia SSA zaoferowała Comarch S</w:t>
      </w:r>
      <w:r w:rsidR="00C73F2A" w:rsidRPr="00765C97">
        <w:rPr>
          <w:rFonts w:ascii="Arial" w:hAnsi="Arial"/>
        </w:rPr>
        <w:t>.</w:t>
      </w:r>
      <w:r w:rsidRPr="00765C97">
        <w:rPr>
          <w:rFonts w:ascii="Arial" w:hAnsi="Arial"/>
        </w:rPr>
        <w:t>A</w:t>
      </w:r>
      <w:r w:rsidR="00C73F2A" w:rsidRPr="00765C97">
        <w:rPr>
          <w:rFonts w:ascii="Arial" w:hAnsi="Arial"/>
        </w:rPr>
        <w:t>.</w:t>
      </w:r>
      <w:r w:rsidRPr="00765C97">
        <w:rPr>
          <w:rFonts w:ascii="Arial" w:hAnsi="Arial"/>
        </w:rPr>
        <w:t xml:space="preserve"> objęcie akcji serii F po cenie emisyjnej wynoszącej łącznie 4 695 774  zł tj. za cenę emisyjną wynoszącą 411,91 zł za jedną akcję serii F. Cena emisyjna powyższych akcji serii F została pokryta wkładem pieniężnym w wysokości 4 695 774 zł dokonanym przez Comarch S</w:t>
      </w:r>
      <w:r w:rsidR="00C73F2A" w:rsidRPr="00765C97">
        <w:rPr>
          <w:rFonts w:ascii="Arial" w:hAnsi="Arial"/>
        </w:rPr>
        <w:t>.</w:t>
      </w:r>
      <w:r w:rsidRPr="00765C97">
        <w:rPr>
          <w:rFonts w:ascii="Arial" w:hAnsi="Arial"/>
        </w:rPr>
        <w:t>A</w:t>
      </w:r>
      <w:r w:rsidR="00C73F2A" w:rsidRPr="00765C97">
        <w:rPr>
          <w:rFonts w:ascii="Arial" w:hAnsi="Arial"/>
        </w:rPr>
        <w:t>.</w:t>
      </w:r>
      <w:r w:rsidRPr="00765C97">
        <w:rPr>
          <w:rFonts w:ascii="Arial" w:hAnsi="Arial"/>
        </w:rPr>
        <w:t xml:space="preserve"> w dniu 20 lutego 2013 r. Po rejestracji podwyższenia kapitału MKS Cracovia SSA, Comarch S</w:t>
      </w:r>
      <w:r w:rsidR="00C73F2A" w:rsidRPr="00765C97">
        <w:rPr>
          <w:rFonts w:ascii="Arial" w:hAnsi="Arial"/>
        </w:rPr>
        <w:t>.</w:t>
      </w:r>
      <w:r w:rsidRPr="00765C97">
        <w:rPr>
          <w:rFonts w:ascii="Arial" w:hAnsi="Arial"/>
        </w:rPr>
        <w:t>A</w:t>
      </w:r>
      <w:r w:rsidR="00C73F2A" w:rsidRPr="00765C97">
        <w:rPr>
          <w:rFonts w:ascii="Arial" w:hAnsi="Arial"/>
        </w:rPr>
        <w:t>.</w:t>
      </w:r>
      <w:r w:rsidRPr="00765C97">
        <w:rPr>
          <w:rFonts w:ascii="Arial" w:hAnsi="Arial"/>
        </w:rPr>
        <w:t xml:space="preserve"> będzie dysponować 62,16% głosów na WZA spółki. O szczegółach </w:t>
      </w:r>
      <w:r w:rsidR="006724E3" w:rsidRPr="00765C97">
        <w:rPr>
          <w:rFonts w:ascii="Arial" w:hAnsi="Arial"/>
        </w:rPr>
        <w:t>S</w:t>
      </w:r>
      <w:r w:rsidRPr="00765C97">
        <w:rPr>
          <w:rFonts w:ascii="Arial" w:hAnsi="Arial"/>
        </w:rPr>
        <w:t>półka informowała raportem bieżącym nr 4/2013.</w:t>
      </w:r>
    </w:p>
    <w:p w:rsidR="00ED3EA9" w:rsidRPr="00765C97" w:rsidRDefault="00783368" w:rsidP="00135A9A">
      <w:pPr>
        <w:pStyle w:val="Nagwek4"/>
        <w:numPr>
          <w:ilvl w:val="2"/>
          <w:numId w:val="20"/>
        </w:numPr>
        <w:spacing w:before="240" w:after="120" w:line="240" w:lineRule="auto"/>
        <w:ind w:left="1276" w:hanging="851"/>
        <w:rPr>
          <w:rFonts w:ascii="Arial" w:hAnsi="Arial" w:cs="Arial"/>
          <w:b w:val="0"/>
          <w:sz w:val="20"/>
          <w:szCs w:val="20"/>
          <w:lang w:val="pl-PL"/>
        </w:rPr>
      </w:pPr>
      <w:r w:rsidRPr="00765C97">
        <w:rPr>
          <w:rFonts w:ascii="Arial" w:hAnsi="Arial" w:cs="Arial"/>
          <w:sz w:val="20"/>
          <w:szCs w:val="20"/>
        </w:rPr>
        <w:t>Wykreślenie hipotek</w:t>
      </w:r>
      <w:r w:rsidR="00ED3EA9" w:rsidRPr="00765C97">
        <w:rPr>
          <w:rFonts w:ascii="Arial" w:hAnsi="Arial" w:cs="Arial"/>
          <w:sz w:val="20"/>
          <w:szCs w:val="20"/>
          <w:lang w:val="pl-PL"/>
        </w:rPr>
        <w:t xml:space="preserve"> </w:t>
      </w:r>
    </w:p>
    <w:p w:rsidR="00ED3EA9" w:rsidRPr="00765C97" w:rsidRDefault="00783368" w:rsidP="00666931">
      <w:pPr>
        <w:pStyle w:val="Zwykytekst"/>
        <w:jc w:val="both"/>
        <w:rPr>
          <w:rFonts w:ascii="Arial" w:hAnsi="Arial" w:cs="Arial"/>
          <w:lang w:eastAsia="en-US"/>
        </w:rPr>
      </w:pPr>
      <w:r w:rsidRPr="00765C97">
        <w:rPr>
          <w:rFonts w:ascii="Arial" w:hAnsi="Arial"/>
        </w:rPr>
        <w:t>W dniu 8 marca 2013 r. Zarząd Comarch S.A. poinformował o otrzymaniu w tym dniu zawiadomienia z Sądu Rejonowego dla Krakowa-Podgórza w Krakowie IV Wydział Ksiąg Wieczystych o wykreśleniu hipotek ustanowionych w 2006 roku na nieruchomości będącej własnością Comarch S</w:t>
      </w:r>
      <w:r w:rsidR="00C73F2A" w:rsidRPr="00765C97">
        <w:rPr>
          <w:rFonts w:ascii="Arial" w:hAnsi="Arial"/>
        </w:rPr>
        <w:t>.</w:t>
      </w:r>
      <w:r w:rsidRPr="00765C97">
        <w:rPr>
          <w:rFonts w:ascii="Arial" w:hAnsi="Arial"/>
        </w:rPr>
        <w:t>A</w:t>
      </w:r>
      <w:r w:rsidR="00C73F2A" w:rsidRPr="00765C97">
        <w:rPr>
          <w:rFonts w:ascii="Arial" w:hAnsi="Arial"/>
        </w:rPr>
        <w:t>.</w:t>
      </w:r>
      <w:r w:rsidRPr="00765C97">
        <w:rPr>
          <w:rFonts w:ascii="Arial" w:hAnsi="Arial"/>
        </w:rPr>
        <w:t xml:space="preserve"> jako zabezpieczenie ww. kredytu inwestycyjnego. O szczegółach </w:t>
      </w:r>
      <w:r w:rsidR="006724E3" w:rsidRPr="00765C97">
        <w:rPr>
          <w:rFonts w:ascii="Arial" w:hAnsi="Arial"/>
        </w:rPr>
        <w:t>S</w:t>
      </w:r>
      <w:r w:rsidRPr="00765C97">
        <w:rPr>
          <w:rFonts w:ascii="Arial" w:hAnsi="Arial"/>
        </w:rPr>
        <w:t>półka informowała raportem bieżącym nr 5/2013.</w:t>
      </w:r>
    </w:p>
    <w:p w:rsidR="00766C8A" w:rsidRPr="00765C97" w:rsidRDefault="00783368" w:rsidP="00135A9A">
      <w:pPr>
        <w:pStyle w:val="Nagwek4"/>
        <w:numPr>
          <w:ilvl w:val="2"/>
          <w:numId w:val="20"/>
        </w:numPr>
        <w:spacing w:before="240" w:after="120" w:line="240" w:lineRule="auto"/>
        <w:ind w:left="1276" w:hanging="851"/>
        <w:rPr>
          <w:rFonts w:ascii="Arial" w:hAnsi="Arial" w:cs="Arial"/>
          <w:b w:val="0"/>
          <w:sz w:val="20"/>
          <w:szCs w:val="20"/>
          <w:lang w:val="pl-PL"/>
        </w:rPr>
      </w:pPr>
      <w:r w:rsidRPr="00765C97">
        <w:rPr>
          <w:rFonts w:ascii="Arial" w:hAnsi="Arial" w:cs="Arial"/>
          <w:sz w:val="20"/>
          <w:szCs w:val="20"/>
          <w:lang w:val="pl-PL"/>
        </w:rPr>
        <w:t>Rejestracja podwyższenia kapitału zakładowego w spółce MKS Cracovia SSA</w:t>
      </w:r>
      <w:r w:rsidR="00766C8A" w:rsidRPr="00765C97">
        <w:rPr>
          <w:rFonts w:ascii="Arial" w:hAnsi="Arial" w:cs="Arial"/>
          <w:sz w:val="20"/>
          <w:szCs w:val="20"/>
          <w:lang w:val="pl-PL"/>
        </w:rPr>
        <w:t xml:space="preserve"> </w:t>
      </w:r>
    </w:p>
    <w:p w:rsidR="00766C8A" w:rsidRPr="00765C97" w:rsidRDefault="00783368" w:rsidP="00766C8A">
      <w:pPr>
        <w:jc w:val="both"/>
        <w:rPr>
          <w:rFonts w:ascii="Arial" w:hAnsi="Arial" w:cs="Arial"/>
          <w:sz w:val="20"/>
          <w:szCs w:val="20"/>
          <w:lang w:val="pl-PL"/>
        </w:rPr>
      </w:pPr>
      <w:r w:rsidRPr="00765C97">
        <w:rPr>
          <w:rFonts w:ascii="Arial" w:hAnsi="Arial" w:cs="Courier New"/>
          <w:sz w:val="20"/>
          <w:szCs w:val="20"/>
          <w:lang w:val="pl-PL"/>
        </w:rPr>
        <w:t>W dniu 14 marca 2013 r. (RB-6-2013) Zarząd Comarch S</w:t>
      </w:r>
      <w:r w:rsidR="00D54D0A" w:rsidRPr="00765C97">
        <w:rPr>
          <w:rFonts w:ascii="Arial" w:hAnsi="Arial" w:cs="Courier New"/>
          <w:sz w:val="20"/>
          <w:szCs w:val="20"/>
          <w:lang w:val="pl-PL"/>
        </w:rPr>
        <w:t>.</w:t>
      </w:r>
      <w:r w:rsidRPr="00765C97">
        <w:rPr>
          <w:rFonts w:ascii="Arial" w:hAnsi="Arial" w:cs="Courier New"/>
          <w:sz w:val="20"/>
          <w:szCs w:val="20"/>
          <w:lang w:val="pl-PL"/>
        </w:rPr>
        <w:t>A</w:t>
      </w:r>
      <w:r w:rsidR="00D54D0A" w:rsidRPr="00765C97">
        <w:rPr>
          <w:rFonts w:ascii="Arial" w:hAnsi="Arial" w:cs="Courier New"/>
          <w:sz w:val="20"/>
          <w:szCs w:val="20"/>
          <w:lang w:val="pl-PL"/>
        </w:rPr>
        <w:t>.</w:t>
      </w:r>
      <w:r w:rsidRPr="00765C97">
        <w:rPr>
          <w:rFonts w:ascii="Arial" w:hAnsi="Arial" w:cs="Courier New"/>
          <w:sz w:val="20"/>
          <w:szCs w:val="20"/>
          <w:lang w:val="pl-PL"/>
        </w:rPr>
        <w:t xml:space="preserve"> poinformował o otrzymaniu w tym dniu postanowienia Sądu Rejonowego dla Krakowa-Śródmieścia w Krakowie, XI Wydział Gospodarczy Krajowego Rejestru Sądowego z dnia 6 marca 2013 roku w przedmiocie rejestracji podwyższenia kapitału zakładowego w spółce MKS Cracovia SSA z 18 420 100,00 zł do 19 560 100,00 zł. W rezultacie Comarch S.A. jest posiadaczem 62.16% akcji w kapitale zakładowym MKS Cracovia SSA uprawniających do 62,16% głosów na WZA spółki.</w:t>
      </w:r>
    </w:p>
    <w:p w:rsidR="00890D49" w:rsidRPr="00765C97" w:rsidRDefault="00890D49" w:rsidP="00135A9A">
      <w:pPr>
        <w:pStyle w:val="Nagwek4"/>
        <w:numPr>
          <w:ilvl w:val="2"/>
          <w:numId w:val="20"/>
        </w:numPr>
        <w:spacing w:before="240" w:after="120" w:line="240" w:lineRule="auto"/>
        <w:ind w:left="1276" w:hanging="851"/>
        <w:rPr>
          <w:rFonts w:ascii="Arial" w:hAnsi="Arial"/>
          <w:sz w:val="20"/>
          <w:lang w:val="pl-PL"/>
        </w:rPr>
      </w:pPr>
      <w:r w:rsidRPr="00765C97">
        <w:rPr>
          <w:rFonts w:ascii="Arial" w:hAnsi="Arial"/>
          <w:sz w:val="20"/>
          <w:lang w:val="pl-PL"/>
        </w:rPr>
        <w:t>Zawarte po dacie bilansu kontrakty forward</w:t>
      </w:r>
    </w:p>
    <w:p w:rsidR="004C7E18" w:rsidRPr="00765C97" w:rsidRDefault="00D340EE" w:rsidP="00666931">
      <w:pPr>
        <w:jc w:val="both"/>
        <w:rPr>
          <w:rFonts w:ascii="Arial" w:hAnsi="Arial" w:cs="Arial"/>
          <w:sz w:val="20"/>
          <w:szCs w:val="20"/>
          <w:lang w:val="pl-PL"/>
        </w:rPr>
      </w:pPr>
      <w:r w:rsidRPr="00765C97">
        <w:rPr>
          <w:rFonts w:ascii="Arial" w:hAnsi="Arial" w:cs="Arial"/>
          <w:sz w:val="20"/>
          <w:szCs w:val="20"/>
          <w:lang w:val="pl-PL"/>
        </w:rPr>
        <w:t>Spółka Comarch S.A. zawarła w okresie od 1 stycznia 2013 roku do dnia 30 kwietnia 2013 roku kontrakty terminowe na sprzedaż 6 734 tys. EUR i 500 tys. USD oraz na kupno 1 600 tys. EUR. Wartość netto kontraktów terminowych nierozliczonych na dzień 30 kwietnia 2013 roku wynosi 6 834 tys. EUR i 1 000 tys. USD. Na dzień 30 kwietnia 2013 roku wycena otwartych kontraktów terminowych wyniosła 1 353 tys. zł. Kontrakty zapadają w terminie do 19 miesięcy od dnia bilansowego. Wszystkie kontrakty terminowe zostały zawarte w celu ograniczenia wpływu zmian kursów walut na wynik finansowy związany z realizowanymi przez Comarch S.A. kontraktami, w których wynagrodzenie ustalone jest w walutach obcych.</w:t>
      </w:r>
    </w:p>
    <w:p w:rsidR="00B24DA9" w:rsidRPr="00765C97" w:rsidRDefault="00B24DA9" w:rsidP="00135A9A">
      <w:pPr>
        <w:pStyle w:val="Nagwek3"/>
        <w:numPr>
          <w:ilvl w:val="1"/>
          <w:numId w:val="22"/>
        </w:numPr>
        <w:spacing w:after="240"/>
        <w:ind w:left="709" w:hanging="567"/>
        <w:rPr>
          <w:sz w:val="20"/>
          <w:lang w:val="pl-PL"/>
        </w:rPr>
      </w:pPr>
      <w:bookmarkStart w:id="98" w:name="_Toc353973246"/>
      <w:r w:rsidRPr="00765C97">
        <w:rPr>
          <w:sz w:val="20"/>
          <w:lang w:val="pl-PL"/>
        </w:rPr>
        <w:t>Istotne postępowania toczące się przed sądem, organem właściwym dla postępowań arbitrażowych lub organem administracji publicznej</w:t>
      </w:r>
      <w:bookmarkEnd w:id="98"/>
    </w:p>
    <w:p w:rsidR="00766C8A" w:rsidRPr="00765C97" w:rsidRDefault="004C7E18" w:rsidP="00666931">
      <w:pPr>
        <w:adjustRightInd w:val="0"/>
        <w:jc w:val="both"/>
        <w:rPr>
          <w:rFonts w:ascii="Arial" w:hAnsi="Arial" w:cs="Arial"/>
          <w:sz w:val="20"/>
          <w:szCs w:val="20"/>
          <w:lang w:val="pl-PL"/>
        </w:rPr>
      </w:pPr>
      <w:r w:rsidRPr="00765C97">
        <w:rPr>
          <w:rFonts w:ascii="Arial" w:hAnsi="Arial" w:cs="Arial"/>
          <w:sz w:val="20"/>
          <w:szCs w:val="20"/>
          <w:lang w:val="pl-PL"/>
        </w:rPr>
        <w:t xml:space="preserve">Grupa Comarch jest stroną pozywaną w postępowaniach sądowych, w których potencjalna, łączna kwota roszczenia stron trzecich wynosi </w:t>
      </w:r>
      <w:r w:rsidR="00CB394A" w:rsidRPr="00765C97">
        <w:rPr>
          <w:rFonts w:ascii="Arial" w:hAnsi="Arial" w:cs="Arial"/>
          <w:sz w:val="20"/>
          <w:szCs w:val="20"/>
          <w:lang w:val="pl-PL"/>
        </w:rPr>
        <w:t>4 621</w:t>
      </w:r>
      <w:r w:rsidRPr="00765C97">
        <w:rPr>
          <w:rFonts w:ascii="Arial" w:hAnsi="Arial" w:cs="Arial"/>
          <w:sz w:val="20"/>
          <w:szCs w:val="20"/>
          <w:lang w:val="pl-PL"/>
        </w:rPr>
        <w:t xml:space="preserve"> tys. zł, z czego część jest objęta rezerwami ujętymi w bilansie na 31 grudnia 2012 r. (</w:t>
      </w:r>
      <w:r w:rsidRPr="00765C97">
        <w:rPr>
          <w:rFonts w:ascii="Arial" w:hAnsi="Arial" w:cs="Arial"/>
          <w:bCs/>
          <w:sz w:val="20"/>
          <w:szCs w:val="20"/>
          <w:lang w:val="pl-PL"/>
        </w:rPr>
        <w:t>493</w:t>
      </w:r>
      <w:r w:rsidRPr="00765C97">
        <w:rPr>
          <w:rFonts w:ascii="Arial" w:hAnsi="Arial" w:cs="Arial"/>
          <w:sz w:val="20"/>
          <w:szCs w:val="20"/>
          <w:lang w:val="pl-PL"/>
        </w:rPr>
        <w:t xml:space="preserve"> tys. zł), w tym kwota utworzonych w roku 2012 rezerw na roszczenia objęte postępowaniami sądowymi wynosi 423 tys. zł. Według Zarządów spółek Grupy Comarch, w oparciu o opinie radców prawnych, nie istnieją okoliczności wskazujące na konieczność utworzenia rezerw na pozostałe roszczenia objęte aktualnie postępowaniami sądowymi.</w:t>
      </w:r>
      <w:r w:rsidR="00766C8A" w:rsidRPr="00765C97">
        <w:rPr>
          <w:sz w:val="20"/>
          <w:szCs w:val="20"/>
          <w:lang w:val="pl-PL"/>
        </w:rPr>
        <w:br w:type="page"/>
      </w:r>
    </w:p>
    <w:p w:rsidR="00B2035A" w:rsidRPr="00765C97" w:rsidRDefault="00B2035A" w:rsidP="00135A9A">
      <w:pPr>
        <w:pStyle w:val="Nagwek3"/>
        <w:numPr>
          <w:ilvl w:val="1"/>
          <w:numId w:val="22"/>
        </w:numPr>
        <w:spacing w:after="240"/>
        <w:ind w:left="709" w:hanging="567"/>
        <w:rPr>
          <w:sz w:val="20"/>
          <w:szCs w:val="20"/>
          <w:lang w:val="pl-PL"/>
        </w:rPr>
      </w:pPr>
      <w:bookmarkStart w:id="99" w:name="_Toc353973247"/>
      <w:r w:rsidRPr="00765C97">
        <w:rPr>
          <w:sz w:val="20"/>
          <w:szCs w:val="20"/>
          <w:lang w:val="pl-PL"/>
        </w:rPr>
        <w:t>Zarządzanie kapitałem</w:t>
      </w:r>
      <w:bookmarkEnd w:id="99"/>
    </w:p>
    <w:p w:rsidR="00A61A3D" w:rsidRPr="00765C97" w:rsidRDefault="00B2035A" w:rsidP="00A61A3D">
      <w:pPr>
        <w:pStyle w:val="Default"/>
        <w:jc w:val="both"/>
        <w:rPr>
          <w:rFonts w:ascii="Arial" w:hAnsi="Arial" w:cs="Arial"/>
          <w:color w:val="auto"/>
          <w:sz w:val="20"/>
          <w:szCs w:val="20"/>
          <w:lang w:val="pl-PL"/>
        </w:rPr>
      </w:pPr>
      <w:r w:rsidRPr="00765C97">
        <w:rPr>
          <w:rFonts w:ascii="Arial" w:hAnsi="Arial" w:cs="Arial"/>
          <w:color w:val="auto"/>
          <w:sz w:val="20"/>
          <w:szCs w:val="20"/>
          <w:lang w:val="pl-PL"/>
        </w:rPr>
        <w:t xml:space="preserve">Głównym </w:t>
      </w:r>
      <w:r w:rsidR="00A61A3D" w:rsidRPr="00765C97">
        <w:rPr>
          <w:rFonts w:ascii="Arial" w:hAnsi="Arial" w:cs="Arial"/>
          <w:color w:val="auto"/>
          <w:sz w:val="20"/>
          <w:szCs w:val="20"/>
          <w:lang w:val="pl-PL"/>
        </w:rPr>
        <w:t>celem zarządzania kapitałem Grupy jest utrzymanie bezpiecznej struktury zadłużenia Grupy oraz dotrzymanie wskaźników zadłużenia wynikających z umów kredytowych zawartych przez Grupę. Grupa posiada możliwość zarządzania strukturą kapitałową w zależności od zmian warunków ekonomicznych poprzez np. zaciągnięcie lub spłatę kredytów, emisję nowych akcji, wypłatę dywidendy dla akcjonariuszy. W 201</w:t>
      </w:r>
      <w:r w:rsidR="00A61A3D" w:rsidRPr="00765C97">
        <w:rPr>
          <w:rFonts w:ascii="Arial" w:hAnsi="Arial" w:cs="Arial"/>
          <w:color w:val="1F497D"/>
          <w:sz w:val="20"/>
          <w:szCs w:val="20"/>
          <w:lang w:val="pl-PL"/>
        </w:rPr>
        <w:t>2</w:t>
      </w:r>
      <w:r w:rsidR="00A61A3D" w:rsidRPr="00765C97">
        <w:rPr>
          <w:rFonts w:ascii="Arial" w:hAnsi="Arial" w:cs="Arial"/>
          <w:color w:val="auto"/>
          <w:sz w:val="20"/>
          <w:szCs w:val="20"/>
          <w:lang w:val="pl-PL"/>
        </w:rPr>
        <w:t xml:space="preserve"> roku Grupa nie dokonywała zmian w celach i polityce zarządzania kapitałem.</w:t>
      </w:r>
    </w:p>
    <w:p w:rsidR="00A61A3D" w:rsidRPr="00765C97" w:rsidRDefault="00A61A3D" w:rsidP="00A61A3D">
      <w:pPr>
        <w:pStyle w:val="Default"/>
        <w:jc w:val="both"/>
        <w:rPr>
          <w:rFonts w:ascii="Arial" w:hAnsi="Arial" w:cs="Arial"/>
          <w:color w:val="auto"/>
          <w:sz w:val="20"/>
          <w:szCs w:val="20"/>
          <w:lang w:val="pl-PL"/>
        </w:rPr>
      </w:pPr>
    </w:p>
    <w:p w:rsidR="00B2035A" w:rsidRPr="00765C97" w:rsidRDefault="00A61A3D" w:rsidP="00A61A3D">
      <w:pPr>
        <w:pStyle w:val="Default"/>
        <w:jc w:val="both"/>
        <w:rPr>
          <w:rFonts w:ascii="Arial" w:hAnsi="Arial" w:cs="Arial"/>
          <w:sz w:val="20"/>
          <w:szCs w:val="20"/>
          <w:lang w:val="pl-PL"/>
        </w:rPr>
      </w:pPr>
      <w:r w:rsidRPr="00765C97">
        <w:rPr>
          <w:rFonts w:ascii="Arial" w:hAnsi="Arial" w:cs="Arial"/>
          <w:sz w:val="20"/>
          <w:szCs w:val="20"/>
          <w:lang w:val="pl-PL"/>
        </w:rPr>
        <w:t>Grupa dokonuje kwartalnego monitoringu stanu kapitałów analizując głównie wskaźnik wypłacalności, który jest obliczany jako iloraz wartości kapitału własnego i wartości aktywów ogółem.</w:t>
      </w:r>
    </w:p>
    <w:tbl>
      <w:tblPr>
        <w:tblW w:w="8325" w:type="dxa"/>
        <w:tblInd w:w="180" w:type="dxa"/>
        <w:tblLayout w:type="fixed"/>
        <w:tblCellMar>
          <w:left w:w="0" w:type="dxa"/>
          <w:right w:w="0" w:type="dxa"/>
        </w:tblCellMar>
        <w:tblLook w:val="04A0"/>
      </w:tblPr>
      <w:tblGrid>
        <w:gridCol w:w="4260"/>
        <w:gridCol w:w="2040"/>
        <w:gridCol w:w="2025"/>
      </w:tblGrid>
      <w:tr w:rsidR="00B2035A" w:rsidRPr="00765C97" w:rsidTr="00B2035A">
        <w:trPr>
          <w:trHeight w:val="255"/>
        </w:trPr>
        <w:tc>
          <w:tcPr>
            <w:tcW w:w="4260" w:type="dxa"/>
          </w:tcPr>
          <w:p w:rsidR="00B2035A" w:rsidRPr="00765C97" w:rsidRDefault="00B2035A" w:rsidP="00B2035A">
            <w:pPr>
              <w:spacing w:before="20" w:after="20"/>
              <w:ind w:left="104"/>
              <w:rPr>
                <w:rFonts w:ascii="Arial" w:hAnsi="Arial" w:cs="Arial"/>
                <w:b/>
                <w:spacing w:val="10"/>
                <w:sz w:val="20"/>
                <w:lang w:val="pl-PL"/>
              </w:rPr>
            </w:pPr>
          </w:p>
        </w:tc>
        <w:tc>
          <w:tcPr>
            <w:tcW w:w="2040" w:type="dxa"/>
            <w:vAlign w:val="center"/>
            <w:hideMark/>
          </w:tcPr>
          <w:p w:rsidR="00B2035A" w:rsidRPr="00765C97" w:rsidRDefault="000C4D38" w:rsidP="00B2035A">
            <w:pPr>
              <w:spacing w:before="20" w:after="20"/>
              <w:ind w:left="142" w:right="101"/>
              <w:jc w:val="right"/>
              <w:rPr>
                <w:rFonts w:ascii="Arial" w:hAnsi="Arial" w:cs="Arial"/>
                <w:b/>
                <w:sz w:val="20"/>
                <w:lang w:val="pl-PL"/>
              </w:rPr>
            </w:pPr>
            <w:r w:rsidRPr="00765C97">
              <w:rPr>
                <w:rFonts w:ascii="Arial" w:hAnsi="Arial" w:cs="Arial"/>
                <w:b/>
                <w:sz w:val="20"/>
                <w:lang w:val="pl-PL"/>
              </w:rPr>
              <w:t>31 grudnia 2012</w:t>
            </w:r>
            <w:r w:rsidR="00B2035A" w:rsidRPr="00765C97">
              <w:rPr>
                <w:rFonts w:ascii="Arial" w:hAnsi="Arial" w:cs="Arial"/>
                <w:b/>
                <w:sz w:val="20"/>
                <w:lang w:val="pl-PL"/>
              </w:rPr>
              <w:t xml:space="preserve"> r.</w:t>
            </w:r>
          </w:p>
        </w:tc>
        <w:tc>
          <w:tcPr>
            <w:tcW w:w="2025" w:type="dxa"/>
            <w:vAlign w:val="center"/>
            <w:hideMark/>
          </w:tcPr>
          <w:p w:rsidR="00B2035A" w:rsidRPr="00765C97" w:rsidRDefault="00B2035A" w:rsidP="000C4D38">
            <w:pPr>
              <w:ind w:left="142" w:right="101"/>
              <w:jc w:val="right"/>
              <w:rPr>
                <w:rFonts w:ascii="Arial" w:hAnsi="Arial" w:cs="Arial"/>
                <w:b/>
                <w:sz w:val="20"/>
                <w:lang w:val="pl-PL"/>
              </w:rPr>
            </w:pPr>
            <w:r w:rsidRPr="00765C97">
              <w:rPr>
                <w:rFonts w:ascii="Arial" w:hAnsi="Arial" w:cs="Arial"/>
                <w:b/>
                <w:sz w:val="20"/>
                <w:lang w:val="pl-PL"/>
              </w:rPr>
              <w:t>31 grudnia 201</w:t>
            </w:r>
            <w:r w:rsidR="000C4D38" w:rsidRPr="00765C97">
              <w:rPr>
                <w:rFonts w:ascii="Arial" w:hAnsi="Arial" w:cs="Arial"/>
                <w:b/>
                <w:sz w:val="20"/>
                <w:lang w:val="pl-PL"/>
              </w:rPr>
              <w:t>1</w:t>
            </w:r>
            <w:r w:rsidRPr="00765C97">
              <w:rPr>
                <w:rFonts w:ascii="Arial" w:hAnsi="Arial" w:cs="Arial"/>
                <w:b/>
                <w:sz w:val="20"/>
                <w:lang w:val="pl-PL"/>
              </w:rPr>
              <w:t xml:space="preserve"> r.</w:t>
            </w:r>
          </w:p>
        </w:tc>
      </w:tr>
      <w:tr w:rsidR="00B2035A" w:rsidRPr="00765C97" w:rsidTr="00B2035A">
        <w:trPr>
          <w:trHeight w:val="255"/>
        </w:trPr>
        <w:tc>
          <w:tcPr>
            <w:tcW w:w="4260" w:type="dxa"/>
            <w:vAlign w:val="center"/>
          </w:tcPr>
          <w:p w:rsidR="00B2035A" w:rsidRPr="00765C97" w:rsidRDefault="00B2035A" w:rsidP="00B2035A">
            <w:pPr>
              <w:spacing w:before="20" w:after="20"/>
              <w:ind w:left="104"/>
              <w:rPr>
                <w:rFonts w:ascii="Arial" w:hAnsi="Arial" w:cs="Arial"/>
                <w:sz w:val="20"/>
                <w:lang w:val="pl-PL"/>
              </w:rPr>
            </w:pPr>
          </w:p>
        </w:tc>
        <w:tc>
          <w:tcPr>
            <w:tcW w:w="2040" w:type="dxa"/>
            <w:vAlign w:val="center"/>
          </w:tcPr>
          <w:p w:rsidR="00B2035A" w:rsidRPr="00765C97" w:rsidRDefault="00B2035A" w:rsidP="00B2035A">
            <w:pPr>
              <w:spacing w:before="20" w:after="20"/>
              <w:ind w:left="142" w:right="120"/>
              <w:jc w:val="right"/>
              <w:rPr>
                <w:rFonts w:ascii="Arial" w:hAnsi="Arial" w:cs="Arial"/>
                <w:sz w:val="20"/>
                <w:lang w:val="pl-PL"/>
              </w:rPr>
            </w:pPr>
          </w:p>
        </w:tc>
        <w:tc>
          <w:tcPr>
            <w:tcW w:w="2025" w:type="dxa"/>
            <w:vAlign w:val="center"/>
          </w:tcPr>
          <w:p w:rsidR="00B2035A" w:rsidRPr="00765C97" w:rsidRDefault="00B2035A" w:rsidP="00B2035A">
            <w:pPr>
              <w:spacing w:before="20" w:after="20"/>
              <w:ind w:left="142" w:right="120"/>
              <w:jc w:val="right"/>
              <w:rPr>
                <w:rFonts w:ascii="Arial" w:hAnsi="Arial" w:cs="Arial"/>
                <w:sz w:val="20"/>
                <w:lang w:val="pl-PL"/>
              </w:rPr>
            </w:pPr>
          </w:p>
        </w:tc>
      </w:tr>
      <w:tr w:rsidR="00A61A3D" w:rsidRPr="00765C97" w:rsidTr="000C4D38">
        <w:trPr>
          <w:trHeight w:val="255"/>
        </w:trPr>
        <w:tc>
          <w:tcPr>
            <w:tcW w:w="4260" w:type="dxa"/>
            <w:vAlign w:val="center"/>
            <w:hideMark/>
          </w:tcPr>
          <w:p w:rsidR="00A61A3D" w:rsidRPr="00765C97" w:rsidRDefault="00A61A3D" w:rsidP="00B2035A">
            <w:pPr>
              <w:spacing w:before="20" w:after="20"/>
              <w:ind w:left="104"/>
              <w:rPr>
                <w:rFonts w:ascii="Arial" w:hAnsi="Arial" w:cs="Arial"/>
                <w:sz w:val="20"/>
                <w:lang w:val="pl-PL"/>
              </w:rPr>
            </w:pPr>
            <w:r w:rsidRPr="00765C97">
              <w:rPr>
                <w:rFonts w:ascii="Arial" w:hAnsi="Arial" w:cs="Arial"/>
                <w:sz w:val="20"/>
                <w:lang w:val="pl-PL"/>
              </w:rPr>
              <w:t>Kapitał własny</w:t>
            </w:r>
          </w:p>
        </w:tc>
        <w:tc>
          <w:tcPr>
            <w:tcW w:w="2040" w:type="dxa"/>
            <w:vAlign w:val="center"/>
          </w:tcPr>
          <w:p w:rsidR="00A61A3D" w:rsidRPr="00765C97" w:rsidRDefault="00A61A3D">
            <w:pPr>
              <w:spacing w:line="276" w:lineRule="auto"/>
              <w:ind w:left="142" w:right="120"/>
              <w:jc w:val="right"/>
              <w:rPr>
                <w:rFonts w:ascii="Arial" w:hAnsi="Arial" w:cs="Arial"/>
                <w:sz w:val="20"/>
                <w:lang w:val="pl-PL"/>
              </w:rPr>
            </w:pPr>
            <w:r w:rsidRPr="00765C97">
              <w:rPr>
                <w:rFonts w:ascii="Arial" w:hAnsi="Arial" w:cs="Arial"/>
                <w:sz w:val="20"/>
                <w:lang w:val="pl-PL"/>
              </w:rPr>
              <w:t>624 942</w:t>
            </w:r>
          </w:p>
        </w:tc>
        <w:tc>
          <w:tcPr>
            <w:tcW w:w="2025" w:type="dxa"/>
            <w:vAlign w:val="center"/>
            <w:hideMark/>
          </w:tcPr>
          <w:p w:rsidR="00A61A3D" w:rsidRPr="00765C97" w:rsidRDefault="00A61A3D" w:rsidP="00496C6C">
            <w:pPr>
              <w:spacing w:line="276" w:lineRule="auto"/>
              <w:ind w:left="142" w:right="120"/>
              <w:jc w:val="right"/>
              <w:rPr>
                <w:rFonts w:ascii="Arial" w:hAnsi="Arial" w:cs="Arial"/>
                <w:sz w:val="20"/>
                <w:lang w:val="pl-PL"/>
              </w:rPr>
            </w:pPr>
            <w:r w:rsidRPr="00765C97">
              <w:rPr>
                <w:rFonts w:ascii="Arial" w:hAnsi="Arial" w:cs="Arial"/>
                <w:sz w:val="20"/>
                <w:lang w:val="pl-PL"/>
              </w:rPr>
              <w:t>609 851</w:t>
            </w:r>
          </w:p>
        </w:tc>
      </w:tr>
      <w:tr w:rsidR="00A61A3D" w:rsidRPr="00765C97" w:rsidTr="000C4D38">
        <w:trPr>
          <w:trHeight w:val="255"/>
        </w:trPr>
        <w:tc>
          <w:tcPr>
            <w:tcW w:w="4260" w:type="dxa"/>
            <w:vAlign w:val="center"/>
            <w:hideMark/>
          </w:tcPr>
          <w:p w:rsidR="00A61A3D" w:rsidRPr="00765C97" w:rsidRDefault="00A61A3D" w:rsidP="00B2035A">
            <w:pPr>
              <w:spacing w:before="20" w:after="20"/>
              <w:ind w:left="104"/>
              <w:rPr>
                <w:rFonts w:ascii="Arial" w:hAnsi="Arial" w:cs="Arial"/>
                <w:sz w:val="20"/>
                <w:lang w:val="pl-PL"/>
              </w:rPr>
            </w:pPr>
            <w:r w:rsidRPr="00765C97">
              <w:rPr>
                <w:rFonts w:ascii="Arial" w:hAnsi="Arial" w:cs="Arial"/>
                <w:sz w:val="20"/>
                <w:lang w:val="pl-PL"/>
              </w:rPr>
              <w:t>Aktywa ogółem</w:t>
            </w:r>
          </w:p>
        </w:tc>
        <w:tc>
          <w:tcPr>
            <w:tcW w:w="2040" w:type="dxa"/>
            <w:vAlign w:val="center"/>
          </w:tcPr>
          <w:p w:rsidR="00A61A3D" w:rsidRPr="00765C97" w:rsidRDefault="00A61A3D">
            <w:pPr>
              <w:spacing w:line="276" w:lineRule="auto"/>
              <w:ind w:left="142" w:right="120"/>
              <w:jc w:val="right"/>
              <w:rPr>
                <w:rFonts w:ascii="Arial" w:hAnsi="Arial" w:cs="Arial"/>
                <w:sz w:val="20"/>
                <w:lang w:val="pl-PL"/>
              </w:rPr>
            </w:pPr>
            <w:r w:rsidRPr="00765C97">
              <w:rPr>
                <w:rFonts w:ascii="Arial" w:hAnsi="Arial" w:cs="Arial"/>
                <w:sz w:val="20"/>
                <w:lang w:val="pl-PL"/>
              </w:rPr>
              <w:t>1 146 743</w:t>
            </w:r>
          </w:p>
        </w:tc>
        <w:tc>
          <w:tcPr>
            <w:tcW w:w="2025" w:type="dxa"/>
            <w:vAlign w:val="center"/>
            <w:hideMark/>
          </w:tcPr>
          <w:p w:rsidR="00A61A3D" w:rsidRPr="00765C97" w:rsidRDefault="00A61A3D" w:rsidP="00496C6C">
            <w:pPr>
              <w:spacing w:line="276" w:lineRule="auto"/>
              <w:ind w:left="142" w:right="120"/>
              <w:jc w:val="right"/>
              <w:rPr>
                <w:rFonts w:ascii="Arial" w:hAnsi="Arial" w:cs="Arial"/>
                <w:sz w:val="20"/>
                <w:lang w:val="pl-PL"/>
              </w:rPr>
            </w:pPr>
            <w:r w:rsidRPr="00765C97">
              <w:rPr>
                <w:rFonts w:ascii="Arial" w:hAnsi="Arial" w:cs="Arial"/>
                <w:sz w:val="20"/>
                <w:lang w:val="pl-PL"/>
              </w:rPr>
              <w:t>1 022 474</w:t>
            </w:r>
          </w:p>
        </w:tc>
      </w:tr>
      <w:tr w:rsidR="00A61A3D" w:rsidRPr="00765C97" w:rsidTr="00B2035A">
        <w:trPr>
          <w:trHeight w:val="255"/>
        </w:trPr>
        <w:tc>
          <w:tcPr>
            <w:tcW w:w="4260" w:type="dxa"/>
            <w:vAlign w:val="center"/>
          </w:tcPr>
          <w:p w:rsidR="00A61A3D" w:rsidRPr="00765C97" w:rsidRDefault="00A61A3D" w:rsidP="00B2035A">
            <w:pPr>
              <w:spacing w:before="20" w:after="20"/>
              <w:ind w:left="104"/>
              <w:rPr>
                <w:rFonts w:ascii="Arial" w:hAnsi="Arial" w:cs="Arial"/>
                <w:sz w:val="20"/>
                <w:lang w:val="pl-PL"/>
              </w:rPr>
            </w:pPr>
          </w:p>
        </w:tc>
        <w:tc>
          <w:tcPr>
            <w:tcW w:w="2040" w:type="dxa"/>
            <w:tcBorders>
              <w:left w:val="nil"/>
              <w:right w:val="nil"/>
            </w:tcBorders>
            <w:vAlign w:val="center"/>
          </w:tcPr>
          <w:p w:rsidR="00A61A3D" w:rsidRPr="00765C97" w:rsidRDefault="00A61A3D">
            <w:pPr>
              <w:spacing w:before="20" w:after="20"/>
              <w:ind w:left="142" w:right="120"/>
              <w:jc w:val="right"/>
              <w:rPr>
                <w:rFonts w:ascii="Arial" w:eastAsiaTheme="minorHAnsi" w:hAnsi="Arial" w:cs="Arial"/>
                <w:bCs/>
                <w:sz w:val="20"/>
                <w:szCs w:val="20"/>
              </w:rPr>
            </w:pPr>
          </w:p>
        </w:tc>
        <w:tc>
          <w:tcPr>
            <w:tcW w:w="2025" w:type="dxa"/>
            <w:tcBorders>
              <w:left w:val="nil"/>
              <w:right w:val="nil"/>
            </w:tcBorders>
            <w:vAlign w:val="center"/>
          </w:tcPr>
          <w:p w:rsidR="00A61A3D" w:rsidRPr="00765C97" w:rsidRDefault="00A61A3D" w:rsidP="00496C6C">
            <w:pPr>
              <w:spacing w:before="20" w:after="20"/>
              <w:ind w:left="142" w:right="120"/>
              <w:jc w:val="right"/>
              <w:rPr>
                <w:rFonts w:ascii="Arial" w:hAnsi="Arial" w:cs="Arial"/>
                <w:b/>
                <w:sz w:val="20"/>
                <w:lang w:val="pl-PL"/>
              </w:rPr>
            </w:pPr>
          </w:p>
        </w:tc>
      </w:tr>
      <w:tr w:rsidR="00A61A3D" w:rsidRPr="00765C97" w:rsidTr="000C4D38">
        <w:trPr>
          <w:trHeight w:val="255"/>
        </w:trPr>
        <w:tc>
          <w:tcPr>
            <w:tcW w:w="4260" w:type="dxa"/>
            <w:vAlign w:val="center"/>
          </w:tcPr>
          <w:p w:rsidR="00A61A3D" w:rsidRPr="00765C97" w:rsidRDefault="00A61A3D" w:rsidP="00B2035A">
            <w:pPr>
              <w:spacing w:before="20" w:after="20"/>
              <w:ind w:left="104"/>
              <w:rPr>
                <w:rFonts w:ascii="Arial" w:hAnsi="Arial" w:cs="Arial"/>
                <w:sz w:val="20"/>
                <w:lang w:val="pl-PL"/>
              </w:rPr>
            </w:pPr>
            <w:r w:rsidRPr="00765C97">
              <w:rPr>
                <w:rFonts w:ascii="Arial" w:hAnsi="Arial" w:cs="Arial"/>
                <w:sz w:val="20"/>
                <w:lang w:val="pl-PL"/>
              </w:rPr>
              <w:t>Wskaźnik wypłacalności</w:t>
            </w:r>
          </w:p>
        </w:tc>
        <w:tc>
          <w:tcPr>
            <w:tcW w:w="2040" w:type="dxa"/>
            <w:tcBorders>
              <w:left w:val="nil"/>
              <w:right w:val="nil"/>
            </w:tcBorders>
            <w:vAlign w:val="center"/>
          </w:tcPr>
          <w:p w:rsidR="00A61A3D" w:rsidRPr="00765C97" w:rsidRDefault="00A61A3D">
            <w:pPr>
              <w:spacing w:before="20" w:after="20"/>
              <w:ind w:left="142" w:right="120"/>
              <w:jc w:val="right"/>
              <w:rPr>
                <w:rFonts w:ascii="Arial" w:eastAsiaTheme="minorHAnsi" w:hAnsi="Arial" w:cs="Arial"/>
                <w:b/>
                <w:bCs/>
                <w:sz w:val="20"/>
                <w:szCs w:val="20"/>
              </w:rPr>
            </w:pPr>
            <w:r w:rsidRPr="00765C97">
              <w:rPr>
                <w:rFonts w:ascii="Arial" w:hAnsi="Arial" w:cs="Arial"/>
                <w:b/>
                <w:bCs/>
                <w:sz w:val="20"/>
                <w:szCs w:val="20"/>
              </w:rPr>
              <w:t>54,5%</w:t>
            </w:r>
          </w:p>
        </w:tc>
        <w:tc>
          <w:tcPr>
            <w:tcW w:w="2025" w:type="dxa"/>
            <w:tcBorders>
              <w:left w:val="nil"/>
              <w:right w:val="nil"/>
            </w:tcBorders>
            <w:vAlign w:val="center"/>
            <w:hideMark/>
          </w:tcPr>
          <w:p w:rsidR="00A61A3D" w:rsidRPr="00765C97" w:rsidRDefault="00A61A3D" w:rsidP="00496C6C">
            <w:pPr>
              <w:spacing w:before="20" w:after="20"/>
              <w:ind w:left="142" w:right="120"/>
              <w:jc w:val="right"/>
              <w:rPr>
                <w:rFonts w:ascii="Arial" w:hAnsi="Arial" w:cs="Arial"/>
                <w:b/>
                <w:sz w:val="20"/>
                <w:lang w:val="pl-PL"/>
              </w:rPr>
            </w:pPr>
            <w:r w:rsidRPr="00765C97">
              <w:rPr>
                <w:rFonts w:ascii="Arial" w:hAnsi="Arial" w:cs="Arial"/>
                <w:b/>
                <w:sz w:val="20"/>
                <w:lang w:val="pl-PL"/>
              </w:rPr>
              <w:t>59,6%</w:t>
            </w:r>
          </w:p>
        </w:tc>
      </w:tr>
    </w:tbl>
    <w:p w:rsidR="00B2035A" w:rsidRPr="00765C97" w:rsidRDefault="00B2035A" w:rsidP="00B2035A">
      <w:pPr>
        <w:pStyle w:val="Style3"/>
        <w:tabs>
          <w:tab w:val="left" w:pos="5954"/>
          <w:tab w:val="left" w:pos="6804"/>
        </w:tabs>
        <w:spacing w:before="0"/>
        <w:ind w:left="142"/>
        <w:rPr>
          <w:rFonts w:ascii="Arial" w:hAnsi="Arial" w:cs="Arial"/>
          <w:lang w:val="pl-PL"/>
        </w:rPr>
      </w:pPr>
    </w:p>
    <w:p w:rsidR="00A61A3D" w:rsidRPr="00765C97" w:rsidRDefault="00A61A3D" w:rsidP="00A61A3D">
      <w:pPr>
        <w:jc w:val="both"/>
        <w:rPr>
          <w:rFonts w:ascii="Arial" w:hAnsi="Arial" w:cs="Arial"/>
          <w:sz w:val="20"/>
          <w:szCs w:val="20"/>
          <w:lang w:val="pl-PL"/>
        </w:rPr>
      </w:pPr>
      <w:r w:rsidRPr="00765C97">
        <w:rPr>
          <w:rFonts w:ascii="Arial" w:hAnsi="Arial" w:cs="Arial"/>
          <w:sz w:val="20"/>
          <w:szCs w:val="20"/>
          <w:lang w:val="pl-PL"/>
        </w:rPr>
        <w:t>W trakcie roku 2012 wskaźnik wypłacalności uległ niewielkiemu zmniejszeniu, głównie w wyniku zaciągnięcia kredytów bankowych związanych z przeprowadzanymi przez Grupę inwestycjami. Pozostaje on jednak na bardzo bezpiecznym poziomie, zapewniając Grupie potencjalną możliwość znacznego zwiększenia zadłużenia (pozyskania finansowania zewnętrznego) w przypadku wystąpienia takiej potrzeby.</w:t>
      </w:r>
    </w:p>
    <w:p w:rsidR="00A63BB2" w:rsidRPr="00765C97" w:rsidRDefault="00A61A3D" w:rsidP="00A61A3D">
      <w:pPr>
        <w:widowControl/>
        <w:adjustRightInd w:val="0"/>
        <w:jc w:val="both"/>
        <w:rPr>
          <w:rFonts w:ascii="Arial" w:hAnsi="Arial" w:cs="Arial"/>
          <w:sz w:val="20"/>
          <w:szCs w:val="20"/>
          <w:lang w:val="pl-PL"/>
        </w:rPr>
      </w:pPr>
      <w:r w:rsidRPr="00765C97">
        <w:rPr>
          <w:rFonts w:ascii="Arial" w:hAnsi="Arial" w:cs="Arial"/>
          <w:sz w:val="20"/>
          <w:szCs w:val="20"/>
          <w:lang w:val="pl-PL"/>
        </w:rPr>
        <w:t>W trakcie roku 2012 zostały dotrzymane wszystkie kowenanty wynikające z umów kredytowych zawartych przez spółki Grupy. Zarząd Spółki dominującej nie widzi ryzyka ich niedotrzymania w przyszłości.</w:t>
      </w:r>
    </w:p>
    <w:p w:rsidR="00744CE6" w:rsidRPr="00765C97" w:rsidRDefault="00744CE6" w:rsidP="00744CE6">
      <w:pPr>
        <w:rPr>
          <w:rFonts w:ascii="Arial" w:hAnsi="Arial" w:cs="Arial"/>
          <w:sz w:val="20"/>
          <w:szCs w:val="20"/>
          <w:lang w:val="pl-PL"/>
        </w:rPr>
      </w:pPr>
    </w:p>
    <w:p w:rsidR="00744CE6" w:rsidRPr="00765C97" w:rsidRDefault="00934A11" w:rsidP="00666931">
      <w:pPr>
        <w:rPr>
          <w:rFonts w:ascii="Arial" w:hAnsi="Arial" w:cs="Arial"/>
          <w:sz w:val="20"/>
          <w:szCs w:val="20"/>
          <w:lang w:val="pl-PL"/>
        </w:rPr>
      </w:pPr>
      <w:r w:rsidRPr="00765C97">
        <w:rPr>
          <w:rFonts w:ascii="Arial" w:hAnsi="Arial" w:cs="Arial"/>
          <w:sz w:val="20"/>
          <w:szCs w:val="20"/>
          <w:lang w:val="pl-PL"/>
        </w:rPr>
        <w:t>30.04.2013</w:t>
      </w:r>
      <w:r w:rsidR="00744CE6" w:rsidRPr="00765C97">
        <w:rPr>
          <w:rFonts w:ascii="Arial" w:hAnsi="Arial" w:cs="Arial"/>
          <w:sz w:val="20"/>
          <w:szCs w:val="20"/>
          <w:lang w:val="pl-PL"/>
        </w:rPr>
        <w:t xml:space="preserve"> r.</w:t>
      </w:r>
    </w:p>
    <w:p w:rsidR="00744CE6" w:rsidRPr="00765C97" w:rsidRDefault="00744CE6" w:rsidP="00666931">
      <w:pPr>
        <w:rPr>
          <w:rFonts w:ascii="Arial" w:hAnsi="Arial" w:cs="Arial"/>
          <w:sz w:val="20"/>
          <w:szCs w:val="20"/>
          <w:lang w:val="pl-PL"/>
        </w:rPr>
      </w:pPr>
      <w:r w:rsidRPr="00765C97">
        <w:rPr>
          <w:rFonts w:ascii="Arial" w:hAnsi="Arial" w:cs="Arial"/>
          <w:sz w:val="20"/>
          <w:szCs w:val="20"/>
          <w:lang w:val="pl-PL"/>
        </w:rPr>
        <w:t>PODPISY CZŁONKÓW ZARZĄDU</w:t>
      </w:r>
    </w:p>
    <w:p w:rsidR="00744CE6" w:rsidRPr="00765C97" w:rsidRDefault="00744CE6" w:rsidP="00744CE6">
      <w:pPr>
        <w:rPr>
          <w:rFonts w:ascii="Arial" w:hAnsi="Arial" w:cs="Arial"/>
          <w:sz w:val="20"/>
          <w:szCs w:val="20"/>
          <w:lang w:val="pl-PL"/>
        </w:rPr>
      </w:pPr>
    </w:p>
    <w:tbl>
      <w:tblPr>
        <w:tblW w:w="85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3069"/>
        <w:gridCol w:w="3070"/>
        <w:gridCol w:w="2366"/>
      </w:tblGrid>
      <w:tr w:rsidR="00744CE6" w:rsidRPr="00765C97" w:rsidTr="00666931">
        <w:trPr>
          <w:trHeight w:val="567"/>
        </w:trPr>
        <w:tc>
          <w:tcPr>
            <w:tcW w:w="3069"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b/>
                <w:sz w:val="20"/>
                <w:szCs w:val="20"/>
                <w:lang w:val="pl-PL"/>
              </w:rPr>
            </w:pPr>
            <w:r w:rsidRPr="00765C97">
              <w:rPr>
                <w:rFonts w:ascii="Arial" w:hAnsi="Arial" w:cs="Arial"/>
                <w:b/>
                <w:sz w:val="20"/>
                <w:szCs w:val="20"/>
                <w:lang w:val="pl-PL"/>
              </w:rPr>
              <w:t>IMIĘ I NAZWISKO</w:t>
            </w:r>
          </w:p>
        </w:tc>
        <w:tc>
          <w:tcPr>
            <w:tcW w:w="3070"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pStyle w:val="Tabela"/>
              <w:widowControl/>
              <w:spacing w:before="0"/>
              <w:jc w:val="left"/>
              <w:rPr>
                <w:rFonts w:ascii="Arial" w:hAnsi="Arial" w:cs="Arial"/>
                <w:b/>
                <w:sz w:val="20"/>
              </w:rPr>
            </w:pPr>
            <w:r w:rsidRPr="00765C97">
              <w:rPr>
                <w:rFonts w:ascii="Arial" w:hAnsi="Arial" w:cs="Arial"/>
                <w:b/>
                <w:sz w:val="20"/>
              </w:rPr>
              <w:t>STANOWISKO/FUNKCJA</w:t>
            </w:r>
          </w:p>
        </w:tc>
        <w:tc>
          <w:tcPr>
            <w:tcW w:w="2366"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sz w:val="20"/>
                <w:szCs w:val="20"/>
                <w:lang w:val="pl-PL"/>
              </w:rPr>
            </w:pPr>
            <w:r w:rsidRPr="00765C97">
              <w:rPr>
                <w:rFonts w:ascii="Arial" w:hAnsi="Arial" w:cs="Arial"/>
                <w:b/>
                <w:sz w:val="20"/>
                <w:szCs w:val="20"/>
                <w:lang w:val="pl-PL"/>
              </w:rPr>
              <w:t>PODPIS</w:t>
            </w:r>
          </w:p>
        </w:tc>
      </w:tr>
      <w:tr w:rsidR="00744CE6" w:rsidRPr="00765C97" w:rsidTr="00666931">
        <w:trPr>
          <w:trHeight w:val="567"/>
        </w:trPr>
        <w:tc>
          <w:tcPr>
            <w:tcW w:w="3069"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sz w:val="20"/>
                <w:szCs w:val="20"/>
                <w:lang w:val="pl-PL"/>
              </w:rPr>
            </w:pPr>
            <w:r w:rsidRPr="00765C97">
              <w:rPr>
                <w:rFonts w:ascii="Arial" w:hAnsi="Arial" w:cs="Arial"/>
                <w:sz w:val="20"/>
                <w:szCs w:val="20"/>
                <w:lang w:val="pl-PL"/>
              </w:rPr>
              <w:t>Janusz Filipiak</w:t>
            </w:r>
          </w:p>
        </w:tc>
        <w:tc>
          <w:tcPr>
            <w:tcW w:w="3070"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sz w:val="20"/>
                <w:szCs w:val="20"/>
                <w:lang w:val="pl-PL"/>
              </w:rPr>
            </w:pPr>
            <w:r w:rsidRPr="00765C97">
              <w:rPr>
                <w:rFonts w:ascii="Arial" w:hAnsi="Arial" w:cs="Arial"/>
                <w:sz w:val="20"/>
                <w:szCs w:val="20"/>
                <w:lang w:val="pl-PL"/>
              </w:rPr>
              <w:t>Prezes Zarządu</w:t>
            </w:r>
          </w:p>
        </w:tc>
        <w:tc>
          <w:tcPr>
            <w:tcW w:w="2366"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b/>
                <w:sz w:val="20"/>
                <w:szCs w:val="20"/>
                <w:lang w:val="pl-PL"/>
              </w:rPr>
            </w:pPr>
          </w:p>
        </w:tc>
      </w:tr>
      <w:tr w:rsidR="00744CE6" w:rsidRPr="00765C97" w:rsidTr="00666931">
        <w:trPr>
          <w:trHeight w:val="567"/>
        </w:trPr>
        <w:tc>
          <w:tcPr>
            <w:tcW w:w="3069"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sz w:val="20"/>
                <w:szCs w:val="20"/>
                <w:lang w:val="pl-PL"/>
              </w:rPr>
            </w:pPr>
            <w:r w:rsidRPr="00765C97">
              <w:rPr>
                <w:rFonts w:ascii="Arial" w:hAnsi="Arial" w:cs="Arial"/>
                <w:sz w:val="20"/>
                <w:szCs w:val="20"/>
                <w:lang w:val="pl-PL"/>
              </w:rPr>
              <w:t>Piotr Piątosa</w:t>
            </w:r>
          </w:p>
        </w:tc>
        <w:tc>
          <w:tcPr>
            <w:tcW w:w="3070"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sz w:val="20"/>
                <w:szCs w:val="20"/>
                <w:lang w:val="pl-PL"/>
              </w:rPr>
            </w:pPr>
            <w:r w:rsidRPr="00765C97">
              <w:rPr>
                <w:rFonts w:ascii="Arial" w:hAnsi="Arial" w:cs="Arial"/>
                <w:sz w:val="20"/>
                <w:szCs w:val="20"/>
                <w:lang w:val="pl-PL"/>
              </w:rPr>
              <w:t>Wiceprezes Zarządu</w:t>
            </w:r>
          </w:p>
        </w:tc>
        <w:tc>
          <w:tcPr>
            <w:tcW w:w="2366"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b/>
                <w:sz w:val="20"/>
                <w:szCs w:val="20"/>
                <w:lang w:val="pl-PL"/>
              </w:rPr>
            </w:pPr>
          </w:p>
        </w:tc>
      </w:tr>
      <w:tr w:rsidR="00744CE6" w:rsidRPr="00765C97" w:rsidTr="00666931">
        <w:trPr>
          <w:trHeight w:val="567"/>
        </w:trPr>
        <w:tc>
          <w:tcPr>
            <w:tcW w:w="3069"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sz w:val="20"/>
                <w:szCs w:val="20"/>
                <w:lang w:val="pl-PL"/>
              </w:rPr>
            </w:pPr>
            <w:r w:rsidRPr="00765C97">
              <w:rPr>
                <w:rFonts w:ascii="Arial" w:hAnsi="Arial" w:cs="Arial"/>
                <w:sz w:val="20"/>
                <w:szCs w:val="20"/>
                <w:lang w:val="pl-PL"/>
              </w:rPr>
              <w:t>Paweł Prokop</w:t>
            </w:r>
          </w:p>
        </w:tc>
        <w:tc>
          <w:tcPr>
            <w:tcW w:w="3070"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sz w:val="20"/>
                <w:szCs w:val="20"/>
                <w:lang w:val="pl-PL"/>
              </w:rPr>
            </w:pPr>
            <w:r w:rsidRPr="00765C97">
              <w:rPr>
                <w:rFonts w:ascii="Arial" w:hAnsi="Arial" w:cs="Arial"/>
                <w:sz w:val="20"/>
                <w:szCs w:val="20"/>
                <w:lang w:val="pl-PL"/>
              </w:rPr>
              <w:t>Wiceprezes Zarządu</w:t>
            </w:r>
          </w:p>
        </w:tc>
        <w:tc>
          <w:tcPr>
            <w:tcW w:w="2366"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b/>
                <w:sz w:val="20"/>
                <w:szCs w:val="20"/>
                <w:lang w:val="pl-PL"/>
              </w:rPr>
            </w:pPr>
          </w:p>
        </w:tc>
      </w:tr>
      <w:tr w:rsidR="00744CE6" w:rsidRPr="00765C97" w:rsidTr="00666931">
        <w:trPr>
          <w:trHeight w:val="567"/>
        </w:trPr>
        <w:tc>
          <w:tcPr>
            <w:tcW w:w="3069"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sz w:val="20"/>
                <w:szCs w:val="20"/>
                <w:lang w:val="pl-PL"/>
              </w:rPr>
            </w:pPr>
            <w:r w:rsidRPr="00765C97">
              <w:rPr>
                <w:rFonts w:ascii="Arial" w:hAnsi="Arial" w:cs="Arial"/>
                <w:sz w:val="20"/>
                <w:szCs w:val="20"/>
                <w:lang w:val="pl-PL"/>
              </w:rPr>
              <w:t>Piotr Reichert</w:t>
            </w:r>
          </w:p>
        </w:tc>
        <w:tc>
          <w:tcPr>
            <w:tcW w:w="3070"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sz w:val="20"/>
                <w:szCs w:val="20"/>
                <w:lang w:val="pl-PL"/>
              </w:rPr>
            </w:pPr>
            <w:r w:rsidRPr="00765C97">
              <w:rPr>
                <w:rFonts w:ascii="Arial" w:hAnsi="Arial" w:cs="Arial"/>
                <w:sz w:val="20"/>
                <w:szCs w:val="20"/>
                <w:lang w:val="pl-PL"/>
              </w:rPr>
              <w:t>Wiceprezes Zarządu</w:t>
            </w:r>
          </w:p>
        </w:tc>
        <w:tc>
          <w:tcPr>
            <w:tcW w:w="2366"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b/>
                <w:sz w:val="20"/>
                <w:szCs w:val="20"/>
                <w:lang w:val="pl-PL"/>
              </w:rPr>
            </w:pPr>
          </w:p>
        </w:tc>
      </w:tr>
      <w:tr w:rsidR="00744CE6" w:rsidRPr="00765C97" w:rsidTr="00666931">
        <w:trPr>
          <w:trHeight w:val="567"/>
        </w:trPr>
        <w:tc>
          <w:tcPr>
            <w:tcW w:w="3069"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sz w:val="20"/>
                <w:szCs w:val="20"/>
                <w:lang w:val="pl-PL"/>
              </w:rPr>
            </w:pPr>
            <w:r w:rsidRPr="00765C97">
              <w:rPr>
                <w:rFonts w:ascii="Arial" w:hAnsi="Arial" w:cs="Arial"/>
                <w:sz w:val="20"/>
                <w:szCs w:val="20"/>
                <w:lang w:val="pl-PL"/>
              </w:rPr>
              <w:t>Zbigniew Rymarczyk</w:t>
            </w:r>
          </w:p>
        </w:tc>
        <w:tc>
          <w:tcPr>
            <w:tcW w:w="3070"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sz w:val="20"/>
                <w:szCs w:val="20"/>
                <w:lang w:val="pl-PL"/>
              </w:rPr>
            </w:pPr>
            <w:r w:rsidRPr="00765C97">
              <w:rPr>
                <w:rFonts w:ascii="Arial" w:hAnsi="Arial" w:cs="Arial"/>
                <w:sz w:val="20"/>
                <w:szCs w:val="20"/>
                <w:lang w:val="pl-PL"/>
              </w:rPr>
              <w:t>Wiceprezes Zarządu</w:t>
            </w:r>
          </w:p>
        </w:tc>
        <w:tc>
          <w:tcPr>
            <w:tcW w:w="2366"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b/>
                <w:sz w:val="20"/>
                <w:szCs w:val="20"/>
                <w:lang w:val="pl-PL"/>
              </w:rPr>
            </w:pPr>
          </w:p>
        </w:tc>
      </w:tr>
      <w:tr w:rsidR="00744CE6" w:rsidRPr="00765C97" w:rsidTr="00666931">
        <w:trPr>
          <w:trHeight w:val="567"/>
        </w:trPr>
        <w:tc>
          <w:tcPr>
            <w:tcW w:w="3069"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sz w:val="20"/>
                <w:szCs w:val="20"/>
                <w:lang w:val="pl-PL"/>
              </w:rPr>
            </w:pPr>
            <w:r w:rsidRPr="00765C97">
              <w:rPr>
                <w:rFonts w:ascii="Arial" w:hAnsi="Arial" w:cs="Arial"/>
                <w:sz w:val="20"/>
                <w:szCs w:val="20"/>
                <w:lang w:val="pl-PL"/>
              </w:rPr>
              <w:t>Konrad Tarański</w:t>
            </w:r>
          </w:p>
        </w:tc>
        <w:tc>
          <w:tcPr>
            <w:tcW w:w="3070"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sz w:val="20"/>
                <w:szCs w:val="20"/>
                <w:lang w:val="pl-PL"/>
              </w:rPr>
            </w:pPr>
            <w:r w:rsidRPr="00765C97">
              <w:rPr>
                <w:rFonts w:ascii="Arial" w:hAnsi="Arial" w:cs="Arial"/>
                <w:sz w:val="20"/>
                <w:szCs w:val="20"/>
                <w:lang w:val="pl-PL"/>
              </w:rPr>
              <w:t>Wiceprezes Zarządu</w:t>
            </w:r>
          </w:p>
        </w:tc>
        <w:tc>
          <w:tcPr>
            <w:tcW w:w="2366"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b/>
                <w:sz w:val="20"/>
                <w:szCs w:val="20"/>
                <w:lang w:val="pl-PL"/>
              </w:rPr>
            </w:pPr>
          </w:p>
          <w:p w:rsidR="00744CE6" w:rsidRPr="00765C97" w:rsidRDefault="00744CE6" w:rsidP="0018356D">
            <w:pPr>
              <w:rPr>
                <w:rFonts w:ascii="Arial" w:hAnsi="Arial" w:cs="Arial"/>
                <w:b/>
                <w:sz w:val="20"/>
                <w:szCs w:val="20"/>
                <w:lang w:val="pl-PL"/>
              </w:rPr>
            </w:pPr>
          </w:p>
        </w:tc>
      </w:tr>
      <w:tr w:rsidR="00744CE6" w:rsidRPr="00765C97" w:rsidTr="00666931">
        <w:trPr>
          <w:trHeight w:val="567"/>
        </w:trPr>
        <w:tc>
          <w:tcPr>
            <w:tcW w:w="3069"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sz w:val="20"/>
                <w:szCs w:val="20"/>
                <w:lang w:val="pl-PL"/>
              </w:rPr>
            </w:pPr>
            <w:r w:rsidRPr="00765C97">
              <w:rPr>
                <w:rFonts w:ascii="Arial" w:hAnsi="Arial" w:cs="Arial"/>
                <w:sz w:val="20"/>
                <w:szCs w:val="20"/>
                <w:lang w:val="pl-PL"/>
              </w:rPr>
              <w:t>Marcin Warwas</w:t>
            </w:r>
          </w:p>
        </w:tc>
        <w:tc>
          <w:tcPr>
            <w:tcW w:w="3070"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sz w:val="20"/>
                <w:szCs w:val="20"/>
                <w:lang w:val="pl-PL"/>
              </w:rPr>
            </w:pPr>
            <w:r w:rsidRPr="00765C97">
              <w:rPr>
                <w:rFonts w:ascii="Arial" w:hAnsi="Arial" w:cs="Arial"/>
                <w:sz w:val="20"/>
                <w:szCs w:val="20"/>
                <w:lang w:val="pl-PL"/>
              </w:rPr>
              <w:t>Wiceprezes Zarządu</w:t>
            </w:r>
          </w:p>
        </w:tc>
        <w:tc>
          <w:tcPr>
            <w:tcW w:w="2366"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b/>
                <w:sz w:val="20"/>
                <w:szCs w:val="20"/>
                <w:lang w:val="pl-PL"/>
              </w:rPr>
            </w:pPr>
          </w:p>
        </w:tc>
      </w:tr>
    </w:tbl>
    <w:p w:rsidR="00744CE6" w:rsidRPr="00765C97" w:rsidRDefault="00744CE6" w:rsidP="00744CE6">
      <w:pPr>
        <w:rPr>
          <w:rFonts w:ascii="Arial" w:hAnsi="Arial" w:cs="Arial"/>
          <w:sz w:val="20"/>
          <w:szCs w:val="20"/>
          <w:lang w:val="pl-PL"/>
        </w:rPr>
      </w:pPr>
    </w:p>
    <w:p w:rsidR="00744CE6" w:rsidRPr="00765C97" w:rsidRDefault="00744CE6" w:rsidP="00744CE6">
      <w:pPr>
        <w:rPr>
          <w:rFonts w:ascii="Arial" w:hAnsi="Arial" w:cs="Arial"/>
          <w:sz w:val="20"/>
          <w:szCs w:val="20"/>
          <w:lang w:val="pl-PL"/>
        </w:rPr>
      </w:pPr>
    </w:p>
    <w:p w:rsidR="00744CE6" w:rsidRPr="00765C97" w:rsidRDefault="00744CE6" w:rsidP="00666931">
      <w:pPr>
        <w:rPr>
          <w:rFonts w:ascii="Arial" w:hAnsi="Arial" w:cs="Arial"/>
          <w:sz w:val="20"/>
          <w:szCs w:val="20"/>
          <w:lang w:val="pl-PL"/>
        </w:rPr>
      </w:pPr>
      <w:r w:rsidRPr="00765C97">
        <w:rPr>
          <w:rFonts w:ascii="Arial" w:hAnsi="Arial" w:cs="Arial"/>
          <w:sz w:val="20"/>
          <w:szCs w:val="20"/>
          <w:lang w:val="pl-PL"/>
        </w:rPr>
        <w:t>PODPIS OSOBY, KTÓREJ POWIERZONO PROWADZENIE KSIĄG RACHUNKOWYCH</w:t>
      </w:r>
    </w:p>
    <w:p w:rsidR="00744CE6" w:rsidRPr="00765C97" w:rsidRDefault="00744CE6" w:rsidP="00744CE6">
      <w:pPr>
        <w:rPr>
          <w:rFonts w:ascii="Arial" w:hAnsi="Arial" w:cs="Arial"/>
          <w:sz w:val="20"/>
          <w:szCs w:val="20"/>
          <w:lang w:val="pl-PL"/>
        </w:rPr>
      </w:pPr>
      <w:r w:rsidRPr="00765C97">
        <w:rPr>
          <w:rFonts w:ascii="Arial" w:hAnsi="Arial" w:cs="Arial"/>
          <w:sz w:val="20"/>
          <w:szCs w:val="20"/>
          <w:lang w:val="pl-PL"/>
        </w:rPr>
        <w:t xml:space="preserve"> </w:t>
      </w:r>
    </w:p>
    <w:tbl>
      <w:tblPr>
        <w:tblW w:w="85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3069"/>
        <w:gridCol w:w="3070"/>
        <w:gridCol w:w="2366"/>
      </w:tblGrid>
      <w:tr w:rsidR="00744CE6" w:rsidRPr="00765C97" w:rsidTr="00666931">
        <w:trPr>
          <w:trHeight w:val="567"/>
        </w:trPr>
        <w:tc>
          <w:tcPr>
            <w:tcW w:w="3069"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b/>
                <w:sz w:val="20"/>
                <w:szCs w:val="20"/>
                <w:lang w:val="pl-PL"/>
              </w:rPr>
            </w:pPr>
            <w:r w:rsidRPr="00765C97">
              <w:rPr>
                <w:rFonts w:ascii="Arial" w:hAnsi="Arial" w:cs="Arial"/>
                <w:b/>
                <w:sz w:val="20"/>
                <w:szCs w:val="20"/>
                <w:lang w:val="pl-PL"/>
              </w:rPr>
              <w:t>IMIĘ I NAZWISKO</w:t>
            </w:r>
          </w:p>
        </w:tc>
        <w:tc>
          <w:tcPr>
            <w:tcW w:w="3070"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pStyle w:val="Tabela"/>
              <w:widowControl/>
              <w:spacing w:before="0"/>
              <w:jc w:val="left"/>
              <w:rPr>
                <w:rFonts w:ascii="Arial" w:hAnsi="Arial" w:cs="Arial"/>
                <w:b/>
                <w:sz w:val="20"/>
              </w:rPr>
            </w:pPr>
            <w:r w:rsidRPr="00765C97">
              <w:rPr>
                <w:rFonts w:ascii="Arial" w:hAnsi="Arial" w:cs="Arial"/>
                <w:b/>
                <w:sz w:val="20"/>
              </w:rPr>
              <w:t>STANOWISKO/FUNKCJA</w:t>
            </w:r>
          </w:p>
        </w:tc>
        <w:tc>
          <w:tcPr>
            <w:tcW w:w="2366"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sz w:val="20"/>
                <w:szCs w:val="20"/>
                <w:lang w:val="pl-PL"/>
              </w:rPr>
            </w:pPr>
            <w:r w:rsidRPr="00765C97">
              <w:rPr>
                <w:rFonts w:ascii="Arial" w:hAnsi="Arial" w:cs="Arial"/>
                <w:b/>
                <w:sz w:val="20"/>
                <w:szCs w:val="20"/>
                <w:lang w:val="pl-PL"/>
              </w:rPr>
              <w:t>PODPIS</w:t>
            </w:r>
          </w:p>
        </w:tc>
      </w:tr>
      <w:tr w:rsidR="00744CE6" w:rsidRPr="004F165B" w:rsidTr="00666931">
        <w:trPr>
          <w:trHeight w:val="567"/>
        </w:trPr>
        <w:tc>
          <w:tcPr>
            <w:tcW w:w="3069" w:type="dxa"/>
            <w:tcBorders>
              <w:top w:val="single" w:sz="2" w:space="0" w:color="auto"/>
              <w:left w:val="single" w:sz="2" w:space="0" w:color="auto"/>
              <w:bottom w:val="single" w:sz="2" w:space="0" w:color="auto"/>
              <w:right w:val="single" w:sz="2" w:space="0" w:color="auto"/>
            </w:tcBorders>
            <w:vAlign w:val="center"/>
          </w:tcPr>
          <w:p w:rsidR="00744CE6" w:rsidRPr="00765C97" w:rsidRDefault="00744CE6" w:rsidP="0018356D">
            <w:pPr>
              <w:rPr>
                <w:rFonts w:ascii="Arial" w:hAnsi="Arial" w:cs="Arial"/>
                <w:sz w:val="20"/>
                <w:szCs w:val="20"/>
                <w:lang w:val="pl-PL"/>
              </w:rPr>
            </w:pPr>
            <w:r w:rsidRPr="00765C97">
              <w:rPr>
                <w:rFonts w:ascii="Arial" w:hAnsi="Arial" w:cs="Arial"/>
                <w:sz w:val="20"/>
                <w:szCs w:val="20"/>
                <w:lang w:val="pl-PL"/>
              </w:rPr>
              <w:t>Maria Smolińska</w:t>
            </w:r>
          </w:p>
        </w:tc>
        <w:tc>
          <w:tcPr>
            <w:tcW w:w="3070" w:type="dxa"/>
            <w:tcBorders>
              <w:top w:val="single" w:sz="2" w:space="0" w:color="auto"/>
              <w:left w:val="single" w:sz="2" w:space="0" w:color="auto"/>
              <w:bottom w:val="single" w:sz="2" w:space="0" w:color="auto"/>
              <w:right w:val="single" w:sz="2" w:space="0" w:color="auto"/>
            </w:tcBorders>
            <w:vAlign w:val="center"/>
          </w:tcPr>
          <w:p w:rsidR="00744CE6" w:rsidRPr="004F165B" w:rsidRDefault="00744CE6" w:rsidP="0018356D">
            <w:pPr>
              <w:rPr>
                <w:rFonts w:ascii="Arial" w:hAnsi="Arial" w:cs="Arial"/>
                <w:sz w:val="20"/>
                <w:szCs w:val="20"/>
                <w:lang w:val="pl-PL"/>
              </w:rPr>
            </w:pPr>
            <w:r w:rsidRPr="00765C97">
              <w:rPr>
                <w:rFonts w:ascii="Arial" w:hAnsi="Arial" w:cs="Arial"/>
                <w:sz w:val="20"/>
                <w:szCs w:val="20"/>
                <w:lang w:val="pl-PL"/>
              </w:rPr>
              <w:t>Główny Księgowy</w:t>
            </w:r>
            <w:r w:rsidRPr="004F165B">
              <w:rPr>
                <w:rFonts w:ascii="Arial" w:hAnsi="Arial" w:cs="Arial"/>
                <w:sz w:val="20"/>
                <w:szCs w:val="20"/>
                <w:lang w:val="pl-PL"/>
              </w:rPr>
              <w:t xml:space="preserve"> </w:t>
            </w:r>
          </w:p>
        </w:tc>
        <w:tc>
          <w:tcPr>
            <w:tcW w:w="2366" w:type="dxa"/>
            <w:tcBorders>
              <w:top w:val="single" w:sz="2" w:space="0" w:color="auto"/>
              <w:left w:val="single" w:sz="2" w:space="0" w:color="auto"/>
              <w:bottom w:val="single" w:sz="2" w:space="0" w:color="auto"/>
              <w:right w:val="single" w:sz="2" w:space="0" w:color="auto"/>
            </w:tcBorders>
            <w:vAlign w:val="center"/>
          </w:tcPr>
          <w:p w:rsidR="00744CE6" w:rsidRPr="004F165B" w:rsidRDefault="00744CE6" w:rsidP="0018356D">
            <w:pPr>
              <w:rPr>
                <w:rFonts w:ascii="Arial" w:hAnsi="Arial" w:cs="Arial"/>
                <w:b/>
                <w:sz w:val="20"/>
                <w:szCs w:val="20"/>
                <w:lang w:val="pl-PL"/>
              </w:rPr>
            </w:pPr>
          </w:p>
        </w:tc>
      </w:tr>
    </w:tbl>
    <w:p w:rsidR="00744CE6" w:rsidRDefault="00744CE6">
      <w:pPr>
        <w:widowControl/>
        <w:adjustRightInd w:val="0"/>
        <w:ind w:left="180"/>
        <w:jc w:val="both"/>
        <w:rPr>
          <w:rFonts w:ascii="Arial" w:hAnsi="Arial"/>
          <w:sz w:val="20"/>
          <w:lang w:val="pl-PL" w:eastAsia="pl-PL"/>
        </w:rPr>
      </w:pPr>
    </w:p>
    <w:sectPr w:rsidR="00744CE6" w:rsidSect="004D4147">
      <w:pgSz w:w="11906" w:h="16838"/>
      <w:pgMar w:top="1418" w:right="2007" w:bottom="1077" w:left="1418"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80E" w:rsidRDefault="0095480E">
      <w:r>
        <w:separator/>
      </w:r>
    </w:p>
  </w:endnote>
  <w:endnote w:type="continuationSeparator" w:id="0">
    <w:p w:rsidR="0095480E" w:rsidRDefault="00954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EE" w:rsidRDefault="004D4147">
    <w:pPr>
      <w:pStyle w:val="Stopka"/>
      <w:framePr w:wrap="around" w:vAnchor="text" w:hAnchor="margin" w:xAlign="right" w:y="1"/>
      <w:rPr>
        <w:rStyle w:val="Numerstrony"/>
      </w:rPr>
    </w:pPr>
    <w:r>
      <w:rPr>
        <w:rStyle w:val="Numerstrony"/>
      </w:rPr>
      <w:fldChar w:fldCharType="begin"/>
    </w:r>
    <w:r w:rsidR="00D340EE">
      <w:rPr>
        <w:rStyle w:val="Numerstrony"/>
      </w:rPr>
      <w:instrText xml:space="preserve">PAGE  </w:instrText>
    </w:r>
    <w:r>
      <w:rPr>
        <w:rStyle w:val="Numerstrony"/>
      </w:rPr>
      <w:fldChar w:fldCharType="separate"/>
    </w:r>
    <w:r w:rsidR="00D340EE">
      <w:rPr>
        <w:rStyle w:val="Numerstrony"/>
        <w:noProof/>
      </w:rPr>
      <w:t>- 44 -</w:t>
    </w:r>
    <w:r>
      <w:rPr>
        <w:rStyle w:val="Numerstrony"/>
      </w:rPr>
      <w:fldChar w:fldCharType="end"/>
    </w:r>
  </w:p>
  <w:p w:rsidR="00D340EE" w:rsidRDefault="00D340E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EE" w:rsidRDefault="004D4147">
    <w:pPr>
      <w:pStyle w:val="Stopka"/>
      <w:framePr w:wrap="around" w:vAnchor="text" w:hAnchor="margin" w:xAlign="right" w:y="1"/>
      <w:rPr>
        <w:rStyle w:val="Numerstrony"/>
        <w:sz w:val="16"/>
      </w:rPr>
    </w:pPr>
    <w:r>
      <w:rPr>
        <w:rStyle w:val="Numerstrony"/>
        <w:sz w:val="16"/>
      </w:rPr>
      <w:fldChar w:fldCharType="begin"/>
    </w:r>
    <w:r w:rsidR="00D340EE">
      <w:rPr>
        <w:rStyle w:val="Numerstrony"/>
        <w:sz w:val="16"/>
      </w:rPr>
      <w:instrText xml:space="preserve">PAGE  </w:instrText>
    </w:r>
    <w:r>
      <w:rPr>
        <w:rStyle w:val="Numerstrony"/>
        <w:sz w:val="16"/>
      </w:rPr>
      <w:fldChar w:fldCharType="separate"/>
    </w:r>
    <w:r w:rsidR="00A60796">
      <w:rPr>
        <w:rStyle w:val="Numerstrony"/>
        <w:noProof/>
        <w:sz w:val="16"/>
      </w:rPr>
      <w:t>- 1 -</w:t>
    </w:r>
    <w:r>
      <w:rPr>
        <w:rStyle w:val="Numerstrony"/>
        <w:sz w:val="16"/>
      </w:rPr>
      <w:fldChar w:fldCharType="end"/>
    </w:r>
  </w:p>
  <w:p w:rsidR="00D340EE" w:rsidRDefault="00D340EE">
    <w:pPr>
      <w:pStyle w:val="Stopka"/>
      <w:ind w:right="360"/>
      <w:jc w:val="center"/>
      <w:rPr>
        <w:sz w:val="16"/>
        <w:lang w:val="pl-PL"/>
      </w:rPr>
    </w:pPr>
    <w:r>
      <w:rPr>
        <w:sz w:val="16"/>
        <w:lang w:val="pl-PL"/>
      </w:rPr>
      <w:t>Informacje dodatkowe i objaśnienia stanowią integralną część skonsolidowanego sprawozdania finansowego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80E" w:rsidRDefault="0095480E">
      <w:r>
        <w:separator/>
      </w:r>
    </w:p>
  </w:footnote>
  <w:footnote w:type="continuationSeparator" w:id="0">
    <w:p w:rsidR="0095480E" w:rsidRDefault="00954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EE" w:rsidRDefault="00D340EE">
    <w:pPr>
      <w:pStyle w:val="Nagwek"/>
      <w:jc w:val="center"/>
      <w:rPr>
        <w:sz w:val="18"/>
        <w:lang w:val="pl-PL"/>
      </w:rPr>
    </w:pPr>
    <w:r>
      <w:rPr>
        <w:sz w:val="18"/>
        <w:lang w:val="pl-PL"/>
      </w:rPr>
      <w:t xml:space="preserve">SKONSOLIDOWANE SPRAWOZDANIE FINANSOWE ZA ROK 2012 </w:t>
    </w:r>
    <w:r>
      <w:rPr>
        <w:sz w:val="18"/>
        <w:lang w:val="pl-PL"/>
      </w:rPr>
      <w:br/>
      <w:t xml:space="preserve"> GRUPY KAPITAŁOWEJ COMARCH</w:t>
    </w:r>
  </w:p>
  <w:p w:rsidR="00D340EE" w:rsidRDefault="00D340EE">
    <w:pPr>
      <w:pStyle w:val="Nagwek"/>
      <w:jc w:val="center"/>
      <w:rPr>
        <w:sz w:val="16"/>
        <w:lang w:val="pl-PL"/>
      </w:rPr>
    </w:pPr>
    <w:r>
      <w:rPr>
        <w:sz w:val="16"/>
        <w:lang w:val="pl-PL"/>
      </w:rPr>
      <w:t>Dane prezentowane są w tys. zł, chyba że wskazano inaczej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0477D"/>
    <w:multiLevelType w:val="multilevel"/>
    <w:tmpl w:val="698C94B8"/>
    <w:lvl w:ilvl="0">
      <w:start w:val="2"/>
      <w:numFmt w:val="decimal"/>
      <w:lvlText w:val="%1"/>
      <w:lvlJc w:val="left"/>
      <w:pPr>
        <w:ind w:left="360" w:hanging="360"/>
      </w:pPr>
      <w:rPr>
        <w:rFonts w:hint="default"/>
      </w:rPr>
    </w:lvl>
    <w:lvl w:ilvl="1">
      <w:start w:val="1"/>
      <w:numFmt w:val="decimal"/>
      <w:lvlText w:val="%1.%2"/>
      <w:lvlJc w:val="left"/>
      <w:pPr>
        <w:ind w:left="1108" w:hanging="360"/>
      </w:pPr>
      <w:rPr>
        <w:rFonts w:ascii="Arial" w:hAnsi="Arial" w:cs="Arial" w:hint="default"/>
      </w:rPr>
    </w:lvl>
    <w:lvl w:ilvl="2">
      <w:start w:val="1"/>
      <w:numFmt w:val="decimal"/>
      <w:lvlText w:val="3.33.%3."/>
      <w:lvlJc w:val="left"/>
      <w:pPr>
        <w:ind w:left="2216" w:hanging="720"/>
      </w:pPr>
      <w:rPr>
        <w:rFonts w:hint="default"/>
        <w:b/>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2">
    <w:nsid w:val="05037869"/>
    <w:multiLevelType w:val="multilevel"/>
    <w:tmpl w:val="E794C87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07FA4302"/>
    <w:multiLevelType w:val="hybridMultilevel"/>
    <w:tmpl w:val="404C2EA6"/>
    <w:lvl w:ilvl="0" w:tplc="584A738E">
      <w:start w:val="141"/>
      <w:numFmt w:val="bullet"/>
      <w:lvlText w:val="-"/>
      <w:lvlJc w:val="left"/>
      <w:pPr>
        <w:tabs>
          <w:tab w:val="num" w:pos="1730"/>
        </w:tabs>
        <w:ind w:left="1730" w:hanging="360"/>
      </w:pPr>
      <w:rPr>
        <w:rFonts w:ascii="Times New Roman" w:eastAsia="Times New Roman" w:hAnsi="Times New Roman" w:cs="Times New Roman" w:hint="default"/>
      </w:rPr>
    </w:lvl>
    <w:lvl w:ilvl="1" w:tplc="98B61912" w:tentative="1">
      <w:start w:val="1"/>
      <w:numFmt w:val="bullet"/>
      <w:lvlText w:val="o"/>
      <w:lvlJc w:val="left"/>
      <w:pPr>
        <w:tabs>
          <w:tab w:val="num" w:pos="2450"/>
        </w:tabs>
        <w:ind w:left="2450" w:hanging="360"/>
      </w:pPr>
      <w:rPr>
        <w:rFonts w:ascii="Courier New" w:hAnsi="Courier New" w:hint="default"/>
      </w:rPr>
    </w:lvl>
    <w:lvl w:ilvl="2" w:tplc="08587450" w:tentative="1">
      <w:start w:val="1"/>
      <w:numFmt w:val="bullet"/>
      <w:lvlText w:val=""/>
      <w:lvlJc w:val="left"/>
      <w:pPr>
        <w:tabs>
          <w:tab w:val="num" w:pos="3170"/>
        </w:tabs>
        <w:ind w:left="3170" w:hanging="360"/>
      </w:pPr>
      <w:rPr>
        <w:rFonts w:ascii="Wingdings" w:hAnsi="Wingdings" w:hint="default"/>
      </w:rPr>
    </w:lvl>
    <w:lvl w:ilvl="3" w:tplc="91C4A5D6" w:tentative="1">
      <w:start w:val="1"/>
      <w:numFmt w:val="bullet"/>
      <w:lvlText w:val=""/>
      <w:lvlJc w:val="left"/>
      <w:pPr>
        <w:tabs>
          <w:tab w:val="num" w:pos="3890"/>
        </w:tabs>
        <w:ind w:left="3890" w:hanging="360"/>
      </w:pPr>
      <w:rPr>
        <w:rFonts w:ascii="Symbol" w:hAnsi="Symbol" w:hint="default"/>
      </w:rPr>
    </w:lvl>
    <w:lvl w:ilvl="4" w:tplc="8A00AD02" w:tentative="1">
      <w:start w:val="1"/>
      <w:numFmt w:val="bullet"/>
      <w:lvlText w:val="o"/>
      <w:lvlJc w:val="left"/>
      <w:pPr>
        <w:tabs>
          <w:tab w:val="num" w:pos="4610"/>
        </w:tabs>
        <w:ind w:left="4610" w:hanging="360"/>
      </w:pPr>
      <w:rPr>
        <w:rFonts w:ascii="Courier New" w:hAnsi="Courier New" w:hint="default"/>
      </w:rPr>
    </w:lvl>
    <w:lvl w:ilvl="5" w:tplc="B6FEE666" w:tentative="1">
      <w:start w:val="1"/>
      <w:numFmt w:val="bullet"/>
      <w:lvlText w:val=""/>
      <w:lvlJc w:val="left"/>
      <w:pPr>
        <w:tabs>
          <w:tab w:val="num" w:pos="5330"/>
        </w:tabs>
        <w:ind w:left="5330" w:hanging="360"/>
      </w:pPr>
      <w:rPr>
        <w:rFonts w:ascii="Wingdings" w:hAnsi="Wingdings" w:hint="default"/>
      </w:rPr>
    </w:lvl>
    <w:lvl w:ilvl="6" w:tplc="54001C3A" w:tentative="1">
      <w:start w:val="1"/>
      <w:numFmt w:val="bullet"/>
      <w:lvlText w:val=""/>
      <w:lvlJc w:val="left"/>
      <w:pPr>
        <w:tabs>
          <w:tab w:val="num" w:pos="6050"/>
        </w:tabs>
        <w:ind w:left="6050" w:hanging="360"/>
      </w:pPr>
      <w:rPr>
        <w:rFonts w:ascii="Symbol" w:hAnsi="Symbol" w:hint="default"/>
      </w:rPr>
    </w:lvl>
    <w:lvl w:ilvl="7" w:tplc="494C3CF2" w:tentative="1">
      <w:start w:val="1"/>
      <w:numFmt w:val="bullet"/>
      <w:lvlText w:val="o"/>
      <w:lvlJc w:val="left"/>
      <w:pPr>
        <w:tabs>
          <w:tab w:val="num" w:pos="6770"/>
        </w:tabs>
        <w:ind w:left="6770" w:hanging="360"/>
      </w:pPr>
      <w:rPr>
        <w:rFonts w:ascii="Courier New" w:hAnsi="Courier New" w:hint="default"/>
      </w:rPr>
    </w:lvl>
    <w:lvl w:ilvl="8" w:tplc="61CC3600" w:tentative="1">
      <w:start w:val="1"/>
      <w:numFmt w:val="bullet"/>
      <w:lvlText w:val=""/>
      <w:lvlJc w:val="left"/>
      <w:pPr>
        <w:tabs>
          <w:tab w:val="num" w:pos="7490"/>
        </w:tabs>
        <w:ind w:left="7490" w:hanging="360"/>
      </w:pPr>
      <w:rPr>
        <w:rFonts w:ascii="Wingdings" w:hAnsi="Wingdings" w:hint="default"/>
      </w:rPr>
    </w:lvl>
  </w:abstractNum>
  <w:abstractNum w:abstractNumId="4">
    <w:nsid w:val="09F06B38"/>
    <w:multiLevelType w:val="hybridMultilevel"/>
    <w:tmpl w:val="754452F0"/>
    <w:lvl w:ilvl="0" w:tplc="4B3811DE">
      <w:start w:val="1"/>
      <w:numFmt w:val="bullet"/>
      <w:lvlText w:val=""/>
      <w:lvlJc w:val="left"/>
      <w:pPr>
        <w:tabs>
          <w:tab w:val="num" w:pos="2389"/>
        </w:tabs>
        <w:ind w:left="2389" w:hanging="360"/>
      </w:pPr>
      <w:rPr>
        <w:rFonts w:ascii="Symbol" w:hAnsi="Symbol" w:hint="default"/>
        <w:color w:val="auto"/>
      </w:rPr>
    </w:lvl>
    <w:lvl w:ilvl="1" w:tplc="B41C4E6C">
      <w:start w:val="1"/>
      <w:numFmt w:val="bullet"/>
      <w:lvlText w:val="o"/>
      <w:lvlJc w:val="left"/>
      <w:pPr>
        <w:tabs>
          <w:tab w:val="num" w:pos="1620"/>
        </w:tabs>
        <w:ind w:left="1620" w:hanging="360"/>
      </w:pPr>
      <w:rPr>
        <w:rFonts w:ascii="Courier New" w:hAnsi="Courier New" w:hint="default"/>
      </w:rPr>
    </w:lvl>
    <w:lvl w:ilvl="2" w:tplc="1DF465DE" w:tentative="1">
      <w:start w:val="1"/>
      <w:numFmt w:val="bullet"/>
      <w:lvlText w:val=""/>
      <w:lvlJc w:val="left"/>
      <w:pPr>
        <w:tabs>
          <w:tab w:val="num" w:pos="2340"/>
        </w:tabs>
        <w:ind w:left="2340" w:hanging="360"/>
      </w:pPr>
      <w:rPr>
        <w:rFonts w:ascii="Wingdings" w:hAnsi="Wingdings" w:hint="default"/>
      </w:rPr>
    </w:lvl>
    <w:lvl w:ilvl="3" w:tplc="6560AD88" w:tentative="1">
      <w:start w:val="1"/>
      <w:numFmt w:val="bullet"/>
      <w:lvlText w:val=""/>
      <w:lvlJc w:val="left"/>
      <w:pPr>
        <w:tabs>
          <w:tab w:val="num" w:pos="3060"/>
        </w:tabs>
        <w:ind w:left="3060" w:hanging="360"/>
      </w:pPr>
      <w:rPr>
        <w:rFonts w:ascii="Symbol" w:hAnsi="Symbol" w:hint="default"/>
      </w:rPr>
    </w:lvl>
    <w:lvl w:ilvl="4" w:tplc="C194DB72" w:tentative="1">
      <w:start w:val="1"/>
      <w:numFmt w:val="bullet"/>
      <w:lvlText w:val="o"/>
      <w:lvlJc w:val="left"/>
      <w:pPr>
        <w:tabs>
          <w:tab w:val="num" w:pos="3780"/>
        </w:tabs>
        <w:ind w:left="3780" w:hanging="360"/>
      </w:pPr>
      <w:rPr>
        <w:rFonts w:ascii="Courier New" w:hAnsi="Courier New" w:hint="default"/>
      </w:rPr>
    </w:lvl>
    <w:lvl w:ilvl="5" w:tplc="3E00F0A8" w:tentative="1">
      <w:start w:val="1"/>
      <w:numFmt w:val="bullet"/>
      <w:lvlText w:val=""/>
      <w:lvlJc w:val="left"/>
      <w:pPr>
        <w:tabs>
          <w:tab w:val="num" w:pos="4500"/>
        </w:tabs>
        <w:ind w:left="4500" w:hanging="360"/>
      </w:pPr>
      <w:rPr>
        <w:rFonts w:ascii="Wingdings" w:hAnsi="Wingdings" w:hint="default"/>
      </w:rPr>
    </w:lvl>
    <w:lvl w:ilvl="6" w:tplc="17FC9624" w:tentative="1">
      <w:start w:val="1"/>
      <w:numFmt w:val="bullet"/>
      <w:lvlText w:val=""/>
      <w:lvlJc w:val="left"/>
      <w:pPr>
        <w:tabs>
          <w:tab w:val="num" w:pos="5220"/>
        </w:tabs>
        <w:ind w:left="5220" w:hanging="360"/>
      </w:pPr>
      <w:rPr>
        <w:rFonts w:ascii="Symbol" w:hAnsi="Symbol" w:hint="default"/>
      </w:rPr>
    </w:lvl>
    <w:lvl w:ilvl="7" w:tplc="765E76CA" w:tentative="1">
      <w:start w:val="1"/>
      <w:numFmt w:val="bullet"/>
      <w:lvlText w:val="o"/>
      <w:lvlJc w:val="left"/>
      <w:pPr>
        <w:tabs>
          <w:tab w:val="num" w:pos="5940"/>
        </w:tabs>
        <w:ind w:left="5940" w:hanging="360"/>
      </w:pPr>
      <w:rPr>
        <w:rFonts w:ascii="Courier New" w:hAnsi="Courier New" w:hint="default"/>
      </w:rPr>
    </w:lvl>
    <w:lvl w:ilvl="8" w:tplc="C0946E18" w:tentative="1">
      <w:start w:val="1"/>
      <w:numFmt w:val="bullet"/>
      <w:lvlText w:val=""/>
      <w:lvlJc w:val="left"/>
      <w:pPr>
        <w:tabs>
          <w:tab w:val="num" w:pos="6660"/>
        </w:tabs>
        <w:ind w:left="6660" w:hanging="360"/>
      </w:pPr>
      <w:rPr>
        <w:rFonts w:ascii="Wingdings" w:hAnsi="Wingdings" w:hint="default"/>
      </w:rPr>
    </w:lvl>
  </w:abstractNum>
  <w:abstractNum w:abstractNumId="5">
    <w:nsid w:val="0B7D6949"/>
    <w:multiLevelType w:val="hybridMultilevel"/>
    <w:tmpl w:val="A04E3796"/>
    <w:lvl w:ilvl="0" w:tplc="72FEFB2E">
      <w:start w:val="1"/>
      <w:numFmt w:val="bullet"/>
      <w:lvlText w:val=""/>
      <w:lvlJc w:val="left"/>
      <w:pPr>
        <w:ind w:left="360" w:hanging="360"/>
      </w:pPr>
      <w:rPr>
        <w:rFonts w:ascii="Wingdings" w:hAnsi="Wingdings" w:hint="default"/>
      </w:rPr>
    </w:lvl>
    <w:lvl w:ilvl="1" w:tplc="E10E8D18" w:tentative="1">
      <w:start w:val="1"/>
      <w:numFmt w:val="bullet"/>
      <w:lvlText w:val="o"/>
      <w:lvlJc w:val="left"/>
      <w:pPr>
        <w:ind w:left="1080" w:hanging="360"/>
      </w:pPr>
      <w:rPr>
        <w:rFonts w:ascii="Courier New" w:hAnsi="Courier New" w:cs="Courier New" w:hint="default"/>
      </w:rPr>
    </w:lvl>
    <w:lvl w:ilvl="2" w:tplc="6192AE00" w:tentative="1">
      <w:start w:val="1"/>
      <w:numFmt w:val="bullet"/>
      <w:lvlText w:val=""/>
      <w:lvlJc w:val="left"/>
      <w:pPr>
        <w:ind w:left="1800" w:hanging="360"/>
      </w:pPr>
      <w:rPr>
        <w:rFonts w:ascii="Wingdings" w:hAnsi="Wingdings" w:hint="default"/>
      </w:rPr>
    </w:lvl>
    <w:lvl w:ilvl="3" w:tplc="D436C49C" w:tentative="1">
      <w:start w:val="1"/>
      <w:numFmt w:val="bullet"/>
      <w:lvlText w:val=""/>
      <w:lvlJc w:val="left"/>
      <w:pPr>
        <w:ind w:left="2520" w:hanging="360"/>
      </w:pPr>
      <w:rPr>
        <w:rFonts w:ascii="Symbol" w:hAnsi="Symbol" w:hint="default"/>
      </w:rPr>
    </w:lvl>
    <w:lvl w:ilvl="4" w:tplc="24203B5E" w:tentative="1">
      <w:start w:val="1"/>
      <w:numFmt w:val="bullet"/>
      <w:lvlText w:val="o"/>
      <w:lvlJc w:val="left"/>
      <w:pPr>
        <w:ind w:left="3240" w:hanging="360"/>
      </w:pPr>
      <w:rPr>
        <w:rFonts w:ascii="Courier New" w:hAnsi="Courier New" w:cs="Courier New" w:hint="default"/>
      </w:rPr>
    </w:lvl>
    <w:lvl w:ilvl="5" w:tplc="0C649392" w:tentative="1">
      <w:start w:val="1"/>
      <w:numFmt w:val="bullet"/>
      <w:lvlText w:val=""/>
      <w:lvlJc w:val="left"/>
      <w:pPr>
        <w:ind w:left="3960" w:hanging="360"/>
      </w:pPr>
      <w:rPr>
        <w:rFonts w:ascii="Wingdings" w:hAnsi="Wingdings" w:hint="default"/>
      </w:rPr>
    </w:lvl>
    <w:lvl w:ilvl="6" w:tplc="F5CC1CEC" w:tentative="1">
      <w:start w:val="1"/>
      <w:numFmt w:val="bullet"/>
      <w:lvlText w:val=""/>
      <w:lvlJc w:val="left"/>
      <w:pPr>
        <w:ind w:left="4680" w:hanging="360"/>
      </w:pPr>
      <w:rPr>
        <w:rFonts w:ascii="Symbol" w:hAnsi="Symbol" w:hint="default"/>
      </w:rPr>
    </w:lvl>
    <w:lvl w:ilvl="7" w:tplc="DD663DCE" w:tentative="1">
      <w:start w:val="1"/>
      <w:numFmt w:val="bullet"/>
      <w:lvlText w:val="o"/>
      <w:lvlJc w:val="left"/>
      <w:pPr>
        <w:ind w:left="5400" w:hanging="360"/>
      </w:pPr>
      <w:rPr>
        <w:rFonts w:ascii="Courier New" w:hAnsi="Courier New" w:cs="Courier New" w:hint="default"/>
      </w:rPr>
    </w:lvl>
    <w:lvl w:ilvl="8" w:tplc="54F46DD0" w:tentative="1">
      <w:start w:val="1"/>
      <w:numFmt w:val="bullet"/>
      <w:lvlText w:val=""/>
      <w:lvlJc w:val="left"/>
      <w:pPr>
        <w:ind w:left="6120" w:hanging="360"/>
      </w:pPr>
      <w:rPr>
        <w:rFonts w:ascii="Wingdings" w:hAnsi="Wingdings" w:hint="default"/>
      </w:rPr>
    </w:lvl>
  </w:abstractNum>
  <w:abstractNum w:abstractNumId="6">
    <w:nsid w:val="17177C22"/>
    <w:multiLevelType w:val="hybridMultilevel"/>
    <w:tmpl w:val="DEE23AB6"/>
    <w:lvl w:ilvl="0" w:tplc="B3681E96">
      <w:start w:val="1"/>
      <w:numFmt w:val="bullet"/>
      <w:lvlText w:val=""/>
      <w:lvlJc w:val="left"/>
      <w:pPr>
        <w:tabs>
          <w:tab w:val="num" w:pos="1199"/>
        </w:tabs>
        <w:ind w:left="1199" w:hanging="360"/>
      </w:pPr>
      <w:rPr>
        <w:rFonts w:ascii="Symbol" w:hAnsi="Symbol" w:hint="default"/>
        <w:color w:val="auto"/>
      </w:rPr>
    </w:lvl>
    <w:lvl w:ilvl="1" w:tplc="D8749578" w:tentative="1">
      <w:start w:val="1"/>
      <w:numFmt w:val="bullet"/>
      <w:lvlText w:val="o"/>
      <w:lvlJc w:val="left"/>
      <w:pPr>
        <w:tabs>
          <w:tab w:val="num" w:pos="1620"/>
        </w:tabs>
        <w:ind w:left="1620" w:hanging="360"/>
      </w:pPr>
      <w:rPr>
        <w:rFonts w:ascii="Courier New" w:hAnsi="Courier New" w:hint="default"/>
      </w:rPr>
    </w:lvl>
    <w:lvl w:ilvl="2" w:tplc="80BE9CC2" w:tentative="1">
      <w:start w:val="1"/>
      <w:numFmt w:val="bullet"/>
      <w:lvlText w:val=""/>
      <w:lvlJc w:val="left"/>
      <w:pPr>
        <w:tabs>
          <w:tab w:val="num" w:pos="2340"/>
        </w:tabs>
        <w:ind w:left="2340" w:hanging="360"/>
      </w:pPr>
      <w:rPr>
        <w:rFonts w:ascii="Wingdings" w:hAnsi="Wingdings" w:hint="default"/>
      </w:rPr>
    </w:lvl>
    <w:lvl w:ilvl="3" w:tplc="381A9FC6" w:tentative="1">
      <w:start w:val="1"/>
      <w:numFmt w:val="bullet"/>
      <w:lvlText w:val=""/>
      <w:lvlJc w:val="left"/>
      <w:pPr>
        <w:tabs>
          <w:tab w:val="num" w:pos="3060"/>
        </w:tabs>
        <w:ind w:left="3060" w:hanging="360"/>
      </w:pPr>
      <w:rPr>
        <w:rFonts w:ascii="Symbol" w:hAnsi="Symbol" w:hint="default"/>
      </w:rPr>
    </w:lvl>
    <w:lvl w:ilvl="4" w:tplc="0BDC5860" w:tentative="1">
      <w:start w:val="1"/>
      <w:numFmt w:val="bullet"/>
      <w:lvlText w:val="o"/>
      <w:lvlJc w:val="left"/>
      <w:pPr>
        <w:tabs>
          <w:tab w:val="num" w:pos="3780"/>
        </w:tabs>
        <w:ind w:left="3780" w:hanging="360"/>
      </w:pPr>
      <w:rPr>
        <w:rFonts w:ascii="Courier New" w:hAnsi="Courier New" w:hint="default"/>
      </w:rPr>
    </w:lvl>
    <w:lvl w:ilvl="5" w:tplc="F78EB5E6" w:tentative="1">
      <w:start w:val="1"/>
      <w:numFmt w:val="bullet"/>
      <w:lvlText w:val=""/>
      <w:lvlJc w:val="left"/>
      <w:pPr>
        <w:tabs>
          <w:tab w:val="num" w:pos="4500"/>
        </w:tabs>
        <w:ind w:left="4500" w:hanging="360"/>
      </w:pPr>
      <w:rPr>
        <w:rFonts w:ascii="Wingdings" w:hAnsi="Wingdings" w:hint="default"/>
      </w:rPr>
    </w:lvl>
    <w:lvl w:ilvl="6" w:tplc="E0023BF0" w:tentative="1">
      <w:start w:val="1"/>
      <w:numFmt w:val="bullet"/>
      <w:lvlText w:val=""/>
      <w:lvlJc w:val="left"/>
      <w:pPr>
        <w:tabs>
          <w:tab w:val="num" w:pos="5220"/>
        </w:tabs>
        <w:ind w:left="5220" w:hanging="360"/>
      </w:pPr>
      <w:rPr>
        <w:rFonts w:ascii="Symbol" w:hAnsi="Symbol" w:hint="default"/>
      </w:rPr>
    </w:lvl>
    <w:lvl w:ilvl="7" w:tplc="CD8E3DD8" w:tentative="1">
      <w:start w:val="1"/>
      <w:numFmt w:val="bullet"/>
      <w:lvlText w:val="o"/>
      <w:lvlJc w:val="left"/>
      <w:pPr>
        <w:tabs>
          <w:tab w:val="num" w:pos="5940"/>
        </w:tabs>
        <w:ind w:left="5940" w:hanging="360"/>
      </w:pPr>
      <w:rPr>
        <w:rFonts w:ascii="Courier New" w:hAnsi="Courier New" w:hint="default"/>
      </w:rPr>
    </w:lvl>
    <w:lvl w:ilvl="8" w:tplc="01847572" w:tentative="1">
      <w:start w:val="1"/>
      <w:numFmt w:val="bullet"/>
      <w:lvlText w:val=""/>
      <w:lvlJc w:val="left"/>
      <w:pPr>
        <w:tabs>
          <w:tab w:val="num" w:pos="6660"/>
        </w:tabs>
        <w:ind w:left="6660" w:hanging="360"/>
      </w:pPr>
      <w:rPr>
        <w:rFonts w:ascii="Wingdings" w:hAnsi="Wingdings" w:hint="default"/>
      </w:rPr>
    </w:lvl>
  </w:abstractNum>
  <w:abstractNum w:abstractNumId="7">
    <w:nsid w:val="2557248C"/>
    <w:multiLevelType w:val="hybridMultilevel"/>
    <w:tmpl w:val="486EFA1C"/>
    <w:lvl w:ilvl="0" w:tplc="FFFFFFFF">
      <w:start w:val="1"/>
      <w:numFmt w:val="upperRoman"/>
      <w:pStyle w:val="Legenda"/>
      <w:lvlText w:val="%1."/>
      <w:lvlJc w:val="left"/>
      <w:pPr>
        <w:tabs>
          <w:tab w:val="num" w:pos="927"/>
        </w:tabs>
        <w:ind w:left="927" w:hanging="567"/>
      </w:pPr>
      <w:rPr>
        <w:rFonts w:ascii="Arial" w:hAnsi="Arial" w:cs="Times New Roman"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10002B4"/>
    <w:multiLevelType w:val="hybridMultilevel"/>
    <w:tmpl w:val="D460FEAA"/>
    <w:lvl w:ilvl="0" w:tplc="7292E9B2">
      <w:start w:val="1"/>
      <w:numFmt w:val="bullet"/>
      <w:lvlText w:val=""/>
      <w:lvlJc w:val="left"/>
      <w:pPr>
        <w:tabs>
          <w:tab w:val="num" w:pos="1199"/>
        </w:tabs>
        <w:ind w:left="1199" w:hanging="360"/>
      </w:pPr>
      <w:rPr>
        <w:rFonts w:ascii="Symbol" w:hAnsi="Symbol" w:hint="default"/>
        <w:color w:val="auto"/>
      </w:rPr>
    </w:lvl>
    <w:lvl w:ilvl="1" w:tplc="12EEACAE">
      <w:start w:val="1"/>
      <w:numFmt w:val="bullet"/>
      <w:lvlText w:val=""/>
      <w:lvlJc w:val="left"/>
      <w:pPr>
        <w:tabs>
          <w:tab w:val="num" w:pos="1620"/>
        </w:tabs>
        <w:ind w:left="1620" w:hanging="360"/>
      </w:pPr>
      <w:rPr>
        <w:rFonts w:ascii="Symbol" w:hAnsi="Symbol" w:hint="default"/>
        <w:color w:val="auto"/>
      </w:rPr>
    </w:lvl>
    <w:lvl w:ilvl="2" w:tplc="362CB6EE" w:tentative="1">
      <w:start w:val="1"/>
      <w:numFmt w:val="bullet"/>
      <w:lvlText w:val=""/>
      <w:lvlJc w:val="left"/>
      <w:pPr>
        <w:tabs>
          <w:tab w:val="num" w:pos="2340"/>
        </w:tabs>
        <w:ind w:left="2340" w:hanging="360"/>
      </w:pPr>
      <w:rPr>
        <w:rFonts w:ascii="Wingdings" w:hAnsi="Wingdings" w:hint="default"/>
      </w:rPr>
    </w:lvl>
    <w:lvl w:ilvl="3" w:tplc="3DEAB558" w:tentative="1">
      <w:start w:val="1"/>
      <w:numFmt w:val="bullet"/>
      <w:lvlText w:val=""/>
      <w:lvlJc w:val="left"/>
      <w:pPr>
        <w:tabs>
          <w:tab w:val="num" w:pos="3060"/>
        </w:tabs>
        <w:ind w:left="3060" w:hanging="360"/>
      </w:pPr>
      <w:rPr>
        <w:rFonts w:ascii="Symbol" w:hAnsi="Symbol" w:hint="default"/>
      </w:rPr>
    </w:lvl>
    <w:lvl w:ilvl="4" w:tplc="8D6E3AD2" w:tentative="1">
      <w:start w:val="1"/>
      <w:numFmt w:val="bullet"/>
      <w:lvlText w:val="o"/>
      <w:lvlJc w:val="left"/>
      <w:pPr>
        <w:tabs>
          <w:tab w:val="num" w:pos="3780"/>
        </w:tabs>
        <w:ind w:left="3780" w:hanging="360"/>
      </w:pPr>
      <w:rPr>
        <w:rFonts w:ascii="Courier New" w:hAnsi="Courier New" w:hint="default"/>
      </w:rPr>
    </w:lvl>
    <w:lvl w:ilvl="5" w:tplc="0980D268" w:tentative="1">
      <w:start w:val="1"/>
      <w:numFmt w:val="bullet"/>
      <w:lvlText w:val=""/>
      <w:lvlJc w:val="left"/>
      <w:pPr>
        <w:tabs>
          <w:tab w:val="num" w:pos="4500"/>
        </w:tabs>
        <w:ind w:left="4500" w:hanging="360"/>
      </w:pPr>
      <w:rPr>
        <w:rFonts w:ascii="Wingdings" w:hAnsi="Wingdings" w:hint="default"/>
      </w:rPr>
    </w:lvl>
    <w:lvl w:ilvl="6" w:tplc="98BCD770" w:tentative="1">
      <w:start w:val="1"/>
      <w:numFmt w:val="bullet"/>
      <w:lvlText w:val=""/>
      <w:lvlJc w:val="left"/>
      <w:pPr>
        <w:tabs>
          <w:tab w:val="num" w:pos="5220"/>
        </w:tabs>
        <w:ind w:left="5220" w:hanging="360"/>
      </w:pPr>
      <w:rPr>
        <w:rFonts w:ascii="Symbol" w:hAnsi="Symbol" w:hint="default"/>
      </w:rPr>
    </w:lvl>
    <w:lvl w:ilvl="7" w:tplc="737A9D2A" w:tentative="1">
      <w:start w:val="1"/>
      <w:numFmt w:val="bullet"/>
      <w:lvlText w:val="o"/>
      <w:lvlJc w:val="left"/>
      <w:pPr>
        <w:tabs>
          <w:tab w:val="num" w:pos="5940"/>
        </w:tabs>
        <w:ind w:left="5940" w:hanging="360"/>
      </w:pPr>
      <w:rPr>
        <w:rFonts w:ascii="Courier New" w:hAnsi="Courier New" w:hint="default"/>
      </w:rPr>
    </w:lvl>
    <w:lvl w:ilvl="8" w:tplc="042A2C8C" w:tentative="1">
      <w:start w:val="1"/>
      <w:numFmt w:val="bullet"/>
      <w:lvlText w:val=""/>
      <w:lvlJc w:val="left"/>
      <w:pPr>
        <w:tabs>
          <w:tab w:val="num" w:pos="6660"/>
        </w:tabs>
        <w:ind w:left="6660" w:hanging="360"/>
      </w:pPr>
      <w:rPr>
        <w:rFonts w:ascii="Wingdings" w:hAnsi="Wingdings" w:hint="default"/>
      </w:rPr>
    </w:lvl>
  </w:abstractNum>
  <w:abstractNum w:abstractNumId="9">
    <w:nsid w:val="31A3733F"/>
    <w:multiLevelType w:val="multilevel"/>
    <w:tmpl w:val="42E839FC"/>
    <w:lvl w:ilvl="0">
      <w:start w:val="1"/>
      <w:numFmt w:val="upperRoman"/>
      <w:pStyle w:val="Nagwek1"/>
      <w:lvlText w:val="%1."/>
      <w:lvlJc w:val="left"/>
      <w:pPr>
        <w:tabs>
          <w:tab w:val="num" w:pos="360"/>
        </w:tabs>
        <w:ind w:left="0" w:firstLine="0"/>
      </w:pPr>
      <w:rPr>
        <w:rFonts w:hint="default"/>
        <w:b/>
        <w:i w:val="0"/>
        <w:caps w:val="0"/>
        <w:smallCaps w:val="0"/>
        <w:strike w:val="0"/>
        <w:color w:val="000000"/>
        <w:spacing w:val="16"/>
        <w:sz w:val="24"/>
        <w:u w:val="none"/>
        <w:em w:val="none"/>
      </w:rPr>
    </w:lvl>
    <w:lvl w:ilvl="1">
      <w:start w:val="1"/>
      <w:numFmt w:val="decimal"/>
      <w:lvlText w:val="%2."/>
      <w:lvlJc w:val="left"/>
      <w:pPr>
        <w:tabs>
          <w:tab w:val="num" w:pos="1287"/>
        </w:tabs>
        <w:ind w:left="1287" w:hanging="567"/>
      </w:pPr>
      <w:rPr>
        <w:rFonts w:hint="default"/>
        <w:b/>
        <w:i w:val="0"/>
        <w:caps w:val="0"/>
        <w:smallCaps w:val="0"/>
        <w:strike w:val="0"/>
        <w:color w:val="000000"/>
        <w:spacing w:val="16"/>
        <w:kern w:val="32"/>
        <w:position w:val="0"/>
        <w:sz w:val="24"/>
        <w:u w:val="none"/>
        <w:em w:val="none"/>
      </w:rPr>
    </w:lvl>
    <w:lvl w:ilvl="2">
      <w:start w:val="1"/>
      <w:numFmt w:val="decimal"/>
      <w:pStyle w:val="Nagwek3"/>
      <w:lvlText w:val="%3."/>
      <w:lvlJc w:val="left"/>
      <w:pPr>
        <w:tabs>
          <w:tab w:val="num" w:pos="1800"/>
        </w:tabs>
        <w:ind w:left="1440" w:firstLine="0"/>
      </w:pPr>
      <w:rPr>
        <w:rFonts w:hint="default"/>
        <w:i w:val="0"/>
      </w:rPr>
    </w:lvl>
    <w:lvl w:ilvl="3">
      <w:start w:val="1"/>
      <w:numFmt w:val="lowerLetter"/>
      <w:pStyle w:val="Nagwek4"/>
      <w:lvlText w:val="%4)"/>
      <w:lvlJc w:val="left"/>
      <w:pPr>
        <w:tabs>
          <w:tab w:val="num" w:pos="720"/>
        </w:tabs>
        <w:ind w:left="360" w:firstLine="0"/>
      </w:pPr>
      <w:rPr>
        <w:rFonts w:hint="default"/>
      </w:rPr>
    </w:lvl>
    <w:lvl w:ilvl="4">
      <w:start w:val="1"/>
      <w:numFmt w:val="decimal"/>
      <w:pStyle w:val="Nagwek5"/>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10">
    <w:nsid w:val="320D6CE6"/>
    <w:multiLevelType w:val="hybridMultilevel"/>
    <w:tmpl w:val="C1464A3C"/>
    <w:lvl w:ilvl="0" w:tplc="1A4E7DC0">
      <w:start w:val="1"/>
      <w:numFmt w:val="bullet"/>
      <w:lvlText w:val=""/>
      <w:lvlJc w:val="left"/>
      <w:pPr>
        <w:tabs>
          <w:tab w:val="num" w:pos="2389"/>
        </w:tabs>
        <w:ind w:left="2389" w:hanging="360"/>
      </w:pPr>
      <w:rPr>
        <w:rFonts w:ascii="Symbol" w:hAnsi="Symbol" w:hint="default"/>
        <w:color w:val="auto"/>
      </w:rPr>
    </w:lvl>
    <w:lvl w:ilvl="1" w:tplc="A4F2564E">
      <w:start w:val="1"/>
      <w:numFmt w:val="bullet"/>
      <w:lvlText w:val="o"/>
      <w:lvlJc w:val="left"/>
      <w:pPr>
        <w:tabs>
          <w:tab w:val="num" w:pos="1620"/>
        </w:tabs>
        <w:ind w:left="1620" w:hanging="360"/>
      </w:pPr>
      <w:rPr>
        <w:rFonts w:ascii="Courier New" w:hAnsi="Courier New" w:hint="default"/>
      </w:rPr>
    </w:lvl>
    <w:lvl w:ilvl="2" w:tplc="7E46B960" w:tentative="1">
      <w:start w:val="1"/>
      <w:numFmt w:val="bullet"/>
      <w:lvlText w:val=""/>
      <w:lvlJc w:val="left"/>
      <w:pPr>
        <w:tabs>
          <w:tab w:val="num" w:pos="2340"/>
        </w:tabs>
        <w:ind w:left="2340" w:hanging="360"/>
      </w:pPr>
      <w:rPr>
        <w:rFonts w:ascii="Wingdings" w:hAnsi="Wingdings" w:hint="default"/>
      </w:rPr>
    </w:lvl>
    <w:lvl w:ilvl="3" w:tplc="175A479A" w:tentative="1">
      <w:start w:val="1"/>
      <w:numFmt w:val="bullet"/>
      <w:lvlText w:val=""/>
      <w:lvlJc w:val="left"/>
      <w:pPr>
        <w:tabs>
          <w:tab w:val="num" w:pos="3060"/>
        </w:tabs>
        <w:ind w:left="3060" w:hanging="360"/>
      </w:pPr>
      <w:rPr>
        <w:rFonts w:ascii="Symbol" w:hAnsi="Symbol" w:hint="default"/>
      </w:rPr>
    </w:lvl>
    <w:lvl w:ilvl="4" w:tplc="3C84ED62" w:tentative="1">
      <w:start w:val="1"/>
      <w:numFmt w:val="bullet"/>
      <w:lvlText w:val="o"/>
      <w:lvlJc w:val="left"/>
      <w:pPr>
        <w:tabs>
          <w:tab w:val="num" w:pos="3780"/>
        </w:tabs>
        <w:ind w:left="3780" w:hanging="360"/>
      </w:pPr>
      <w:rPr>
        <w:rFonts w:ascii="Courier New" w:hAnsi="Courier New" w:hint="default"/>
      </w:rPr>
    </w:lvl>
    <w:lvl w:ilvl="5" w:tplc="78A84B30" w:tentative="1">
      <w:start w:val="1"/>
      <w:numFmt w:val="bullet"/>
      <w:lvlText w:val=""/>
      <w:lvlJc w:val="left"/>
      <w:pPr>
        <w:tabs>
          <w:tab w:val="num" w:pos="4500"/>
        </w:tabs>
        <w:ind w:left="4500" w:hanging="360"/>
      </w:pPr>
      <w:rPr>
        <w:rFonts w:ascii="Wingdings" w:hAnsi="Wingdings" w:hint="default"/>
      </w:rPr>
    </w:lvl>
    <w:lvl w:ilvl="6" w:tplc="0860C518" w:tentative="1">
      <w:start w:val="1"/>
      <w:numFmt w:val="bullet"/>
      <w:lvlText w:val=""/>
      <w:lvlJc w:val="left"/>
      <w:pPr>
        <w:tabs>
          <w:tab w:val="num" w:pos="5220"/>
        </w:tabs>
        <w:ind w:left="5220" w:hanging="360"/>
      </w:pPr>
      <w:rPr>
        <w:rFonts w:ascii="Symbol" w:hAnsi="Symbol" w:hint="default"/>
      </w:rPr>
    </w:lvl>
    <w:lvl w:ilvl="7" w:tplc="9E6E51B0" w:tentative="1">
      <w:start w:val="1"/>
      <w:numFmt w:val="bullet"/>
      <w:lvlText w:val="o"/>
      <w:lvlJc w:val="left"/>
      <w:pPr>
        <w:tabs>
          <w:tab w:val="num" w:pos="5940"/>
        </w:tabs>
        <w:ind w:left="5940" w:hanging="360"/>
      </w:pPr>
      <w:rPr>
        <w:rFonts w:ascii="Courier New" w:hAnsi="Courier New" w:hint="default"/>
      </w:rPr>
    </w:lvl>
    <w:lvl w:ilvl="8" w:tplc="67EC30DA" w:tentative="1">
      <w:start w:val="1"/>
      <w:numFmt w:val="bullet"/>
      <w:lvlText w:val=""/>
      <w:lvlJc w:val="left"/>
      <w:pPr>
        <w:tabs>
          <w:tab w:val="num" w:pos="6660"/>
        </w:tabs>
        <w:ind w:left="6660" w:hanging="360"/>
      </w:pPr>
      <w:rPr>
        <w:rFonts w:ascii="Wingdings" w:hAnsi="Wingdings" w:hint="default"/>
      </w:rPr>
    </w:lvl>
  </w:abstractNum>
  <w:abstractNum w:abstractNumId="11">
    <w:nsid w:val="3310384C"/>
    <w:multiLevelType w:val="multilevel"/>
    <w:tmpl w:val="7F649460"/>
    <w:lvl w:ilvl="0">
      <w:start w:val="2"/>
      <w:numFmt w:val="decimal"/>
      <w:lvlText w:val="%1"/>
      <w:lvlJc w:val="left"/>
      <w:pPr>
        <w:ind w:left="360" w:hanging="360"/>
      </w:pPr>
      <w:rPr>
        <w:rFonts w:hint="default"/>
      </w:rPr>
    </w:lvl>
    <w:lvl w:ilvl="1">
      <w:start w:val="1"/>
      <w:numFmt w:val="decimal"/>
      <w:lvlText w:val="%1.%2"/>
      <w:lvlJc w:val="left"/>
      <w:pPr>
        <w:ind w:left="1108" w:hanging="360"/>
      </w:pPr>
      <w:rPr>
        <w:rFonts w:ascii="Arial" w:hAnsi="Arial" w:cs="Arial" w:hint="default"/>
      </w:rPr>
    </w:lvl>
    <w:lvl w:ilvl="2">
      <w:start w:val="1"/>
      <w:numFmt w:val="decimal"/>
      <w:lvlText w:val="3.18.%3."/>
      <w:lvlJc w:val="left"/>
      <w:pPr>
        <w:ind w:left="2216" w:hanging="720"/>
      </w:pPr>
      <w:rPr>
        <w:rFonts w:ascii="Arial" w:hAnsi="Arial" w:cs="Arial" w:hint="default"/>
        <w:b/>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2">
    <w:nsid w:val="36CC7D12"/>
    <w:multiLevelType w:val="hybridMultilevel"/>
    <w:tmpl w:val="BD6C816C"/>
    <w:lvl w:ilvl="0" w:tplc="739C9500">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3">
    <w:nsid w:val="4A903538"/>
    <w:multiLevelType w:val="multilevel"/>
    <w:tmpl w:val="F782D4BC"/>
    <w:lvl w:ilvl="0">
      <w:start w:val="2"/>
      <w:numFmt w:val="decimal"/>
      <w:lvlText w:val="%1"/>
      <w:lvlJc w:val="left"/>
      <w:pPr>
        <w:ind w:left="360" w:hanging="360"/>
      </w:pPr>
      <w:rPr>
        <w:rFonts w:hint="default"/>
      </w:rPr>
    </w:lvl>
    <w:lvl w:ilvl="1">
      <w:start w:val="1"/>
      <w:numFmt w:val="decimal"/>
      <w:lvlText w:val="%1.%2"/>
      <w:lvlJc w:val="left"/>
      <w:pPr>
        <w:ind w:left="1108" w:hanging="360"/>
      </w:pPr>
      <w:rPr>
        <w:rFonts w:ascii="Arial" w:hAnsi="Arial" w:cs="Arial" w:hint="default"/>
      </w:rPr>
    </w:lvl>
    <w:lvl w:ilvl="2">
      <w:start w:val="1"/>
      <w:numFmt w:val="decimal"/>
      <w:lvlText w:val="3.34.%3."/>
      <w:lvlJc w:val="left"/>
      <w:pPr>
        <w:ind w:left="2216" w:hanging="720"/>
      </w:pPr>
      <w:rPr>
        <w:rFonts w:hint="default"/>
        <w:b/>
        <w:color w:val="auto"/>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4">
    <w:nsid w:val="4C995D8F"/>
    <w:multiLevelType w:val="hybridMultilevel"/>
    <w:tmpl w:val="5DEA5C1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F314FA9"/>
    <w:multiLevelType w:val="multilevel"/>
    <w:tmpl w:val="710C5194"/>
    <w:lvl w:ilvl="0">
      <w:start w:val="2"/>
      <w:numFmt w:val="decimal"/>
      <w:lvlText w:val="%1"/>
      <w:lvlJc w:val="left"/>
      <w:pPr>
        <w:ind w:left="360" w:hanging="360"/>
      </w:pPr>
      <w:rPr>
        <w:rFonts w:hint="default"/>
      </w:rPr>
    </w:lvl>
    <w:lvl w:ilvl="1">
      <w:start w:val="1"/>
      <w:numFmt w:val="decimal"/>
      <w:lvlText w:val="%1.%2"/>
      <w:lvlJc w:val="left"/>
      <w:pPr>
        <w:ind w:left="1108" w:hanging="360"/>
      </w:pPr>
      <w:rPr>
        <w:rFonts w:ascii="Arial" w:hAnsi="Arial" w:cs="Arial" w:hint="default"/>
      </w:rPr>
    </w:lvl>
    <w:lvl w:ilvl="2">
      <w:start w:val="1"/>
      <w:numFmt w:val="decimal"/>
      <w:lvlText w:val="3.14.%3."/>
      <w:lvlJc w:val="left"/>
      <w:pPr>
        <w:ind w:left="2216" w:hanging="720"/>
      </w:pPr>
      <w:rPr>
        <w:rFonts w:hint="default"/>
        <w:b/>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nsid w:val="50AC2F26"/>
    <w:multiLevelType w:val="multilevel"/>
    <w:tmpl w:val="B7724852"/>
    <w:lvl w:ilvl="0">
      <w:start w:val="2"/>
      <w:numFmt w:val="decimal"/>
      <w:lvlText w:val="%1"/>
      <w:lvlJc w:val="left"/>
      <w:pPr>
        <w:ind w:left="360" w:hanging="360"/>
      </w:pPr>
      <w:rPr>
        <w:rFonts w:hint="default"/>
      </w:rPr>
    </w:lvl>
    <w:lvl w:ilvl="1">
      <w:start w:val="1"/>
      <w:numFmt w:val="decimal"/>
      <w:lvlText w:val="%1.%2"/>
      <w:lvlJc w:val="left"/>
      <w:pPr>
        <w:ind w:left="1108" w:hanging="360"/>
      </w:pPr>
      <w:rPr>
        <w:rFonts w:ascii="Arial" w:hAnsi="Arial" w:cs="Arial" w:hint="default"/>
      </w:rPr>
    </w:lvl>
    <w:lvl w:ilvl="2">
      <w:start w:val="1"/>
      <w:numFmt w:val="decimal"/>
      <w:lvlText w:val="3.15.%3."/>
      <w:lvlJc w:val="left"/>
      <w:pPr>
        <w:ind w:left="2216" w:hanging="720"/>
      </w:pPr>
      <w:rPr>
        <w:rFonts w:hint="default"/>
        <w:b/>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7">
    <w:nsid w:val="544B77F5"/>
    <w:multiLevelType w:val="multilevel"/>
    <w:tmpl w:val="93523DC2"/>
    <w:lvl w:ilvl="0">
      <w:start w:val="2"/>
      <w:numFmt w:val="decimal"/>
      <w:lvlText w:val="%1"/>
      <w:lvlJc w:val="left"/>
      <w:pPr>
        <w:ind w:left="360" w:hanging="360"/>
      </w:pPr>
      <w:rPr>
        <w:rFonts w:hint="default"/>
      </w:rPr>
    </w:lvl>
    <w:lvl w:ilvl="1">
      <w:start w:val="1"/>
      <w:numFmt w:val="decimal"/>
      <w:lvlText w:val="%1.%2"/>
      <w:lvlJc w:val="left"/>
      <w:pPr>
        <w:ind w:left="1108" w:hanging="360"/>
      </w:pPr>
      <w:rPr>
        <w:rFonts w:ascii="Arial" w:hAnsi="Arial" w:cs="Arial" w:hint="default"/>
      </w:rPr>
    </w:lvl>
    <w:lvl w:ilvl="2">
      <w:start w:val="1"/>
      <w:numFmt w:val="decimal"/>
      <w:lvlText w:val="3.30.%3."/>
      <w:lvlJc w:val="left"/>
      <w:pPr>
        <w:ind w:left="2216" w:hanging="720"/>
      </w:pPr>
      <w:rPr>
        <w:rFonts w:hint="default"/>
        <w:b/>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8">
    <w:nsid w:val="55636D9D"/>
    <w:multiLevelType w:val="multilevel"/>
    <w:tmpl w:val="B7667692"/>
    <w:lvl w:ilvl="0">
      <w:start w:val="2"/>
      <w:numFmt w:val="decimal"/>
      <w:lvlText w:val="%1"/>
      <w:lvlJc w:val="left"/>
      <w:pPr>
        <w:ind w:left="360" w:hanging="360"/>
      </w:pPr>
      <w:rPr>
        <w:rFonts w:hint="default"/>
      </w:rPr>
    </w:lvl>
    <w:lvl w:ilvl="1">
      <w:start w:val="1"/>
      <w:numFmt w:val="decimal"/>
      <w:lvlText w:val="%1.%2"/>
      <w:lvlJc w:val="left"/>
      <w:pPr>
        <w:ind w:left="1108" w:hanging="360"/>
      </w:pPr>
      <w:rPr>
        <w:rFonts w:ascii="Arial" w:hAnsi="Arial" w:cs="Arial" w:hint="default"/>
      </w:rPr>
    </w:lvl>
    <w:lvl w:ilvl="2">
      <w:start w:val="1"/>
      <w:numFmt w:val="decimal"/>
      <w:lvlText w:val="3.32.%3."/>
      <w:lvlJc w:val="left"/>
      <w:pPr>
        <w:ind w:left="1571" w:hanging="720"/>
      </w:pPr>
      <w:rPr>
        <w:rFonts w:hint="default"/>
        <w:b/>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9">
    <w:nsid w:val="5C7B12AE"/>
    <w:multiLevelType w:val="hybridMultilevel"/>
    <w:tmpl w:val="B4CEF1DE"/>
    <w:lvl w:ilvl="0" w:tplc="55AAC632">
      <w:start w:val="1"/>
      <w:numFmt w:val="bullet"/>
      <w:lvlText w:val=""/>
      <w:lvlJc w:val="left"/>
      <w:pPr>
        <w:tabs>
          <w:tab w:val="num" w:pos="2389"/>
        </w:tabs>
        <w:ind w:left="2389" w:hanging="360"/>
      </w:pPr>
      <w:rPr>
        <w:rFonts w:ascii="Symbol" w:hAnsi="Symbol" w:hint="default"/>
        <w:color w:val="auto"/>
      </w:rPr>
    </w:lvl>
    <w:lvl w:ilvl="1" w:tplc="EB2CB1A0" w:tentative="1">
      <w:start w:val="1"/>
      <w:numFmt w:val="bullet"/>
      <w:lvlText w:val="o"/>
      <w:lvlJc w:val="left"/>
      <w:pPr>
        <w:tabs>
          <w:tab w:val="num" w:pos="2810"/>
        </w:tabs>
        <w:ind w:left="2810" w:hanging="360"/>
      </w:pPr>
      <w:rPr>
        <w:rFonts w:ascii="Courier New" w:hAnsi="Courier New" w:hint="default"/>
      </w:rPr>
    </w:lvl>
    <w:lvl w:ilvl="2" w:tplc="C1BAA0DA" w:tentative="1">
      <w:start w:val="1"/>
      <w:numFmt w:val="bullet"/>
      <w:lvlText w:val=""/>
      <w:lvlJc w:val="left"/>
      <w:pPr>
        <w:tabs>
          <w:tab w:val="num" w:pos="3530"/>
        </w:tabs>
        <w:ind w:left="3530" w:hanging="360"/>
      </w:pPr>
      <w:rPr>
        <w:rFonts w:ascii="Wingdings" w:hAnsi="Wingdings" w:hint="default"/>
      </w:rPr>
    </w:lvl>
    <w:lvl w:ilvl="3" w:tplc="7C9A8FBE" w:tentative="1">
      <w:start w:val="1"/>
      <w:numFmt w:val="bullet"/>
      <w:lvlText w:val=""/>
      <w:lvlJc w:val="left"/>
      <w:pPr>
        <w:tabs>
          <w:tab w:val="num" w:pos="4250"/>
        </w:tabs>
        <w:ind w:left="4250" w:hanging="360"/>
      </w:pPr>
      <w:rPr>
        <w:rFonts w:ascii="Symbol" w:hAnsi="Symbol" w:hint="default"/>
      </w:rPr>
    </w:lvl>
    <w:lvl w:ilvl="4" w:tplc="D65AD766" w:tentative="1">
      <w:start w:val="1"/>
      <w:numFmt w:val="bullet"/>
      <w:lvlText w:val="o"/>
      <w:lvlJc w:val="left"/>
      <w:pPr>
        <w:tabs>
          <w:tab w:val="num" w:pos="4970"/>
        </w:tabs>
        <w:ind w:left="4970" w:hanging="360"/>
      </w:pPr>
      <w:rPr>
        <w:rFonts w:ascii="Courier New" w:hAnsi="Courier New" w:hint="default"/>
      </w:rPr>
    </w:lvl>
    <w:lvl w:ilvl="5" w:tplc="0F3A88D6" w:tentative="1">
      <w:start w:val="1"/>
      <w:numFmt w:val="bullet"/>
      <w:lvlText w:val=""/>
      <w:lvlJc w:val="left"/>
      <w:pPr>
        <w:tabs>
          <w:tab w:val="num" w:pos="5690"/>
        </w:tabs>
        <w:ind w:left="5690" w:hanging="360"/>
      </w:pPr>
      <w:rPr>
        <w:rFonts w:ascii="Wingdings" w:hAnsi="Wingdings" w:hint="default"/>
      </w:rPr>
    </w:lvl>
    <w:lvl w:ilvl="6" w:tplc="24B83260" w:tentative="1">
      <w:start w:val="1"/>
      <w:numFmt w:val="bullet"/>
      <w:lvlText w:val=""/>
      <w:lvlJc w:val="left"/>
      <w:pPr>
        <w:tabs>
          <w:tab w:val="num" w:pos="6410"/>
        </w:tabs>
        <w:ind w:left="6410" w:hanging="360"/>
      </w:pPr>
      <w:rPr>
        <w:rFonts w:ascii="Symbol" w:hAnsi="Symbol" w:hint="default"/>
      </w:rPr>
    </w:lvl>
    <w:lvl w:ilvl="7" w:tplc="0A06E514" w:tentative="1">
      <w:start w:val="1"/>
      <w:numFmt w:val="bullet"/>
      <w:lvlText w:val="o"/>
      <w:lvlJc w:val="left"/>
      <w:pPr>
        <w:tabs>
          <w:tab w:val="num" w:pos="7130"/>
        </w:tabs>
        <w:ind w:left="7130" w:hanging="360"/>
      </w:pPr>
      <w:rPr>
        <w:rFonts w:ascii="Courier New" w:hAnsi="Courier New" w:hint="default"/>
      </w:rPr>
    </w:lvl>
    <w:lvl w:ilvl="8" w:tplc="D2D0EF36" w:tentative="1">
      <w:start w:val="1"/>
      <w:numFmt w:val="bullet"/>
      <w:lvlText w:val=""/>
      <w:lvlJc w:val="left"/>
      <w:pPr>
        <w:tabs>
          <w:tab w:val="num" w:pos="7850"/>
        </w:tabs>
        <w:ind w:left="7850" w:hanging="360"/>
      </w:pPr>
      <w:rPr>
        <w:rFonts w:ascii="Wingdings" w:hAnsi="Wingdings" w:hint="default"/>
      </w:rPr>
    </w:lvl>
  </w:abstractNum>
  <w:abstractNum w:abstractNumId="20">
    <w:nsid w:val="5EF06BA0"/>
    <w:multiLevelType w:val="hybridMultilevel"/>
    <w:tmpl w:val="9584510A"/>
    <w:lvl w:ilvl="0" w:tplc="558A0C58">
      <w:start w:val="1"/>
      <w:numFmt w:val="bullet"/>
      <w:lvlText w:val=""/>
      <w:lvlJc w:val="left"/>
      <w:pPr>
        <w:ind w:left="360" w:hanging="360"/>
      </w:pPr>
      <w:rPr>
        <w:rFonts w:ascii="Symbol" w:hAnsi="Symbol" w:hint="default"/>
        <w:b w:val="0"/>
        <w:color w:val="auto"/>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9D1D05"/>
    <w:multiLevelType w:val="multilevel"/>
    <w:tmpl w:val="1F905EB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nsid w:val="6C8907F1"/>
    <w:multiLevelType w:val="hybridMultilevel"/>
    <w:tmpl w:val="DFA202EC"/>
    <w:lvl w:ilvl="0" w:tplc="819A5FF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3">
    <w:nsid w:val="728C4545"/>
    <w:multiLevelType w:val="hybridMultilevel"/>
    <w:tmpl w:val="3FF64662"/>
    <w:lvl w:ilvl="0" w:tplc="D054E652">
      <w:start w:val="1"/>
      <w:numFmt w:val="bullet"/>
      <w:lvlText w:val=""/>
      <w:lvlJc w:val="left"/>
      <w:pPr>
        <w:ind w:left="360" w:hanging="360"/>
      </w:pPr>
      <w:rPr>
        <w:rFonts w:ascii="Wingdings" w:hAnsi="Wingdings" w:hint="default"/>
      </w:rPr>
    </w:lvl>
    <w:lvl w:ilvl="1" w:tplc="6F1A9766" w:tentative="1">
      <w:start w:val="1"/>
      <w:numFmt w:val="bullet"/>
      <w:lvlText w:val="o"/>
      <w:lvlJc w:val="left"/>
      <w:pPr>
        <w:ind w:left="1080" w:hanging="360"/>
      </w:pPr>
      <w:rPr>
        <w:rFonts w:ascii="Courier New" w:hAnsi="Courier New" w:cs="Courier New" w:hint="default"/>
      </w:rPr>
    </w:lvl>
    <w:lvl w:ilvl="2" w:tplc="BACA6A44" w:tentative="1">
      <w:start w:val="1"/>
      <w:numFmt w:val="bullet"/>
      <w:lvlText w:val=""/>
      <w:lvlJc w:val="left"/>
      <w:pPr>
        <w:ind w:left="1800" w:hanging="360"/>
      </w:pPr>
      <w:rPr>
        <w:rFonts w:ascii="Wingdings" w:hAnsi="Wingdings" w:hint="default"/>
      </w:rPr>
    </w:lvl>
    <w:lvl w:ilvl="3" w:tplc="4DA66976" w:tentative="1">
      <w:start w:val="1"/>
      <w:numFmt w:val="bullet"/>
      <w:lvlText w:val=""/>
      <w:lvlJc w:val="left"/>
      <w:pPr>
        <w:ind w:left="2520" w:hanging="360"/>
      </w:pPr>
      <w:rPr>
        <w:rFonts w:ascii="Symbol" w:hAnsi="Symbol" w:hint="default"/>
      </w:rPr>
    </w:lvl>
    <w:lvl w:ilvl="4" w:tplc="4872CC74" w:tentative="1">
      <w:start w:val="1"/>
      <w:numFmt w:val="bullet"/>
      <w:lvlText w:val="o"/>
      <w:lvlJc w:val="left"/>
      <w:pPr>
        <w:ind w:left="3240" w:hanging="360"/>
      </w:pPr>
      <w:rPr>
        <w:rFonts w:ascii="Courier New" w:hAnsi="Courier New" w:cs="Courier New" w:hint="default"/>
      </w:rPr>
    </w:lvl>
    <w:lvl w:ilvl="5" w:tplc="FD508E58" w:tentative="1">
      <w:start w:val="1"/>
      <w:numFmt w:val="bullet"/>
      <w:lvlText w:val=""/>
      <w:lvlJc w:val="left"/>
      <w:pPr>
        <w:ind w:left="3960" w:hanging="360"/>
      </w:pPr>
      <w:rPr>
        <w:rFonts w:ascii="Wingdings" w:hAnsi="Wingdings" w:hint="default"/>
      </w:rPr>
    </w:lvl>
    <w:lvl w:ilvl="6" w:tplc="30A0EDA6" w:tentative="1">
      <w:start w:val="1"/>
      <w:numFmt w:val="bullet"/>
      <w:lvlText w:val=""/>
      <w:lvlJc w:val="left"/>
      <w:pPr>
        <w:ind w:left="4680" w:hanging="360"/>
      </w:pPr>
      <w:rPr>
        <w:rFonts w:ascii="Symbol" w:hAnsi="Symbol" w:hint="default"/>
      </w:rPr>
    </w:lvl>
    <w:lvl w:ilvl="7" w:tplc="AA32DEC0" w:tentative="1">
      <w:start w:val="1"/>
      <w:numFmt w:val="bullet"/>
      <w:lvlText w:val="o"/>
      <w:lvlJc w:val="left"/>
      <w:pPr>
        <w:ind w:left="5400" w:hanging="360"/>
      </w:pPr>
      <w:rPr>
        <w:rFonts w:ascii="Courier New" w:hAnsi="Courier New" w:cs="Courier New" w:hint="default"/>
      </w:rPr>
    </w:lvl>
    <w:lvl w:ilvl="8" w:tplc="F1F6F4CC" w:tentative="1">
      <w:start w:val="1"/>
      <w:numFmt w:val="bullet"/>
      <w:lvlText w:val=""/>
      <w:lvlJc w:val="left"/>
      <w:pPr>
        <w:ind w:left="6120" w:hanging="360"/>
      </w:pPr>
      <w:rPr>
        <w:rFonts w:ascii="Wingdings" w:hAnsi="Wingdings" w:hint="default"/>
      </w:rPr>
    </w:lvl>
  </w:abstractNum>
  <w:abstractNum w:abstractNumId="24">
    <w:nsid w:val="733D3567"/>
    <w:multiLevelType w:val="multilevel"/>
    <w:tmpl w:val="1B3C4ACE"/>
    <w:lvl w:ilvl="0">
      <w:start w:val="2"/>
      <w:numFmt w:val="decimal"/>
      <w:lvlText w:val="%1"/>
      <w:lvlJc w:val="left"/>
      <w:pPr>
        <w:ind w:left="360" w:hanging="360"/>
      </w:pPr>
      <w:rPr>
        <w:rFonts w:hint="default"/>
      </w:rPr>
    </w:lvl>
    <w:lvl w:ilvl="1">
      <w:start w:val="1"/>
      <w:numFmt w:val="decimal"/>
      <w:lvlText w:val="%1.%2"/>
      <w:lvlJc w:val="left"/>
      <w:pPr>
        <w:ind w:left="1108" w:hanging="360"/>
      </w:pPr>
      <w:rPr>
        <w:rFonts w:ascii="Arial" w:hAnsi="Arial" w:cs="Arial" w:hint="default"/>
      </w:rPr>
    </w:lvl>
    <w:lvl w:ilvl="2">
      <w:start w:val="1"/>
      <w:numFmt w:val="decimal"/>
      <w:lvlText w:val="%1.%2.%3"/>
      <w:lvlJc w:val="left"/>
      <w:pPr>
        <w:ind w:left="1004"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25">
    <w:nsid w:val="742575C1"/>
    <w:multiLevelType w:val="hybridMultilevel"/>
    <w:tmpl w:val="2F900E66"/>
    <w:lvl w:ilvl="0" w:tplc="C08C30CA">
      <w:start w:val="1"/>
      <w:numFmt w:val="bullet"/>
      <w:lvlText w:val=""/>
      <w:lvlJc w:val="left"/>
      <w:pPr>
        <w:ind w:left="360" w:hanging="360"/>
      </w:pPr>
      <w:rPr>
        <w:rFonts w:ascii="Wingdings" w:hAnsi="Wingdings" w:hint="default"/>
      </w:rPr>
    </w:lvl>
    <w:lvl w:ilvl="1" w:tplc="00B802BE" w:tentative="1">
      <w:start w:val="1"/>
      <w:numFmt w:val="bullet"/>
      <w:lvlText w:val="o"/>
      <w:lvlJc w:val="left"/>
      <w:pPr>
        <w:ind w:left="1080" w:hanging="360"/>
      </w:pPr>
      <w:rPr>
        <w:rFonts w:ascii="Courier New" w:hAnsi="Courier New" w:cs="Courier New" w:hint="default"/>
      </w:rPr>
    </w:lvl>
    <w:lvl w:ilvl="2" w:tplc="9D789C46" w:tentative="1">
      <w:start w:val="1"/>
      <w:numFmt w:val="bullet"/>
      <w:lvlText w:val=""/>
      <w:lvlJc w:val="left"/>
      <w:pPr>
        <w:ind w:left="1800" w:hanging="360"/>
      </w:pPr>
      <w:rPr>
        <w:rFonts w:ascii="Wingdings" w:hAnsi="Wingdings" w:hint="default"/>
      </w:rPr>
    </w:lvl>
    <w:lvl w:ilvl="3" w:tplc="93B86A7E" w:tentative="1">
      <w:start w:val="1"/>
      <w:numFmt w:val="bullet"/>
      <w:lvlText w:val=""/>
      <w:lvlJc w:val="left"/>
      <w:pPr>
        <w:ind w:left="2520" w:hanging="360"/>
      </w:pPr>
      <w:rPr>
        <w:rFonts w:ascii="Symbol" w:hAnsi="Symbol" w:hint="default"/>
      </w:rPr>
    </w:lvl>
    <w:lvl w:ilvl="4" w:tplc="D51AC33E" w:tentative="1">
      <w:start w:val="1"/>
      <w:numFmt w:val="bullet"/>
      <w:lvlText w:val="o"/>
      <w:lvlJc w:val="left"/>
      <w:pPr>
        <w:ind w:left="3240" w:hanging="360"/>
      </w:pPr>
      <w:rPr>
        <w:rFonts w:ascii="Courier New" w:hAnsi="Courier New" w:cs="Courier New" w:hint="default"/>
      </w:rPr>
    </w:lvl>
    <w:lvl w:ilvl="5" w:tplc="AE14C28A" w:tentative="1">
      <w:start w:val="1"/>
      <w:numFmt w:val="bullet"/>
      <w:lvlText w:val=""/>
      <w:lvlJc w:val="left"/>
      <w:pPr>
        <w:ind w:left="3960" w:hanging="360"/>
      </w:pPr>
      <w:rPr>
        <w:rFonts w:ascii="Wingdings" w:hAnsi="Wingdings" w:hint="default"/>
      </w:rPr>
    </w:lvl>
    <w:lvl w:ilvl="6" w:tplc="CA9A0D6C" w:tentative="1">
      <w:start w:val="1"/>
      <w:numFmt w:val="bullet"/>
      <w:lvlText w:val=""/>
      <w:lvlJc w:val="left"/>
      <w:pPr>
        <w:ind w:left="4680" w:hanging="360"/>
      </w:pPr>
      <w:rPr>
        <w:rFonts w:ascii="Symbol" w:hAnsi="Symbol" w:hint="default"/>
      </w:rPr>
    </w:lvl>
    <w:lvl w:ilvl="7" w:tplc="45F2AAF0" w:tentative="1">
      <w:start w:val="1"/>
      <w:numFmt w:val="bullet"/>
      <w:lvlText w:val="o"/>
      <w:lvlJc w:val="left"/>
      <w:pPr>
        <w:ind w:left="5400" w:hanging="360"/>
      </w:pPr>
      <w:rPr>
        <w:rFonts w:ascii="Courier New" w:hAnsi="Courier New" w:cs="Courier New" w:hint="default"/>
      </w:rPr>
    </w:lvl>
    <w:lvl w:ilvl="8" w:tplc="4D26FA90" w:tentative="1">
      <w:start w:val="1"/>
      <w:numFmt w:val="bullet"/>
      <w:lvlText w:val=""/>
      <w:lvlJc w:val="left"/>
      <w:pPr>
        <w:ind w:left="6120" w:hanging="360"/>
      </w:pPr>
      <w:rPr>
        <w:rFonts w:ascii="Wingdings" w:hAnsi="Wingdings" w:hint="default"/>
      </w:rPr>
    </w:lvl>
  </w:abstractNum>
  <w:abstractNum w:abstractNumId="26">
    <w:nsid w:val="743E4C5B"/>
    <w:multiLevelType w:val="hybridMultilevel"/>
    <w:tmpl w:val="01624D24"/>
    <w:lvl w:ilvl="0" w:tplc="1B527172">
      <w:start w:val="1"/>
      <w:numFmt w:val="bullet"/>
      <w:lvlText w:val=""/>
      <w:lvlJc w:val="left"/>
      <w:pPr>
        <w:ind w:left="360" w:hanging="360"/>
      </w:pPr>
      <w:rPr>
        <w:rFonts w:ascii="Wingdings" w:hAnsi="Wingdings" w:hint="default"/>
      </w:rPr>
    </w:lvl>
    <w:lvl w:ilvl="1" w:tplc="A7469920">
      <w:start w:val="1"/>
      <w:numFmt w:val="bullet"/>
      <w:lvlText w:val="o"/>
      <w:lvlJc w:val="left"/>
      <w:pPr>
        <w:ind w:left="1080" w:hanging="360"/>
      </w:pPr>
      <w:rPr>
        <w:rFonts w:ascii="Courier New" w:hAnsi="Courier New" w:cs="Courier New" w:hint="default"/>
      </w:rPr>
    </w:lvl>
    <w:lvl w:ilvl="2" w:tplc="EFC86CBE" w:tentative="1">
      <w:start w:val="1"/>
      <w:numFmt w:val="bullet"/>
      <w:lvlText w:val=""/>
      <w:lvlJc w:val="left"/>
      <w:pPr>
        <w:ind w:left="1800" w:hanging="360"/>
      </w:pPr>
      <w:rPr>
        <w:rFonts w:ascii="Wingdings" w:hAnsi="Wingdings" w:hint="default"/>
      </w:rPr>
    </w:lvl>
    <w:lvl w:ilvl="3" w:tplc="34D0797E" w:tentative="1">
      <w:start w:val="1"/>
      <w:numFmt w:val="bullet"/>
      <w:lvlText w:val=""/>
      <w:lvlJc w:val="left"/>
      <w:pPr>
        <w:ind w:left="2520" w:hanging="360"/>
      </w:pPr>
      <w:rPr>
        <w:rFonts w:ascii="Symbol" w:hAnsi="Symbol" w:hint="default"/>
      </w:rPr>
    </w:lvl>
    <w:lvl w:ilvl="4" w:tplc="4EC8AB4A" w:tentative="1">
      <w:start w:val="1"/>
      <w:numFmt w:val="bullet"/>
      <w:lvlText w:val="o"/>
      <w:lvlJc w:val="left"/>
      <w:pPr>
        <w:ind w:left="3240" w:hanging="360"/>
      </w:pPr>
      <w:rPr>
        <w:rFonts w:ascii="Courier New" w:hAnsi="Courier New" w:cs="Courier New" w:hint="default"/>
      </w:rPr>
    </w:lvl>
    <w:lvl w:ilvl="5" w:tplc="B8A8BA06" w:tentative="1">
      <w:start w:val="1"/>
      <w:numFmt w:val="bullet"/>
      <w:lvlText w:val=""/>
      <w:lvlJc w:val="left"/>
      <w:pPr>
        <w:ind w:left="3960" w:hanging="360"/>
      </w:pPr>
      <w:rPr>
        <w:rFonts w:ascii="Wingdings" w:hAnsi="Wingdings" w:hint="default"/>
      </w:rPr>
    </w:lvl>
    <w:lvl w:ilvl="6" w:tplc="151AFA98" w:tentative="1">
      <w:start w:val="1"/>
      <w:numFmt w:val="bullet"/>
      <w:lvlText w:val=""/>
      <w:lvlJc w:val="left"/>
      <w:pPr>
        <w:ind w:left="4680" w:hanging="360"/>
      </w:pPr>
      <w:rPr>
        <w:rFonts w:ascii="Symbol" w:hAnsi="Symbol" w:hint="default"/>
      </w:rPr>
    </w:lvl>
    <w:lvl w:ilvl="7" w:tplc="4D564F94" w:tentative="1">
      <w:start w:val="1"/>
      <w:numFmt w:val="bullet"/>
      <w:lvlText w:val="o"/>
      <w:lvlJc w:val="left"/>
      <w:pPr>
        <w:ind w:left="5400" w:hanging="360"/>
      </w:pPr>
      <w:rPr>
        <w:rFonts w:ascii="Courier New" w:hAnsi="Courier New" w:cs="Courier New" w:hint="default"/>
      </w:rPr>
    </w:lvl>
    <w:lvl w:ilvl="8" w:tplc="5E4C184A" w:tentative="1">
      <w:start w:val="1"/>
      <w:numFmt w:val="bullet"/>
      <w:lvlText w:val=""/>
      <w:lvlJc w:val="left"/>
      <w:pPr>
        <w:ind w:left="6120" w:hanging="360"/>
      </w:pPr>
      <w:rPr>
        <w:rFonts w:ascii="Wingdings" w:hAnsi="Wingdings" w:hint="default"/>
      </w:rPr>
    </w:lvl>
  </w:abstractNum>
  <w:abstractNum w:abstractNumId="27">
    <w:nsid w:val="751449B9"/>
    <w:multiLevelType w:val="hybridMultilevel"/>
    <w:tmpl w:val="F634C01E"/>
    <w:lvl w:ilvl="0" w:tplc="BC92DBE0">
      <w:start w:val="1"/>
      <w:numFmt w:val="bullet"/>
      <w:lvlText w:val=""/>
      <w:lvlJc w:val="left"/>
      <w:pPr>
        <w:tabs>
          <w:tab w:val="num" w:pos="900"/>
        </w:tabs>
        <w:ind w:left="900" w:hanging="360"/>
      </w:pPr>
      <w:rPr>
        <w:rFonts w:ascii="Symbol" w:hAnsi="Symbol" w:hint="default"/>
      </w:rPr>
    </w:lvl>
    <w:lvl w:ilvl="1" w:tplc="C6E84C44" w:tentative="1">
      <w:start w:val="1"/>
      <w:numFmt w:val="bullet"/>
      <w:lvlText w:val="o"/>
      <w:lvlJc w:val="left"/>
      <w:pPr>
        <w:tabs>
          <w:tab w:val="num" w:pos="1620"/>
        </w:tabs>
        <w:ind w:left="1620" w:hanging="360"/>
      </w:pPr>
      <w:rPr>
        <w:rFonts w:ascii="Courier New" w:hAnsi="Courier New" w:cs="Courier New" w:hint="default"/>
      </w:rPr>
    </w:lvl>
    <w:lvl w:ilvl="2" w:tplc="4B183EA6" w:tentative="1">
      <w:start w:val="1"/>
      <w:numFmt w:val="bullet"/>
      <w:lvlText w:val=""/>
      <w:lvlJc w:val="left"/>
      <w:pPr>
        <w:tabs>
          <w:tab w:val="num" w:pos="2340"/>
        </w:tabs>
        <w:ind w:left="2340" w:hanging="360"/>
      </w:pPr>
      <w:rPr>
        <w:rFonts w:ascii="Wingdings" w:hAnsi="Wingdings" w:hint="default"/>
      </w:rPr>
    </w:lvl>
    <w:lvl w:ilvl="3" w:tplc="E97AA2A4" w:tentative="1">
      <w:start w:val="1"/>
      <w:numFmt w:val="bullet"/>
      <w:lvlText w:val=""/>
      <w:lvlJc w:val="left"/>
      <w:pPr>
        <w:tabs>
          <w:tab w:val="num" w:pos="3060"/>
        </w:tabs>
        <w:ind w:left="3060" w:hanging="360"/>
      </w:pPr>
      <w:rPr>
        <w:rFonts w:ascii="Symbol" w:hAnsi="Symbol" w:hint="default"/>
      </w:rPr>
    </w:lvl>
    <w:lvl w:ilvl="4" w:tplc="D80260B8" w:tentative="1">
      <w:start w:val="1"/>
      <w:numFmt w:val="bullet"/>
      <w:lvlText w:val="o"/>
      <w:lvlJc w:val="left"/>
      <w:pPr>
        <w:tabs>
          <w:tab w:val="num" w:pos="3780"/>
        </w:tabs>
        <w:ind w:left="3780" w:hanging="360"/>
      </w:pPr>
      <w:rPr>
        <w:rFonts w:ascii="Courier New" w:hAnsi="Courier New" w:cs="Courier New" w:hint="default"/>
      </w:rPr>
    </w:lvl>
    <w:lvl w:ilvl="5" w:tplc="FDA41E40" w:tentative="1">
      <w:start w:val="1"/>
      <w:numFmt w:val="bullet"/>
      <w:lvlText w:val=""/>
      <w:lvlJc w:val="left"/>
      <w:pPr>
        <w:tabs>
          <w:tab w:val="num" w:pos="4500"/>
        </w:tabs>
        <w:ind w:left="4500" w:hanging="360"/>
      </w:pPr>
      <w:rPr>
        <w:rFonts w:ascii="Wingdings" w:hAnsi="Wingdings" w:hint="default"/>
      </w:rPr>
    </w:lvl>
    <w:lvl w:ilvl="6" w:tplc="E7569174" w:tentative="1">
      <w:start w:val="1"/>
      <w:numFmt w:val="bullet"/>
      <w:lvlText w:val=""/>
      <w:lvlJc w:val="left"/>
      <w:pPr>
        <w:tabs>
          <w:tab w:val="num" w:pos="5220"/>
        </w:tabs>
        <w:ind w:left="5220" w:hanging="360"/>
      </w:pPr>
      <w:rPr>
        <w:rFonts w:ascii="Symbol" w:hAnsi="Symbol" w:hint="default"/>
      </w:rPr>
    </w:lvl>
    <w:lvl w:ilvl="7" w:tplc="9EAA5330" w:tentative="1">
      <w:start w:val="1"/>
      <w:numFmt w:val="bullet"/>
      <w:lvlText w:val="o"/>
      <w:lvlJc w:val="left"/>
      <w:pPr>
        <w:tabs>
          <w:tab w:val="num" w:pos="5940"/>
        </w:tabs>
        <w:ind w:left="5940" w:hanging="360"/>
      </w:pPr>
      <w:rPr>
        <w:rFonts w:ascii="Courier New" w:hAnsi="Courier New" w:cs="Courier New" w:hint="default"/>
      </w:rPr>
    </w:lvl>
    <w:lvl w:ilvl="8" w:tplc="B4303164" w:tentative="1">
      <w:start w:val="1"/>
      <w:numFmt w:val="bullet"/>
      <w:lvlText w:val=""/>
      <w:lvlJc w:val="left"/>
      <w:pPr>
        <w:tabs>
          <w:tab w:val="num" w:pos="6660"/>
        </w:tabs>
        <w:ind w:left="6660" w:hanging="360"/>
      </w:pPr>
      <w:rPr>
        <w:rFonts w:ascii="Wingdings" w:hAnsi="Wingdings" w:hint="default"/>
      </w:rPr>
    </w:lvl>
  </w:abstractNum>
  <w:num w:numId="1">
    <w:abstractNumId w:val="9"/>
  </w:num>
  <w:num w:numId="2">
    <w:abstractNumId w:val="27"/>
  </w:num>
  <w:num w:numId="3">
    <w:abstractNumId w:val="3"/>
  </w:num>
  <w:num w:numId="4">
    <w:abstractNumId w:val="6"/>
  </w:num>
  <w:num w:numId="5">
    <w:abstractNumId w:val="19"/>
  </w:num>
  <w:num w:numId="6">
    <w:abstractNumId w:val="10"/>
  </w:num>
  <w:num w:numId="7">
    <w:abstractNumId w:val="4"/>
  </w:num>
  <w:num w:numId="8">
    <w:abstractNumId w:val="8"/>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23"/>
  </w:num>
  <w:num w:numId="11">
    <w:abstractNumId w:val="5"/>
  </w:num>
  <w:num w:numId="12">
    <w:abstractNumId w:val="26"/>
  </w:num>
  <w:num w:numId="13">
    <w:abstractNumId w:val="25"/>
  </w:num>
  <w:num w:numId="14">
    <w:abstractNumId w:val="24"/>
  </w:num>
  <w:num w:numId="15">
    <w:abstractNumId w:val="15"/>
  </w:num>
  <w:num w:numId="16">
    <w:abstractNumId w:val="16"/>
  </w:num>
  <w:num w:numId="17">
    <w:abstractNumId w:val="11"/>
  </w:num>
  <w:num w:numId="18">
    <w:abstractNumId w:val="18"/>
  </w:num>
  <w:num w:numId="19">
    <w:abstractNumId w:val="1"/>
  </w:num>
  <w:num w:numId="20">
    <w:abstractNumId w:val="13"/>
  </w:num>
  <w:num w:numId="21">
    <w:abstractNumId w:val="2"/>
  </w:num>
  <w:num w:numId="22">
    <w:abstractNumId w:val="21"/>
  </w:num>
  <w:num w:numId="23">
    <w:abstractNumId w:val="7"/>
  </w:num>
  <w:num w:numId="24">
    <w:abstractNumId w:val="14"/>
  </w:num>
  <w:num w:numId="25">
    <w:abstractNumId w:val="2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7"/>
  </w:num>
  <w:num w:numId="29">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pl-PL" w:vendorID="12" w:dllVersion="512" w:checkStyle="1"/>
  <w:stylePaneFormatFilter w:val="3F01"/>
  <w:defaultTabStop w:val="709"/>
  <w:hyphenationZone w:val="425"/>
  <w:characterSpacingControl w:val="doNotCompress"/>
  <w:hdrShapeDefaults>
    <o:shapedefaults v:ext="edit" spidmax="46082"/>
  </w:hdrShapeDefaults>
  <w:footnotePr>
    <w:footnote w:id="-1"/>
    <w:footnote w:id="0"/>
  </w:footnotePr>
  <w:endnotePr>
    <w:endnote w:id="-1"/>
    <w:endnote w:id="0"/>
  </w:endnotePr>
  <w:compat/>
  <w:docVars>
    <w:docVar w:name="AS2DocOpenMode" w:val="AS2DocumentEdit"/>
  </w:docVars>
  <w:rsids>
    <w:rsidRoot w:val="00B24DA9"/>
    <w:rsid w:val="000007D1"/>
    <w:rsid w:val="0000190E"/>
    <w:rsid w:val="000020E0"/>
    <w:rsid w:val="000026E5"/>
    <w:rsid w:val="00010FB6"/>
    <w:rsid w:val="0001131C"/>
    <w:rsid w:val="0001201A"/>
    <w:rsid w:val="0001499A"/>
    <w:rsid w:val="00014C9C"/>
    <w:rsid w:val="00016353"/>
    <w:rsid w:val="00016FE6"/>
    <w:rsid w:val="00017732"/>
    <w:rsid w:val="00025F13"/>
    <w:rsid w:val="0002607F"/>
    <w:rsid w:val="00030E32"/>
    <w:rsid w:val="00032086"/>
    <w:rsid w:val="00033422"/>
    <w:rsid w:val="000338A3"/>
    <w:rsid w:val="0003614C"/>
    <w:rsid w:val="000364D5"/>
    <w:rsid w:val="00036E48"/>
    <w:rsid w:val="000428B8"/>
    <w:rsid w:val="00043391"/>
    <w:rsid w:val="00047D7F"/>
    <w:rsid w:val="00047EB4"/>
    <w:rsid w:val="00050862"/>
    <w:rsid w:val="00050CA4"/>
    <w:rsid w:val="00053BD4"/>
    <w:rsid w:val="000542C1"/>
    <w:rsid w:val="00061D43"/>
    <w:rsid w:val="00064CCD"/>
    <w:rsid w:val="000665EB"/>
    <w:rsid w:val="00067335"/>
    <w:rsid w:val="0006749C"/>
    <w:rsid w:val="000704B6"/>
    <w:rsid w:val="000756AD"/>
    <w:rsid w:val="0007687A"/>
    <w:rsid w:val="00076FBA"/>
    <w:rsid w:val="000775FC"/>
    <w:rsid w:val="00081D11"/>
    <w:rsid w:val="0008287A"/>
    <w:rsid w:val="000853A3"/>
    <w:rsid w:val="0008613E"/>
    <w:rsid w:val="00086F0F"/>
    <w:rsid w:val="00087452"/>
    <w:rsid w:val="0009256D"/>
    <w:rsid w:val="0009347A"/>
    <w:rsid w:val="00093B36"/>
    <w:rsid w:val="000952B1"/>
    <w:rsid w:val="000972FB"/>
    <w:rsid w:val="000A2A55"/>
    <w:rsid w:val="000A451D"/>
    <w:rsid w:val="000A58AA"/>
    <w:rsid w:val="000A742F"/>
    <w:rsid w:val="000B057C"/>
    <w:rsid w:val="000B18BF"/>
    <w:rsid w:val="000B1BBC"/>
    <w:rsid w:val="000B7063"/>
    <w:rsid w:val="000B7A8F"/>
    <w:rsid w:val="000C2722"/>
    <w:rsid w:val="000C3C74"/>
    <w:rsid w:val="000C3D54"/>
    <w:rsid w:val="000C3E6A"/>
    <w:rsid w:val="000C4D38"/>
    <w:rsid w:val="000C4F42"/>
    <w:rsid w:val="000C5C2A"/>
    <w:rsid w:val="000D083A"/>
    <w:rsid w:val="000E0861"/>
    <w:rsid w:val="000E0F08"/>
    <w:rsid w:val="000E1A52"/>
    <w:rsid w:val="000E3E2E"/>
    <w:rsid w:val="000E48BB"/>
    <w:rsid w:val="000E70C6"/>
    <w:rsid w:val="000F3D7E"/>
    <w:rsid w:val="000F5C89"/>
    <w:rsid w:val="00106D45"/>
    <w:rsid w:val="00106E97"/>
    <w:rsid w:val="00110A6C"/>
    <w:rsid w:val="001119F4"/>
    <w:rsid w:val="00115E97"/>
    <w:rsid w:val="00121641"/>
    <w:rsid w:val="00123931"/>
    <w:rsid w:val="00127BBA"/>
    <w:rsid w:val="00130B20"/>
    <w:rsid w:val="00135A9A"/>
    <w:rsid w:val="00136AD1"/>
    <w:rsid w:val="0013723A"/>
    <w:rsid w:val="001426A0"/>
    <w:rsid w:val="00145FD9"/>
    <w:rsid w:val="00150B4E"/>
    <w:rsid w:val="00150B95"/>
    <w:rsid w:val="00151A83"/>
    <w:rsid w:val="001527E6"/>
    <w:rsid w:val="001540FC"/>
    <w:rsid w:val="00156FAC"/>
    <w:rsid w:val="00157382"/>
    <w:rsid w:val="001611F5"/>
    <w:rsid w:val="00165F00"/>
    <w:rsid w:val="0017164D"/>
    <w:rsid w:val="00172810"/>
    <w:rsid w:val="00172FEE"/>
    <w:rsid w:val="001757A8"/>
    <w:rsid w:val="00176428"/>
    <w:rsid w:val="001777A8"/>
    <w:rsid w:val="0018356D"/>
    <w:rsid w:val="0018576F"/>
    <w:rsid w:val="00192B1C"/>
    <w:rsid w:val="0019506E"/>
    <w:rsid w:val="0019638B"/>
    <w:rsid w:val="001968F6"/>
    <w:rsid w:val="001973D0"/>
    <w:rsid w:val="001A21D9"/>
    <w:rsid w:val="001A2827"/>
    <w:rsid w:val="001B1779"/>
    <w:rsid w:val="001B2BB6"/>
    <w:rsid w:val="001B4F80"/>
    <w:rsid w:val="001B4FC1"/>
    <w:rsid w:val="001B63E7"/>
    <w:rsid w:val="001B64C8"/>
    <w:rsid w:val="001C0063"/>
    <w:rsid w:val="001C1D17"/>
    <w:rsid w:val="001C24AF"/>
    <w:rsid w:val="001C6C44"/>
    <w:rsid w:val="001C7834"/>
    <w:rsid w:val="001D425B"/>
    <w:rsid w:val="001D6B3D"/>
    <w:rsid w:val="001E201D"/>
    <w:rsid w:val="001E52CB"/>
    <w:rsid w:val="001F3805"/>
    <w:rsid w:val="00206838"/>
    <w:rsid w:val="00221860"/>
    <w:rsid w:val="002235DC"/>
    <w:rsid w:val="002237F2"/>
    <w:rsid w:val="002248BE"/>
    <w:rsid w:val="002253CA"/>
    <w:rsid w:val="002311B5"/>
    <w:rsid w:val="00233337"/>
    <w:rsid w:val="0023456D"/>
    <w:rsid w:val="002349FE"/>
    <w:rsid w:val="002432A1"/>
    <w:rsid w:val="00244D61"/>
    <w:rsid w:val="00246306"/>
    <w:rsid w:val="00247803"/>
    <w:rsid w:val="0025043C"/>
    <w:rsid w:val="00251321"/>
    <w:rsid w:val="00252C6F"/>
    <w:rsid w:val="0025498A"/>
    <w:rsid w:val="002577A6"/>
    <w:rsid w:val="00257CAA"/>
    <w:rsid w:val="00262A7B"/>
    <w:rsid w:val="002651DA"/>
    <w:rsid w:val="00274CCD"/>
    <w:rsid w:val="002757E9"/>
    <w:rsid w:val="00280311"/>
    <w:rsid w:val="002823D1"/>
    <w:rsid w:val="002833FE"/>
    <w:rsid w:val="002834F8"/>
    <w:rsid w:val="002921ED"/>
    <w:rsid w:val="0029328A"/>
    <w:rsid w:val="0029330F"/>
    <w:rsid w:val="00293B89"/>
    <w:rsid w:val="002943C4"/>
    <w:rsid w:val="002A0A38"/>
    <w:rsid w:val="002B0248"/>
    <w:rsid w:val="002B151E"/>
    <w:rsid w:val="002B299B"/>
    <w:rsid w:val="002B2B16"/>
    <w:rsid w:val="002B4A01"/>
    <w:rsid w:val="002B54A2"/>
    <w:rsid w:val="002C008C"/>
    <w:rsid w:val="002C167B"/>
    <w:rsid w:val="002C1BE1"/>
    <w:rsid w:val="002C2485"/>
    <w:rsid w:val="002C4D4A"/>
    <w:rsid w:val="002C745B"/>
    <w:rsid w:val="002D11A9"/>
    <w:rsid w:val="002D20FE"/>
    <w:rsid w:val="002D5367"/>
    <w:rsid w:val="002D56D8"/>
    <w:rsid w:val="002D644A"/>
    <w:rsid w:val="002F2FB3"/>
    <w:rsid w:val="002F3405"/>
    <w:rsid w:val="002F633C"/>
    <w:rsid w:val="003000B6"/>
    <w:rsid w:val="00300CB4"/>
    <w:rsid w:val="00300ED0"/>
    <w:rsid w:val="00301D43"/>
    <w:rsid w:val="0030239D"/>
    <w:rsid w:val="0030269C"/>
    <w:rsid w:val="00302EF3"/>
    <w:rsid w:val="00303AEA"/>
    <w:rsid w:val="00307F75"/>
    <w:rsid w:val="00311237"/>
    <w:rsid w:val="003124BA"/>
    <w:rsid w:val="0031442C"/>
    <w:rsid w:val="00316A71"/>
    <w:rsid w:val="0032059B"/>
    <w:rsid w:val="0032384B"/>
    <w:rsid w:val="00323D20"/>
    <w:rsid w:val="00327A92"/>
    <w:rsid w:val="003333E7"/>
    <w:rsid w:val="00333828"/>
    <w:rsid w:val="00335953"/>
    <w:rsid w:val="003527C1"/>
    <w:rsid w:val="00356132"/>
    <w:rsid w:val="00356D31"/>
    <w:rsid w:val="003608CA"/>
    <w:rsid w:val="003620A8"/>
    <w:rsid w:val="00372102"/>
    <w:rsid w:val="00372DA8"/>
    <w:rsid w:val="00372F12"/>
    <w:rsid w:val="0037463D"/>
    <w:rsid w:val="00374C51"/>
    <w:rsid w:val="0037571A"/>
    <w:rsid w:val="00377625"/>
    <w:rsid w:val="0038036F"/>
    <w:rsid w:val="003813E9"/>
    <w:rsid w:val="00382D56"/>
    <w:rsid w:val="00384B6F"/>
    <w:rsid w:val="00385BED"/>
    <w:rsid w:val="00385F70"/>
    <w:rsid w:val="00387474"/>
    <w:rsid w:val="00394408"/>
    <w:rsid w:val="003A04C9"/>
    <w:rsid w:val="003A0B53"/>
    <w:rsid w:val="003A5DA0"/>
    <w:rsid w:val="003A6835"/>
    <w:rsid w:val="003A752B"/>
    <w:rsid w:val="003B0DE4"/>
    <w:rsid w:val="003B1AD1"/>
    <w:rsid w:val="003B28D8"/>
    <w:rsid w:val="003B408F"/>
    <w:rsid w:val="003B48FC"/>
    <w:rsid w:val="003B604E"/>
    <w:rsid w:val="003B60C5"/>
    <w:rsid w:val="003B6313"/>
    <w:rsid w:val="003B76ED"/>
    <w:rsid w:val="003C019F"/>
    <w:rsid w:val="003C2946"/>
    <w:rsid w:val="003C3107"/>
    <w:rsid w:val="003C51C3"/>
    <w:rsid w:val="003D2589"/>
    <w:rsid w:val="003D34C1"/>
    <w:rsid w:val="003D5E60"/>
    <w:rsid w:val="003D6C36"/>
    <w:rsid w:val="003E0137"/>
    <w:rsid w:val="003E2351"/>
    <w:rsid w:val="003F0ACD"/>
    <w:rsid w:val="003F26DE"/>
    <w:rsid w:val="003F29D7"/>
    <w:rsid w:val="003F35F3"/>
    <w:rsid w:val="003F3E3A"/>
    <w:rsid w:val="003F6BD9"/>
    <w:rsid w:val="003F70E6"/>
    <w:rsid w:val="004007B2"/>
    <w:rsid w:val="00403926"/>
    <w:rsid w:val="00405CCF"/>
    <w:rsid w:val="00405D4E"/>
    <w:rsid w:val="00406C11"/>
    <w:rsid w:val="00413168"/>
    <w:rsid w:val="00415E7B"/>
    <w:rsid w:val="00420E51"/>
    <w:rsid w:val="00425347"/>
    <w:rsid w:val="00425ABE"/>
    <w:rsid w:val="004260FD"/>
    <w:rsid w:val="00426D5D"/>
    <w:rsid w:val="004271BB"/>
    <w:rsid w:val="00427A77"/>
    <w:rsid w:val="004309DF"/>
    <w:rsid w:val="00432717"/>
    <w:rsid w:val="00432736"/>
    <w:rsid w:val="00434481"/>
    <w:rsid w:val="004345F7"/>
    <w:rsid w:val="004347A0"/>
    <w:rsid w:val="00440CC1"/>
    <w:rsid w:val="00442DDD"/>
    <w:rsid w:val="0044344B"/>
    <w:rsid w:val="00444027"/>
    <w:rsid w:val="00444117"/>
    <w:rsid w:val="00445373"/>
    <w:rsid w:val="00446405"/>
    <w:rsid w:val="0044735E"/>
    <w:rsid w:val="004531EF"/>
    <w:rsid w:val="00454AC9"/>
    <w:rsid w:val="00455C28"/>
    <w:rsid w:val="00456B2C"/>
    <w:rsid w:val="0046006B"/>
    <w:rsid w:val="004655FC"/>
    <w:rsid w:val="00467F8E"/>
    <w:rsid w:val="0047280D"/>
    <w:rsid w:val="00473962"/>
    <w:rsid w:val="00474ED1"/>
    <w:rsid w:val="00475F50"/>
    <w:rsid w:val="0047678C"/>
    <w:rsid w:val="004778A8"/>
    <w:rsid w:val="00480C0E"/>
    <w:rsid w:val="00483A01"/>
    <w:rsid w:val="00484016"/>
    <w:rsid w:val="00484410"/>
    <w:rsid w:val="00485117"/>
    <w:rsid w:val="004868E2"/>
    <w:rsid w:val="004912BE"/>
    <w:rsid w:val="0049132F"/>
    <w:rsid w:val="00491B82"/>
    <w:rsid w:val="00492468"/>
    <w:rsid w:val="00492B54"/>
    <w:rsid w:val="0049622A"/>
    <w:rsid w:val="00496C6C"/>
    <w:rsid w:val="00496C86"/>
    <w:rsid w:val="00496FB7"/>
    <w:rsid w:val="004A2FE0"/>
    <w:rsid w:val="004A4E40"/>
    <w:rsid w:val="004A545A"/>
    <w:rsid w:val="004A5FE5"/>
    <w:rsid w:val="004B1467"/>
    <w:rsid w:val="004B4EC1"/>
    <w:rsid w:val="004B6AC7"/>
    <w:rsid w:val="004B76AD"/>
    <w:rsid w:val="004B7CEA"/>
    <w:rsid w:val="004C2563"/>
    <w:rsid w:val="004C35DF"/>
    <w:rsid w:val="004C6319"/>
    <w:rsid w:val="004C7E18"/>
    <w:rsid w:val="004D0B79"/>
    <w:rsid w:val="004D1C8C"/>
    <w:rsid w:val="004D4147"/>
    <w:rsid w:val="004D64F8"/>
    <w:rsid w:val="004D7CEE"/>
    <w:rsid w:val="004E1558"/>
    <w:rsid w:val="004E3660"/>
    <w:rsid w:val="004E3D00"/>
    <w:rsid w:val="004E5F26"/>
    <w:rsid w:val="004E7D94"/>
    <w:rsid w:val="004E7E0A"/>
    <w:rsid w:val="004F2883"/>
    <w:rsid w:val="004F2CB1"/>
    <w:rsid w:val="004F301A"/>
    <w:rsid w:val="004F67E3"/>
    <w:rsid w:val="00501079"/>
    <w:rsid w:val="00504A9B"/>
    <w:rsid w:val="00507821"/>
    <w:rsid w:val="00511171"/>
    <w:rsid w:val="005151F4"/>
    <w:rsid w:val="00515444"/>
    <w:rsid w:val="00515B8C"/>
    <w:rsid w:val="00515B9D"/>
    <w:rsid w:val="00515E94"/>
    <w:rsid w:val="005203D1"/>
    <w:rsid w:val="005226EF"/>
    <w:rsid w:val="005233F6"/>
    <w:rsid w:val="00526EEE"/>
    <w:rsid w:val="0053010F"/>
    <w:rsid w:val="00530AC2"/>
    <w:rsid w:val="0053141A"/>
    <w:rsid w:val="00536A08"/>
    <w:rsid w:val="00540217"/>
    <w:rsid w:val="0054119D"/>
    <w:rsid w:val="0054121E"/>
    <w:rsid w:val="00541C90"/>
    <w:rsid w:val="00541F6F"/>
    <w:rsid w:val="00542F9D"/>
    <w:rsid w:val="005437C6"/>
    <w:rsid w:val="0054449A"/>
    <w:rsid w:val="005450F3"/>
    <w:rsid w:val="005470F3"/>
    <w:rsid w:val="00550ECC"/>
    <w:rsid w:val="00553F43"/>
    <w:rsid w:val="00561B55"/>
    <w:rsid w:val="00562633"/>
    <w:rsid w:val="0057058B"/>
    <w:rsid w:val="0057071A"/>
    <w:rsid w:val="00570B3C"/>
    <w:rsid w:val="005729F3"/>
    <w:rsid w:val="00573612"/>
    <w:rsid w:val="00573E91"/>
    <w:rsid w:val="005761BD"/>
    <w:rsid w:val="00580AC5"/>
    <w:rsid w:val="00581123"/>
    <w:rsid w:val="005820CF"/>
    <w:rsid w:val="00582C28"/>
    <w:rsid w:val="005846B5"/>
    <w:rsid w:val="00586878"/>
    <w:rsid w:val="0058720E"/>
    <w:rsid w:val="00593A17"/>
    <w:rsid w:val="0059634A"/>
    <w:rsid w:val="00597C55"/>
    <w:rsid w:val="005A0991"/>
    <w:rsid w:val="005A0C26"/>
    <w:rsid w:val="005A167A"/>
    <w:rsid w:val="005A1A7A"/>
    <w:rsid w:val="005A1EFE"/>
    <w:rsid w:val="005A282A"/>
    <w:rsid w:val="005A3574"/>
    <w:rsid w:val="005A4979"/>
    <w:rsid w:val="005A577A"/>
    <w:rsid w:val="005A5F53"/>
    <w:rsid w:val="005B0776"/>
    <w:rsid w:val="005B2403"/>
    <w:rsid w:val="005B6328"/>
    <w:rsid w:val="005B7622"/>
    <w:rsid w:val="005C2815"/>
    <w:rsid w:val="005C2834"/>
    <w:rsid w:val="005C47CC"/>
    <w:rsid w:val="005C5990"/>
    <w:rsid w:val="005D0CF0"/>
    <w:rsid w:val="005D3D98"/>
    <w:rsid w:val="005D486B"/>
    <w:rsid w:val="005D6340"/>
    <w:rsid w:val="005D6E20"/>
    <w:rsid w:val="005D7C6A"/>
    <w:rsid w:val="005E4DF4"/>
    <w:rsid w:val="005E5C20"/>
    <w:rsid w:val="005E7391"/>
    <w:rsid w:val="005E7FCB"/>
    <w:rsid w:val="005F176F"/>
    <w:rsid w:val="005F19C0"/>
    <w:rsid w:val="005F1FC1"/>
    <w:rsid w:val="005F2C4A"/>
    <w:rsid w:val="005F3974"/>
    <w:rsid w:val="005F5B20"/>
    <w:rsid w:val="005F68D5"/>
    <w:rsid w:val="00600247"/>
    <w:rsid w:val="006012A9"/>
    <w:rsid w:val="00602750"/>
    <w:rsid w:val="00602A54"/>
    <w:rsid w:val="00603ABE"/>
    <w:rsid w:val="006072EE"/>
    <w:rsid w:val="00612406"/>
    <w:rsid w:val="00612EBF"/>
    <w:rsid w:val="00613C9A"/>
    <w:rsid w:val="006162C8"/>
    <w:rsid w:val="00625273"/>
    <w:rsid w:val="006255E5"/>
    <w:rsid w:val="00627FF0"/>
    <w:rsid w:val="006303A1"/>
    <w:rsid w:val="0063171C"/>
    <w:rsid w:val="006319DD"/>
    <w:rsid w:val="00633406"/>
    <w:rsid w:val="00634B37"/>
    <w:rsid w:val="0063679C"/>
    <w:rsid w:val="00640AFB"/>
    <w:rsid w:val="00641C22"/>
    <w:rsid w:val="0064423C"/>
    <w:rsid w:val="00644F9E"/>
    <w:rsid w:val="00647103"/>
    <w:rsid w:val="00652158"/>
    <w:rsid w:val="00652D8D"/>
    <w:rsid w:val="006578AA"/>
    <w:rsid w:val="00661A03"/>
    <w:rsid w:val="00662F58"/>
    <w:rsid w:val="00663D8E"/>
    <w:rsid w:val="00665077"/>
    <w:rsid w:val="00665588"/>
    <w:rsid w:val="00665ECE"/>
    <w:rsid w:val="00666931"/>
    <w:rsid w:val="006724E3"/>
    <w:rsid w:val="00675794"/>
    <w:rsid w:val="00680038"/>
    <w:rsid w:val="0068528A"/>
    <w:rsid w:val="00685607"/>
    <w:rsid w:val="00690CAC"/>
    <w:rsid w:val="00691EAD"/>
    <w:rsid w:val="006924AF"/>
    <w:rsid w:val="00692BDC"/>
    <w:rsid w:val="00692EAF"/>
    <w:rsid w:val="006932B6"/>
    <w:rsid w:val="00693759"/>
    <w:rsid w:val="006979B2"/>
    <w:rsid w:val="006A2B2B"/>
    <w:rsid w:val="006A313C"/>
    <w:rsid w:val="006A3B70"/>
    <w:rsid w:val="006A3DA0"/>
    <w:rsid w:val="006A4753"/>
    <w:rsid w:val="006A59F1"/>
    <w:rsid w:val="006A726B"/>
    <w:rsid w:val="006A740D"/>
    <w:rsid w:val="006B0310"/>
    <w:rsid w:val="006B079E"/>
    <w:rsid w:val="006B0AB5"/>
    <w:rsid w:val="006B25C8"/>
    <w:rsid w:val="006B55FE"/>
    <w:rsid w:val="006B56DD"/>
    <w:rsid w:val="006B6EC8"/>
    <w:rsid w:val="006B7122"/>
    <w:rsid w:val="006C0D0E"/>
    <w:rsid w:val="006C48BF"/>
    <w:rsid w:val="006C5B07"/>
    <w:rsid w:val="006C684A"/>
    <w:rsid w:val="006C7E13"/>
    <w:rsid w:val="006D4AC4"/>
    <w:rsid w:val="006E05F7"/>
    <w:rsid w:val="006E211C"/>
    <w:rsid w:val="006E2C3F"/>
    <w:rsid w:val="006E48BB"/>
    <w:rsid w:val="006E6DC6"/>
    <w:rsid w:val="006F1F2C"/>
    <w:rsid w:val="006F2F84"/>
    <w:rsid w:val="006F515E"/>
    <w:rsid w:val="00700D88"/>
    <w:rsid w:val="00700FE4"/>
    <w:rsid w:val="00703714"/>
    <w:rsid w:val="0070622D"/>
    <w:rsid w:val="00706C22"/>
    <w:rsid w:val="007073AF"/>
    <w:rsid w:val="00707F88"/>
    <w:rsid w:val="00711D46"/>
    <w:rsid w:val="00712D5A"/>
    <w:rsid w:val="00712E22"/>
    <w:rsid w:val="00714E53"/>
    <w:rsid w:val="007152EC"/>
    <w:rsid w:val="00715AD8"/>
    <w:rsid w:val="0071614D"/>
    <w:rsid w:val="007171EC"/>
    <w:rsid w:val="00717C77"/>
    <w:rsid w:val="00720B4B"/>
    <w:rsid w:val="00721B6F"/>
    <w:rsid w:val="0072215A"/>
    <w:rsid w:val="00723E4A"/>
    <w:rsid w:val="00726411"/>
    <w:rsid w:val="00727D42"/>
    <w:rsid w:val="00730403"/>
    <w:rsid w:val="00731289"/>
    <w:rsid w:val="00731F0A"/>
    <w:rsid w:val="00734AB3"/>
    <w:rsid w:val="00734BDD"/>
    <w:rsid w:val="007369D7"/>
    <w:rsid w:val="00740120"/>
    <w:rsid w:val="00740C30"/>
    <w:rsid w:val="00744CE6"/>
    <w:rsid w:val="00746081"/>
    <w:rsid w:val="0074647D"/>
    <w:rsid w:val="00750AB8"/>
    <w:rsid w:val="00754D4F"/>
    <w:rsid w:val="00755776"/>
    <w:rsid w:val="00756E00"/>
    <w:rsid w:val="007621BE"/>
    <w:rsid w:val="00765C97"/>
    <w:rsid w:val="00765E5F"/>
    <w:rsid w:val="00765FC8"/>
    <w:rsid w:val="00766C8A"/>
    <w:rsid w:val="00766ED9"/>
    <w:rsid w:val="007672C2"/>
    <w:rsid w:val="00767C04"/>
    <w:rsid w:val="007705DE"/>
    <w:rsid w:val="007716FA"/>
    <w:rsid w:val="007722D5"/>
    <w:rsid w:val="00772C1A"/>
    <w:rsid w:val="00773014"/>
    <w:rsid w:val="00773331"/>
    <w:rsid w:val="00774B67"/>
    <w:rsid w:val="007751B8"/>
    <w:rsid w:val="007759A8"/>
    <w:rsid w:val="00775B8D"/>
    <w:rsid w:val="00776ADE"/>
    <w:rsid w:val="007812FC"/>
    <w:rsid w:val="00782528"/>
    <w:rsid w:val="00783368"/>
    <w:rsid w:val="007860C5"/>
    <w:rsid w:val="0079039A"/>
    <w:rsid w:val="007919E9"/>
    <w:rsid w:val="00797B97"/>
    <w:rsid w:val="007A03FC"/>
    <w:rsid w:val="007A0885"/>
    <w:rsid w:val="007A783C"/>
    <w:rsid w:val="007B0865"/>
    <w:rsid w:val="007B0EB3"/>
    <w:rsid w:val="007B3A03"/>
    <w:rsid w:val="007B5530"/>
    <w:rsid w:val="007B5B9D"/>
    <w:rsid w:val="007C4BB3"/>
    <w:rsid w:val="007C526B"/>
    <w:rsid w:val="007D36DF"/>
    <w:rsid w:val="007D4082"/>
    <w:rsid w:val="007E0E63"/>
    <w:rsid w:val="007E16C7"/>
    <w:rsid w:val="007E5844"/>
    <w:rsid w:val="007E5AC7"/>
    <w:rsid w:val="007E680A"/>
    <w:rsid w:val="007F17B6"/>
    <w:rsid w:val="007F46E3"/>
    <w:rsid w:val="007F4951"/>
    <w:rsid w:val="007F7805"/>
    <w:rsid w:val="008030BE"/>
    <w:rsid w:val="0080385D"/>
    <w:rsid w:val="008058A1"/>
    <w:rsid w:val="0080785D"/>
    <w:rsid w:val="0081058B"/>
    <w:rsid w:val="008148AE"/>
    <w:rsid w:val="00816554"/>
    <w:rsid w:val="0082230E"/>
    <w:rsid w:val="0082287C"/>
    <w:rsid w:val="00822C45"/>
    <w:rsid w:val="00822E79"/>
    <w:rsid w:val="00825066"/>
    <w:rsid w:val="00826106"/>
    <w:rsid w:val="00830174"/>
    <w:rsid w:val="00832271"/>
    <w:rsid w:val="00833CBA"/>
    <w:rsid w:val="00840B51"/>
    <w:rsid w:val="0084157E"/>
    <w:rsid w:val="00841F98"/>
    <w:rsid w:val="00844E6B"/>
    <w:rsid w:val="00852A47"/>
    <w:rsid w:val="00856DEA"/>
    <w:rsid w:val="00861B98"/>
    <w:rsid w:val="008630FB"/>
    <w:rsid w:val="00864542"/>
    <w:rsid w:val="00865647"/>
    <w:rsid w:val="00867B20"/>
    <w:rsid w:val="00867F76"/>
    <w:rsid w:val="008728AB"/>
    <w:rsid w:val="00875E81"/>
    <w:rsid w:val="00877E88"/>
    <w:rsid w:val="0088059A"/>
    <w:rsid w:val="00881FB5"/>
    <w:rsid w:val="00890D49"/>
    <w:rsid w:val="008A4263"/>
    <w:rsid w:val="008A6C41"/>
    <w:rsid w:val="008A6FAB"/>
    <w:rsid w:val="008B3749"/>
    <w:rsid w:val="008B4C49"/>
    <w:rsid w:val="008B4C6B"/>
    <w:rsid w:val="008B52C0"/>
    <w:rsid w:val="008B692A"/>
    <w:rsid w:val="008C0E87"/>
    <w:rsid w:val="008C191E"/>
    <w:rsid w:val="008C2011"/>
    <w:rsid w:val="008C2039"/>
    <w:rsid w:val="008C3E69"/>
    <w:rsid w:val="008C40D9"/>
    <w:rsid w:val="008C584E"/>
    <w:rsid w:val="008D090F"/>
    <w:rsid w:val="008D2A51"/>
    <w:rsid w:val="008D3523"/>
    <w:rsid w:val="008E1766"/>
    <w:rsid w:val="008E382E"/>
    <w:rsid w:val="008E3CD5"/>
    <w:rsid w:val="008E5968"/>
    <w:rsid w:val="008E5F14"/>
    <w:rsid w:val="008E6FDD"/>
    <w:rsid w:val="008E76A1"/>
    <w:rsid w:val="008E79D1"/>
    <w:rsid w:val="008F1842"/>
    <w:rsid w:val="008F196A"/>
    <w:rsid w:val="008F2465"/>
    <w:rsid w:val="008F3F71"/>
    <w:rsid w:val="0090029F"/>
    <w:rsid w:val="009055B3"/>
    <w:rsid w:val="00906AE5"/>
    <w:rsid w:val="00907875"/>
    <w:rsid w:val="0091542D"/>
    <w:rsid w:val="0091689B"/>
    <w:rsid w:val="00917AE7"/>
    <w:rsid w:val="00920E3A"/>
    <w:rsid w:val="00920F2F"/>
    <w:rsid w:val="009241EF"/>
    <w:rsid w:val="00924571"/>
    <w:rsid w:val="00925EC9"/>
    <w:rsid w:val="0092621E"/>
    <w:rsid w:val="009271B5"/>
    <w:rsid w:val="00930478"/>
    <w:rsid w:val="00930EAD"/>
    <w:rsid w:val="009347CE"/>
    <w:rsid w:val="00934A11"/>
    <w:rsid w:val="009350A1"/>
    <w:rsid w:val="009413DD"/>
    <w:rsid w:val="00945CE3"/>
    <w:rsid w:val="009510E0"/>
    <w:rsid w:val="00953FC6"/>
    <w:rsid w:val="0095480E"/>
    <w:rsid w:val="00955719"/>
    <w:rsid w:val="009562C8"/>
    <w:rsid w:val="00957DF4"/>
    <w:rsid w:val="00960781"/>
    <w:rsid w:val="00960B5D"/>
    <w:rsid w:val="00961644"/>
    <w:rsid w:val="00962AE3"/>
    <w:rsid w:val="00964DBD"/>
    <w:rsid w:val="009652C1"/>
    <w:rsid w:val="00965811"/>
    <w:rsid w:val="009671D2"/>
    <w:rsid w:val="0097039A"/>
    <w:rsid w:val="00972100"/>
    <w:rsid w:val="00972B9C"/>
    <w:rsid w:val="00973410"/>
    <w:rsid w:val="009747F5"/>
    <w:rsid w:val="009778EC"/>
    <w:rsid w:val="0098042B"/>
    <w:rsid w:val="00981B9D"/>
    <w:rsid w:val="00981BD9"/>
    <w:rsid w:val="00983632"/>
    <w:rsid w:val="00983C65"/>
    <w:rsid w:val="00986DDF"/>
    <w:rsid w:val="00992D20"/>
    <w:rsid w:val="00996C0F"/>
    <w:rsid w:val="00996FAF"/>
    <w:rsid w:val="00997E4B"/>
    <w:rsid w:val="009A481C"/>
    <w:rsid w:val="009A4D3E"/>
    <w:rsid w:val="009A50C1"/>
    <w:rsid w:val="009A787C"/>
    <w:rsid w:val="009B0AFC"/>
    <w:rsid w:val="009B1726"/>
    <w:rsid w:val="009B4C93"/>
    <w:rsid w:val="009C12C8"/>
    <w:rsid w:val="009C3921"/>
    <w:rsid w:val="009C4A4E"/>
    <w:rsid w:val="009C556E"/>
    <w:rsid w:val="009C6FD7"/>
    <w:rsid w:val="009C71B5"/>
    <w:rsid w:val="009D7DE0"/>
    <w:rsid w:val="009E2B0B"/>
    <w:rsid w:val="009E4C02"/>
    <w:rsid w:val="009E717D"/>
    <w:rsid w:val="009F4622"/>
    <w:rsid w:val="009F4AF5"/>
    <w:rsid w:val="009F69CD"/>
    <w:rsid w:val="009F6EF7"/>
    <w:rsid w:val="009F769A"/>
    <w:rsid w:val="00A01CC5"/>
    <w:rsid w:val="00A11A4E"/>
    <w:rsid w:val="00A13C94"/>
    <w:rsid w:val="00A15930"/>
    <w:rsid w:val="00A17B6B"/>
    <w:rsid w:val="00A21F4B"/>
    <w:rsid w:val="00A30544"/>
    <w:rsid w:val="00A335C2"/>
    <w:rsid w:val="00A35C19"/>
    <w:rsid w:val="00A451AE"/>
    <w:rsid w:val="00A45A8D"/>
    <w:rsid w:val="00A50CA9"/>
    <w:rsid w:val="00A51FEA"/>
    <w:rsid w:val="00A60796"/>
    <w:rsid w:val="00A61A3D"/>
    <w:rsid w:val="00A63BB2"/>
    <w:rsid w:val="00A645BD"/>
    <w:rsid w:val="00A652FF"/>
    <w:rsid w:val="00A67216"/>
    <w:rsid w:val="00A706B2"/>
    <w:rsid w:val="00A7654F"/>
    <w:rsid w:val="00A775EC"/>
    <w:rsid w:val="00A77B85"/>
    <w:rsid w:val="00A77CCC"/>
    <w:rsid w:val="00A83C68"/>
    <w:rsid w:val="00A85586"/>
    <w:rsid w:val="00A936F4"/>
    <w:rsid w:val="00A93C9B"/>
    <w:rsid w:val="00A941A4"/>
    <w:rsid w:val="00A94CCA"/>
    <w:rsid w:val="00AA0D4E"/>
    <w:rsid w:val="00AA2A10"/>
    <w:rsid w:val="00AA5098"/>
    <w:rsid w:val="00AA72C7"/>
    <w:rsid w:val="00AA7AD7"/>
    <w:rsid w:val="00AB0D3B"/>
    <w:rsid w:val="00AB12D0"/>
    <w:rsid w:val="00AB2D8F"/>
    <w:rsid w:val="00AC0234"/>
    <w:rsid w:val="00AC11BE"/>
    <w:rsid w:val="00AC12BA"/>
    <w:rsid w:val="00AC14F1"/>
    <w:rsid w:val="00AC2917"/>
    <w:rsid w:val="00AC4EDF"/>
    <w:rsid w:val="00AC67EA"/>
    <w:rsid w:val="00AD0927"/>
    <w:rsid w:val="00AD2417"/>
    <w:rsid w:val="00AD2BCD"/>
    <w:rsid w:val="00AD3563"/>
    <w:rsid w:val="00AD42F4"/>
    <w:rsid w:val="00AE094B"/>
    <w:rsid w:val="00AE1135"/>
    <w:rsid w:val="00AE2C67"/>
    <w:rsid w:val="00AE4ED9"/>
    <w:rsid w:val="00AF01F4"/>
    <w:rsid w:val="00AF2376"/>
    <w:rsid w:val="00AF278D"/>
    <w:rsid w:val="00AF2FB6"/>
    <w:rsid w:val="00AF34AC"/>
    <w:rsid w:val="00AF453C"/>
    <w:rsid w:val="00AF7A66"/>
    <w:rsid w:val="00AF7ECD"/>
    <w:rsid w:val="00B0017E"/>
    <w:rsid w:val="00B01332"/>
    <w:rsid w:val="00B02671"/>
    <w:rsid w:val="00B031D9"/>
    <w:rsid w:val="00B069E7"/>
    <w:rsid w:val="00B10AB8"/>
    <w:rsid w:val="00B1223A"/>
    <w:rsid w:val="00B14880"/>
    <w:rsid w:val="00B16921"/>
    <w:rsid w:val="00B20278"/>
    <w:rsid w:val="00B2035A"/>
    <w:rsid w:val="00B23F70"/>
    <w:rsid w:val="00B24DA9"/>
    <w:rsid w:val="00B35063"/>
    <w:rsid w:val="00B37C05"/>
    <w:rsid w:val="00B415EB"/>
    <w:rsid w:val="00B42FDB"/>
    <w:rsid w:val="00B43A50"/>
    <w:rsid w:val="00B43C8E"/>
    <w:rsid w:val="00B4634E"/>
    <w:rsid w:val="00B46A6E"/>
    <w:rsid w:val="00B471FA"/>
    <w:rsid w:val="00B50494"/>
    <w:rsid w:val="00B51994"/>
    <w:rsid w:val="00B56A6C"/>
    <w:rsid w:val="00B65C1A"/>
    <w:rsid w:val="00B65F5F"/>
    <w:rsid w:val="00B67FE6"/>
    <w:rsid w:val="00B724A3"/>
    <w:rsid w:val="00B7270A"/>
    <w:rsid w:val="00B764FB"/>
    <w:rsid w:val="00B765DF"/>
    <w:rsid w:val="00B7721D"/>
    <w:rsid w:val="00B832DF"/>
    <w:rsid w:val="00B840F3"/>
    <w:rsid w:val="00B84DCC"/>
    <w:rsid w:val="00B85E81"/>
    <w:rsid w:val="00B86F85"/>
    <w:rsid w:val="00B90B70"/>
    <w:rsid w:val="00B93388"/>
    <w:rsid w:val="00B943CF"/>
    <w:rsid w:val="00B96E5E"/>
    <w:rsid w:val="00BA0DE1"/>
    <w:rsid w:val="00BA21D5"/>
    <w:rsid w:val="00BA34F3"/>
    <w:rsid w:val="00BA6372"/>
    <w:rsid w:val="00BA748D"/>
    <w:rsid w:val="00BB1D9D"/>
    <w:rsid w:val="00BB205F"/>
    <w:rsid w:val="00BB4442"/>
    <w:rsid w:val="00BC00E8"/>
    <w:rsid w:val="00BC54E1"/>
    <w:rsid w:val="00BD50DC"/>
    <w:rsid w:val="00BD6A36"/>
    <w:rsid w:val="00BD7799"/>
    <w:rsid w:val="00BE0CBB"/>
    <w:rsid w:val="00BE152D"/>
    <w:rsid w:val="00BE1B7D"/>
    <w:rsid w:val="00BE3F95"/>
    <w:rsid w:val="00BE4F18"/>
    <w:rsid w:val="00BE4F48"/>
    <w:rsid w:val="00BF2273"/>
    <w:rsid w:val="00BF5B6E"/>
    <w:rsid w:val="00C0194D"/>
    <w:rsid w:val="00C029F2"/>
    <w:rsid w:val="00C059CF"/>
    <w:rsid w:val="00C10066"/>
    <w:rsid w:val="00C10FDF"/>
    <w:rsid w:val="00C11557"/>
    <w:rsid w:val="00C11C76"/>
    <w:rsid w:val="00C12CE3"/>
    <w:rsid w:val="00C16AA7"/>
    <w:rsid w:val="00C229F7"/>
    <w:rsid w:val="00C236F7"/>
    <w:rsid w:val="00C24263"/>
    <w:rsid w:val="00C3014E"/>
    <w:rsid w:val="00C3372A"/>
    <w:rsid w:val="00C34776"/>
    <w:rsid w:val="00C34E08"/>
    <w:rsid w:val="00C362CD"/>
    <w:rsid w:val="00C36604"/>
    <w:rsid w:val="00C404B6"/>
    <w:rsid w:val="00C41E86"/>
    <w:rsid w:val="00C44D24"/>
    <w:rsid w:val="00C45F86"/>
    <w:rsid w:val="00C4651D"/>
    <w:rsid w:val="00C51024"/>
    <w:rsid w:val="00C56EEA"/>
    <w:rsid w:val="00C60E2C"/>
    <w:rsid w:val="00C677A6"/>
    <w:rsid w:val="00C67E13"/>
    <w:rsid w:val="00C73F2A"/>
    <w:rsid w:val="00C75B11"/>
    <w:rsid w:val="00C75D22"/>
    <w:rsid w:val="00C7643D"/>
    <w:rsid w:val="00C81AC8"/>
    <w:rsid w:val="00C85D48"/>
    <w:rsid w:val="00C93263"/>
    <w:rsid w:val="00C93748"/>
    <w:rsid w:val="00C9402C"/>
    <w:rsid w:val="00C953DD"/>
    <w:rsid w:val="00C963BD"/>
    <w:rsid w:val="00CA04A8"/>
    <w:rsid w:val="00CA1F20"/>
    <w:rsid w:val="00CA2E10"/>
    <w:rsid w:val="00CA37A2"/>
    <w:rsid w:val="00CA4726"/>
    <w:rsid w:val="00CA5E66"/>
    <w:rsid w:val="00CB229F"/>
    <w:rsid w:val="00CB394A"/>
    <w:rsid w:val="00CB3C4B"/>
    <w:rsid w:val="00CB4B3C"/>
    <w:rsid w:val="00CB52FB"/>
    <w:rsid w:val="00CB6EF8"/>
    <w:rsid w:val="00CB7DA9"/>
    <w:rsid w:val="00CC0764"/>
    <w:rsid w:val="00CC0939"/>
    <w:rsid w:val="00CC219D"/>
    <w:rsid w:val="00CC59E0"/>
    <w:rsid w:val="00CC66FD"/>
    <w:rsid w:val="00CC672C"/>
    <w:rsid w:val="00CD033C"/>
    <w:rsid w:val="00CD12B4"/>
    <w:rsid w:val="00CD59A0"/>
    <w:rsid w:val="00CD5CBD"/>
    <w:rsid w:val="00CE10FB"/>
    <w:rsid w:val="00CE1894"/>
    <w:rsid w:val="00CE4808"/>
    <w:rsid w:val="00CE49D9"/>
    <w:rsid w:val="00CE57E1"/>
    <w:rsid w:val="00CE6205"/>
    <w:rsid w:val="00CE6B87"/>
    <w:rsid w:val="00CE7D37"/>
    <w:rsid w:val="00CF083E"/>
    <w:rsid w:val="00CF3450"/>
    <w:rsid w:val="00CF3AB4"/>
    <w:rsid w:val="00D02AEA"/>
    <w:rsid w:val="00D033C4"/>
    <w:rsid w:val="00D03F63"/>
    <w:rsid w:val="00D055DC"/>
    <w:rsid w:val="00D06138"/>
    <w:rsid w:val="00D061ED"/>
    <w:rsid w:val="00D106A3"/>
    <w:rsid w:val="00D118A1"/>
    <w:rsid w:val="00D11CE7"/>
    <w:rsid w:val="00D13ADA"/>
    <w:rsid w:val="00D145FB"/>
    <w:rsid w:val="00D21DD5"/>
    <w:rsid w:val="00D228BF"/>
    <w:rsid w:val="00D22DEA"/>
    <w:rsid w:val="00D24515"/>
    <w:rsid w:val="00D248F8"/>
    <w:rsid w:val="00D3149B"/>
    <w:rsid w:val="00D31961"/>
    <w:rsid w:val="00D33847"/>
    <w:rsid w:val="00D33D6D"/>
    <w:rsid w:val="00D340EE"/>
    <w:rsid w:val="00D35192"/>
    <w:rsid w:val="00D3658A"/>
    <w:rsid w:val="00D36A4E"/>
    <w:rsid w:val="00D373E5"/>
    <w:rsid w:val="00D375C5"/>
    <w:rsid w:val="00D404BA"/>
    <w:rsid w:val="00D40696"/>
    <w:rsid w:val="00D431D7"/>
    <w:rsid w:val="00D452E2"/>
    <w:rsid w:val="00D457C3"/>
    <w:rsid w:val="00D47131"/>
    <w:rsid w:val="00D51B3F"/>
    <w:rsid w:val="00D51DB0"/>
    <w:rsid w:val="00D54D0A"/>
    <w:rsid w:val="00D600D5"/>
    <w:rsid w:val="00D6412B"/>
    <w:rsid w:val="00D646CA"/>
    <w:rsid w:val="00D7053E"/>
    <w:rsid w:val="00D721BF"/>
    <w:rsid w:val="00D7335E"/>
    <w:rsid w:val="00D756D0"/>
    <w:rsid w:val="00D8070E"/>
    <w:rsid w:val="00D85102"/>
    <w:rsid w:val="00D8683F"/>
    <w:rsid w:val="00D9196A"/>
    <w:rsid w:val="00D91CE8"/>
    <w:rsid w:val="00D93979"/>
    <w:rsid w:val="00D967E7"/>
    <w:rsid w:val="00DA0CFF"/>
    <w:rsid w:val="00DA3A37"/>
    <w:rsid w:val="00DA3ECA"/>
    <w:rsid w:val="00DA3EFC"/>
    <w:rsid w:val="00DB0285"/>
    <w:rsid w:val="00DB054E"/>
    <w:rsid w:val="00DB120C"/>
    <w:rsid w:val="00DB1BE5"/>
    <w:rsid w:val="00DB309E"/>
    <w:rsid w:val="00DB33A0"/>
    <w:rsid w:val="00DB59B9"/>
    <w:rsid w:val="00DC0A19"/>
    <w:rsid w:val="00DC146B"/>
    <w:rsid w:val="00DC24A6"/>
    <w:rsid w:val="00DC267F"/>
    <w:rsid w:val="00DC33A0"/>
    <w:rsid w:val="00DC57F1"/>
    <w:rsid w:val="00DC5EE3"/>
    <w:rsid w:val="00DD00CC"/>
    <w:rsid w:val="00DD16E7"/>
    <w:rsid w:val="00DD37CC"/>
    <w:rsid w:val="00DD39D5"/>
    <w:rsid w:val="00DD5175"/>
    <w:rsid w:val="00DD7567"/>
    <w:rsid w:val="00DE0282"/>
    <w:rsid w:val="00DE25AD"/>
    <w:rsid w:val="00DE2938"/>
    <w:rsid w:val="00DE2D6C"/>
    <w:rsid w:val="00DE7087"/>
    <w:rsid w:val="00DF05E5"/>
    <w:rsid w:val="00DF1D21"/>
    <w:rsid w:val="00DF24A5"/>
    <w:rsid w:val="00DF65D2"/>
    <w:rsid w:val="00DF712C"/>
    <w:rsid w:val="00E02DF0"/>
    <w:rsid w:val="00E04FEE"/>
    <w:rsid w:val="00E05872"/>
    <w:rsid w:val="00E06AC6"/>
    <w:rsid w:val="00E07FB9"/>
    <w:rsid w:val="00E14080"/>
    <w:rsid w:val="00E1643F"/>
    <w:rsid w:val="00E170DE"/>
    <w:rsid w:val="00E21FE5"/>
    <w:rsid w:val="00E22083"/>
    <w:rsid w:val="00E226A3"/>
    <w:rsid w:val="00E22895"/>
    <w:rsid w:val="00E239F6"/>
    <w:rsid w:val="00E24535"/>
    <w:rsid w:val="00E30C15"/>
    <w:rsid w:val="00E42646"/>
    <w:rsid w:val="00E437FD"/>
    <w:rsid w:val="00E478BB"/>
    <w:rsid w:val="00E61E75"/>
    <w:rsid w:val="00E621CC"/>
    <w:rsid w:val="00E66481"/>
    <w:rsid w:val="00E66713"/>
    <w:rsid w:val="00E66ED0"/>
    <w:rsid w:val="00E7053E"/>
    <w:rsid w:val="00E71CF5"/>
    <w:rsid w:val="00E72157"/>
    <w:rsid w:val="00E75069"/>
    <w:rsid w:val="00E77611"/>
    <w:rsid w:val="00E82473"/>
    <w:rsid w:val="00E84C68"/>
    <w:rsid w:val="00E911B1"/>
    <w:rsid w:val="00E91CA4"/>
    <w:rsid w:val="00EA217A"/>
    <w:rsid w:val="00EA3743"/>
    <w:rsid w:val="00EA5A0B"/>
    <w:rsid w:val="00EA7F74"/>
    <w:rsid w:val="00EB0012"/>
    <w:rsid w:val="00EB017B"/>
    <w:rsid w:val="00EB14CE"/>
    <w:rsid w:val="00EB1E16"/>
    <w:rsid w:val="00EB2E8D"/>
    <w:rsid w:val="00EB309B"/>
    <w:rsid w:val="00EB488A"/>
    <w:rsid w:val="00EB4F7C"/>
    <w:rsid w:val="00EB59B6"/>
    <w:rsid w:val="00EC050C"/>
    <w:rsid w:val="00EC79F8"/>
    <w:rsid w:val="00EC7F8C"/>
    <w:rsid w:val="00ED0ABA"/>
    <w:rsid w:val="00ED1CFD"/>
    <w:rsid w:val="00ED3EA9"/>
    <w:rsid w:val="00ED3F64"/>
    <w:rsid w:val="00ED694B"/>
    <w:rsid w:val="00ED7232"/>
    <w:rsid w:val="00EE0BDC"/>
    <w:rsid w:val="00EE5AE5"/>
    <w:rsid w:val="00EE5FF1"/>
    <w:rsid w:val="00EE73A6"/>
    <w:rsid w:val="00EE7981"/>
    <w:rsid w:val="00EF3CA2"/>
    <w:rsid w:val="00EF3CD3"/>
    <w:rsid w:val="00EF3EDD"/>
    <w:rsid w:val="00EF4AD9"/>
    <w:rsid w:val="00EF5DD4"/>
    <w:rsid w:val="00EF6F77"/>
    <w:rsid w:val="00F00719"/>
    <w:rsid w:val="00F02FCF"/>
    <w:rsid w:val="00F04620"/>
    <w:rsid w:val="00F10B11"/>
    <w:rsid w:val="00F10DB0"/>
    <w:rsid w:val="00F11756"/>
    <w:rsid w:val="00F12A56"/>
    <w:rsid w:val="00F12D53"/>
    <w:rsid w:val="00F175AA"/>
    <w:rsid w:val="00F17C41"/>
    <w:rsid w:val="00F2210D"/>
    <w:rsid w:val="00F24081"/>
    <w:rsid w:val="00F24187"/>
    <w:rsid w:val="00F3126D"/>
    <w:rsid w:val="00F32BA5"/>
    <w:rsid w:val="00F335D5"/>
    <w:rsid w:val="00F346A4"/>
    <w:rsid w:val="00F355D6"/>
    <w:rsid w:val="00F35BD0"/>
    <w:rsid w:val="00F36B22"/>
    <w:rsid w:val="00F403DE"/>
    <w:rsid w:val="00F408FC"/>
    <w:rsid w:val="00F42CA6"/>
    <w:rsid w:val="00F44A50"/>
    <w:rsid w:val="00F44C0C"/>
    <w:rsid w:val="00F47E08"/>
    <w:rsid w:val="00F51BC3"/>
    <w:rsid w:val="00F556E5"/>
    <w:rsid w:val="00F563FD"/>
    <w:rsid w:val="00F568D5"/>
    <w:rsid w:val="00F57A38"/>
    <w:rsid w:val="00F63F1B"/>
    <w:rsid w:val="00F667C4"/>
    <w:rsid w:val="00F67C11"/>
    <w:rsid w:val="00F70672"/>
    <w:rsid w:val="00F70785"/>
    <w:rsid w:val="00F70E8D"/>
    <w:rsid w:val="00F72E8B"/>
    <w:rsid w:val="00F816D0"/>
    <w:rsid w:val="00F85D62"/>
    <w:rsid w:val="00F964E5"/>
    <w:rsid w:val="00F966E6"/>
    <w:rsid w:val="00FA224D"/>
    <w:rsid w:val="00FA6124"/>
    <w:rsid w:val="00FA68CB"/>
    <w:rsid w:val="00FA79A9"/>
    <w:rsid w:val="00FB0896"/>
    <w:rsid w:val="00FB09F7"/>
    <w:rsid w:val="00FB4437"/>
    <w:rsid w:val="00FB6387"/>
    <w:rsid w:val="00FC04EE"/>
    <w:rsid w:val="00FC1AAE"/>
    <w:rsid w:val="00FC645A"/>
    <w:rsid w:val="00FC75BA"/>
    <w:rsid w:val="00FD283C"/>
    <w:rsid w:val="00FD4C5D"/>
    <w:rsid w:val="00FD58AF"/>
    <w:rsid w:val="00FD7547"/>
    <w:rsid w:val="00FE543B"/>
    <w:rsid w:val="00FF3CF7"/>
    <w:rsid w:val="00FF3E02"/>
    <w:rsid w:val="00FF55DA"/>
    <w:rsid w:val="00FF79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147"/>
    <w:pPr>
      <w:widowControl w:val="0"/>
      <w:autoSpaceDE w:val="0"/>
      <w:autoSpaceDN w:val="0"/>
    </w:pPr>
    <w:rPr>
      <w:sz w:val="24"/>
      <w:szCs w:val="24"/>
      <w:lang w:val="en-US" w:eastAsia="en-US"/>
    </w:rPr>
  </w:style>
  <w:style w:type="paragraph" w:styleId="Nagwek1">
    <w:name w:val="heading 1"/>
    <w:basedOn w:val="Normalny"/>
    <w:next w:val="Normalny"/>
    <w:qFormat/>
    <w:rsid w:val="004D4147"/>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4D414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D4147"/>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4D4147"/>
    <w:pPr>
      <w:keepNext/>
      <w:numPr>
        <w:ilvl w:val="3"/>
        <w:numId w:val="1"/>
      </w:numPr>
      <w:spacing w:line="288" w:lineRule="auto"/>
      <w:outlineLvl w:val="3"/>
    </w:pPr>
    <w:rPr>
      <w:b/>
      <w:bCs/>
      <w:sz w:val="16"/>
      <w:lang w:val="en-GB"/>
    </w:rPr>
  </w:style>
  <w:style w:type="paragraph" w:styleId="Nagwek5">
    <w:name w:val="heading 5"/>
    <w:basedOn w:val="Normalny"/>
    <w:next w:val="Normalny"/>
    <w:link w:val="Nagwek5Znak"/>
    <w:qFormat/>
    <w:rsid w:val="004D4147"/>
    <w:pPr>
      <w:numPr>
        <w:ilvl w:val="4"/>
        <w:numId w:val="1"/>
      </w:numPr>
      <w:spacing w:before="240" w:after="60"/>
      <w:outlineLvl w:val="4"/>
    </w:pPr>
    <w:rPr>
      <w:b/>
      <w:bCs/>
      <w:i/>
      <w:iCs/>
      <w:sz w:val="26"/>
      <w:szCs w:val="26"/>
    </w:rPr>
  </w:style>
  <w:style w:type="paragraph" w:styleId="Nagwek6">
    <w:name w:val="heading 6"/>
    <w:basedOn w:val="Normalny"/>
    <w:next w:val="Normalny"/>
    <w:qFormat/>
    <w:rsid w:val="004D4147"/>
    <w:pPr>
      <w:numPr>
        <w:ilvl w:val="5"/>
        <w:numId w:val="1"/>
      </w:numPr>
      <w:spacing w:before="240" w:after="60"/>
      <w:outlineLvl w:val="5"/>
    </w:pPr>
    <w:rPr>
      <w:b/>
      <w:bCs/>
      <w:sz w:val="22"/>
      <w:szCs w:val="22"/>
    </w:rPr>
  </w:style>
  <w:style w:type="paragraph" w:styleId="Nagwek7">
    <w:name w:val="heading 7"/>
    <w:basedOn w:val="Normalny"/>
    <w:next w:val="Normalny"/>
    <w:qFormat/>
    <w:rsid w:val="004D4147"/>
    <w:pPr>
      <w:numPr>
        <w:ilvl w:val="6"/>
        <w:numId w:val="1"/>
      </w:numPr>
      <w:spacing w:before="240" w:after="60"/>
      <w:outlineLvl w:val="6"/>
    </w:pPr>
  </w:style>
  <w:style w:type="paragraph" w:styleId="Nagwek8">
    <w:name w:val="heading 8"/>
    <w:basedOn w:val="Normalny"/>
    <w:next w:val="Normalny"/>
    <w:qFormat/>
    <w:rsid w:val="004D4147"/>
    <w:pPr>
      <w:numPr>
        <w:ilvl w:val="7"/>
        <w:numId w:val="1"/>
      </w:numPr>
      <w:spacing w:before="240" w:after="60"/>
      <w:outlineLvl w:val="7"/>
    </w:pPr>
    <w:rPr>
      <w:i/>
      <w:iCs/>
    </w:rPr>
  </w:style>
  <w:style w:type="paragraph" w:styleId="Nagwek9">
    <w:name w:val="heading 9"/>
    <w:basedOn w:val="Normalny"/>
    <w:next w:val="Normalny"/>
    <w:qFormat/>
    <w:rsid w:val="004D4147"/>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4D4147"/>
    <w:pPr>
      <w:tabs>
        <w:tab w:val="center" w:pos="4320"/>
        <w:tab w:val="right" w:pos="8640"/>
      </w:tabs>
    </w:pPr>
  </w:style>
  <w:style w:type="paragraph" w:customStyle="1" w:styleId="BalloonText1">
    <w:name w:val="Balloon Text1"/>
    <w:basedOn w:val="Normalny"/>
    <w:semiHidden/>
    <w:rsid w:val="004D4147"/>
    <w:rPr>
      <w:rFonts w:ascii="Tahoma" w:hAnsi="Tahoma" w:cs="Tahoma"/>
      <w:sz w:val="16"/>
      <w:szCs w:val="16"/>
    </w:rPr>
  </w:style>
  <w:style w:type="paragraph" w:customStyle="1" w:styleId="Style1">
    <w:name w:val="Style 1"/>
    <w:basedOn w:val="Normalny"/>
    <w:rsid w:val="004D4147"/>
    <w:pPr>
      <w:adjustRightInd w:val="0"/>
    </w:pPr>
    <w:rPr>
      <w:sz w:val="20"/>
    </w:rPr>
  </w:style>
  <w:style w:type="paragraph" w:customStyle="1" w:styleId="Style3">
    <w:name w:val="Style 3"/>
    <w:basedOn w:val="Normalny"/>
    <w:rsid w:val="004D4147"/>
    <w:pPr>
      <w:spacing w:before="324"/>
    </w:pPr>
    <w:rPr>
      <w:sz w:val="20"/>
    </w:rPr>
  </w:style>
  <w:style w:type="paragraph" w:styleId="NormalnyWeb">
    <w:name w:val="Normal (Web)"/>
    <w:basedOn w:val="Normalny"/>
    <w:uiPriority w:val="99"/>
    <w:rsid w:val="004D4147"/>
    <w:pPr>
      <w:widowControl/>
      <w:autoSpaceDE/>
      <w:autoSpaceDN/>
      <w:spacing w:before="100" w:beforeAutospacing="1" w:after="100" w:afterAutospacing="1"/>
    </w:pPr>
    <w:rPr>
      <w:lang w:val="pl-PL" w:eastAsia="pl-PL"/>
    </w:rPr>
  </w:style>
  <w:style w:type="paragraph" w:styleId="Tekstpodstawowy">
    <w:name w:val="Body Text"/>
    <w:aliases w:val="b,b1"/>
    <w:basedOn w:val="Normalny"/>
    <w:rsid w:val="004D4147"/>
    <w:pPr>
      <w:keepNext/>
      <w:autoSpaceDE/>
      <w:autoSpaceDN/>
      <w:jc w:val="both"/>
    </w:pPr>
    <w:rPr>
      <w:rFonts w:ascii="Arial" w:hAnsi="Arial"/>
      <w:b/>
      <w:snapToGrid w:val="0"/>
      <w:color w:val="000000"/>
      <w:szCs w:val="20"/>
      <w:lang w:val="pl-PL" w:eastAsia="pl-PL"/>
    </w:rPr>
  </w:style>
  <w:style w:type="character" w:styleId="Numerstrony">
    <w:name w:val="page number"/>
    <w:basedOn w:val="Domylnaczcionkaakapitu"/>
    <w:rsid w:val="004D4147"/>
  </w:style>
  <w:style w:type="paragraph" w:styleId="Nagwek">
    <w:name w:val="header"/>
    <w:basedOn w:val="Normalny"/>
    <w:rsid w:val="004D4147"/>
    <w:pPr>
      <w:tabs>
        <w:tab w:val="center" w:pos="4536"/>
        <w:tab w:val="right" w:pos="9072"/>
      </w:tabs>
    </w:pPr>
  </w:style>
  <w:style w:type="paragraph" w:styleId="Tekstprzypisudolnego">
    <w:name w:val="footnote text"/>
    <w:basedOn w:val="Normalny"/>
    <w:semiHidden/>
    <w:rsid w:val="004D4147"/>
    <w:rPr>
      <w:sz w:val="20"/>
      <w:szCs w:val="20"/>
    </w:rPr>
  </w:style>
  <w:style w:type="character" w:styleId="Odwoanieprzypisudolnego">
    <w:name w:val="footnote reference"/>
    <w:semiHidden/>
    <w:rsid w:val="004D4147"/>
    <w:rPr>
      <w:vertAlign w:val="superscript"/>
    </w:rPr>
  </w:style>
  <w:style w:type="paragraph" w:styleId="HTML-wstpniesformatowany">
    <w:name w:val="HTML Preformatted"/>
    <w:basedOn w:val="Normalny"/>
    <w:rsid w:val="004D41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sz w:val="20"/>
      <w:szCs w:val="20"/>
      <w:lang w:val="pl-PL" w:eastAsia="pl-PL"/>
    </w:rPr>
  </w:style>
  <w:style w:type="paragraph" w:styleId="Tekstpodstawowywcity">
    <w:name w:val="Body Text Indent"/>
    <w:basedOn w:val="Normalny"/>
    <w:rsid w:val="004D4147"/>
    <w:pPr>
      <w:spacing w:after="120"/>
      <w:ind w:left="283"/>
    </w:pPr>
  </w:style>
  <w:style w:type="paragraph" w:styleId="Spistreci2">
    <w:name w:val="toc 2"/>
    <w:basedOn w:val="Normalny"/>
    <w:next w:val="Normalny"/>
    <w:autoRedefine/>
    <w:uiPriority w:val="39"/>
    <w:rsid w:val="004D4147"/>
    <w:pPr>
      <w:tabs>
        <w:tab w:val="left" w:pos="1260"/>
        <w:tab w:val="right" w:leader="dot" w:pos="8820"/>
      </w:tabs>
      <w:ind w:left="1260" w:right="23" w:hanging="1020"/>
    </w:pPr>
  </w:style>
  <w:style w:type="paragraph" w:styleId="Spistreci1">
    <w:name w:val="toc 1"/>
    <w:basedOn w:val="Normalny"/>
    <w:next w:val="Normalny"/>
    <w:autoRedefine/>
    <w:uiPriority w:val="39"/>
    <w:rsid w:val="004D4147"/>
    <w:pPr>
      <w:tabs>
        <w:tab w:val="left" w:pos="540"/>
        <w:tab w:val="right" w:leader="dot" w:pos="8820"/>
      </w:tabs>
      <w:ind w:right="-157"/>
    </w:pPr>
  </w:style>
  <w:style w:type="character" w:styleId="Hipercze">
    <w:name w:val="Hyperlink"/>
    <w:uiPriority w:val="99"/>
    <w:rsid w:val="004D4147"/>
    <w:rPr>
      <w:color w:val="0000FF"/>
      <w:u w:val="single"/>
    </w:rPr>
  </w:style>
  <w:style w:type="paragraph" w:styleId="Tekstpodstawowy2">
    <w:name w:val="Body Text 2"/>
    <w:basedOn w:val="Normalny"/>
    <w:link w:val="Tekstpodstawowy2Znak"/>
    <w:rsid w:val="004D4147"/>
    <w:pPr>
      <w:spacing w:after="120" w:line="480" w:lineRule="auto"/>
    </w:pPr>
  </w:style>
  <w:style w:type="character" w:styleId="Odwoaniedokomentarza">
    <w:name w:val="annotation reference"/>
    <w:uiPriority w:val="99"/>
    <w:semiHidden/>
    <w:rsid w:val="004D4147"/>
    <w:rPr>
      <w:sz w:val="16"/>
      <w:szCs w:val="16"/>
    </w:rPr>
  </w:style>
  <w:style w:type="paragraph" w:styleId="Tekstkomentarza">
    <w:name w:val="annotation text"/>
    <w:basedOn w:val="Normalny"/>
    <w:link w:val="TekstkomentarzaZnak"/>
    <w:semiHidden/>
    <w:rsid w:val="004D4147"/>
    <w:rPr>
      <w:sz w:val="20"/>
      <w:szCs w:val="20"/>
    </w:rPr>
  </w:style>
  <w:style w:type="paragraph" w:customStyle="1" w:styleId="Tabela">
    <w:name w:val="Tabela"/>
    <w:basedOn w:val="Normalny"/>
    <w:next w:val="Normalny"/>
    <w:rsid w:val="00D33847"/>
    <w:pPr>
      <w:autoSpaceDE/>
      <w:autoSpaceDN/>
      <w:spacing w:before="60"/>
      <w:jc w:val="right"/>
    </w:pPr>
    <w:rPr>
      <w:rFonts w:ascii="Verdana" w:hAnsi="Verdana"/>
      <w:sz w:val="18"/>
      <w:szCs w:val="20"/>
      <w:lang w:val="pl-PL" w:eastAsia="pl-PL"/>
    </w:rPr>
  </w:style>
  <w:style w:type="paragraph" w:styleId="Tekstdymka">
    <w:name w:val="Balloon Text"/>
    <w:basedOn w:val="Normalny"/>
    <w:semiHidden/>
    <w:rsid w:val="004D4147"/>
    <w:rPr>
      <w:rFonts w:ascii="Tahoma" w:hAnsi="Tahoma" w:cs="Tahoma"/>
      <w:sz w:val="16"/>
      <w:szCs w:val="16"/>
    </w:rPr>
  </w:style>
  <w:style w:type="paragraph" w:styleId="Tekstpodstawowywcity2">
    <w:name w:val="Body Text Indent 2"/>
    <w:basedOn w:val="Normalny"/>
    <w:rsid w:val="004D4147"/>
    <w:pPr>
      <w:spacing w:after="120" w:line="480" w:lineRule="auto"/>
      <w:ind w:left="283"/>
    </w:pPr>
  </w:style>
  <w:style w:type="paragraph" w:styleId="Tekstblokowy">
    <w:name w:val="Block Text"/>
    <w:basedOn w:val="Normalny"/>
    <w:rsid w:val="004D4147"/>
    <w:pPr>
      <w:ind w:left="180" w:right="201"/>
      <w:jc w:val="both"/>
    </w:pPr>
    <w:rPr>
      <w:sz w:val="16"/>
      <w:szCs w:val="16"/>
      <w:lang w:val="pl-PL"/>
    </w:rPr>
  </w:style>
  <w:style w:type="paragraph" w:styleId="Tekstpodstawowywcity3">
    <w:name w:val="Body Text Indent 3"/>
    <w:basedOn w:val="Normalny"/>
    <w:rsid w:val="004D4147"/>
    <w:pPr>
      <w:spacing w:after="120"/>
      <w:ind w:left="283"/>
    </w:pPr>
    <w:rPr>
      <w:sz w:val="16"/>
      <w:szCs w:val="16"/>
    </w:rPr>
  </w:style>
  <w:style w:type="paragraph" w:styleId="Zwykytekst">
    <w:name w:val="Plain Text"/>
    <w:basedOn w:val="Normalny"/>
    <w:link w:val="ZwykytekstZnak"/>
    <w:uiPriority w:val="99"/>
    <w:rsid w:val="004D4147"/>
    <w:pPr>
      <w:widowControl/>
      <w:autoSpaceDE/>
      <w:autoSpaceDN/>
    </w:pPr>
    <w:rPr>
      <w:rFonts w:ascii="Courier New" w:hAnsi="Courier New" w:cs="Courier New"/>
      <w:sz w:val="20"/>
      <w:szCs w:val="20"/>
      <w:lang w:val="pl-PL" w:eastAsia="pl-PL"/>
    </w:rPr>
  </w:style>
  <w:style w:type="paragraph" w:styleId="Spistreci3">
    <w:name w:val="toc 3"/>
    <w:basedOn w:val="Normalny"/>
    <w:next w:val="Normalny"/>
    <w:autoRedefine/>
    <w:uiPriority w:val="39"/>
    <w:rsid w:val="004D4147"/>
    <w:pPr>
      <w:tabs>
        <w:tab w:val="left" w:pos="1200"/>
        <w:tab w:val="right" w:leader="dot" w:pos="8820"/>
      </w:tabs>
      <w:ind w:left="1260" w:right="-157" w:hanging="780"/>
    </w:pPr>
  </w:style>
  <w:style w:type="character" w:styleId="UyteHipercze">
    <w:name w:val="FollowedHyperlink"/>
    <w:rsid w:val="004D4147"/>
    <w:rPr>
      <w:color w:val="800080"/>
      <w:u w:val="single"/>
    </w:rPr>
  </w:style>
  <w:style w:type="paragraph" w:styleId="Tematkomentarza">
    <w:name w:val="annotation subject"/>
    <w:basedOn w:val="Tekstkomentarza"/>
    <w:next w:val="Tekstkomentarza"/>
    <w:semiHidden/>
    <w:rsid w:val="004D4147"/>
    <w:rPr>
      <w:b/>
      <w:bCs/>
    </w:rPr>
  </w:style>
  <w:style w:type="paragraph" w:customStyle="1" w:styleId="YESNO">
    <w:name w:val="YES/NO"/>
    <w:basedOn w:val="Normalny"/>
    <w:rsid w:val="004D4147"/>
    <w:pPr>
      <w:widowControl/>
      <w:autoSpaceDE/>
      <w:autoSpaceDN/>
      <w:spacing w:before="120"/>
      <w:jc w:val="center"/>
    </w:pPr>
    <w:rPr>
      <w:rFonts w:ascii="Arial" w:hAnsi="Arial"/>
      <w:b/>
      <w:caps/>
      <w:sz w:val="20"/>
      <w:szCs w:val="20"/>
    </w:rPr>
  </w:style>
  <w:style w:type="paragraph" w:styleId="Lista-kontynuacja2">
    <w:name w:val="List Continue 2"/>
    <w:basedOn w:val="Normalny"/>
    <w:rsid w:val="004D4147"/>
    <w:pPr>
      <w:widowControl/>
      <w:autoSpaceDE/>
      <w:autoSpaceDN/>
      <w:spacing w:before="100" w:beforeAutospacing="1" w:after="100" w:afterAutospacing="1"/>
    </w:pPr>
  </w:style>
  <w:style w:type="paragraph" w:styleId="Tekstpodstawowy3">
    <w:name w:val="Body Text 3"/>
    <w:basedOn w:val="Normalny"/>
    <w:rsid w:val="004D4147"/>
    <w:pPr>
      <w:spacing w:after="120"/>
    </w:pPr>
    <w:rPr>
      <w:sz w:val="16"/>
      <w:szCs w:val="16"/>
    </w:rPr>
  </w:style>
  <w:style w:type="paragraph" w:customStyle="1" w:styleId="Bodycopyheader1">
    <w:name w:val="Body copy header 1"/>
    <w:basedOn w:val="Normalny"/>
    <w:rsid w:val="004D4147"/>
    <w:pPr>
      <w:widowControl/>
      <w:autoSpaceDE/>
      <w:autoSpaceDN/>
      <w:spacing w:before="20" w:line="210" w:lineRule="exact"/>
    </w:pPr>
    <w:rPr>
      <w:rFonts w:ascii="Arial" w:eastAsia="PMingLiU" w:hAnsi="Arial" w:cs="Arial"/>
      <w:b/>
      <w:color w:val="000000"/>
      <w:sz w:val="17"/>
      <w:szCs w:val="17"/>
    </w:rPr>
  </w:style>
  <w:style w:type="character" w:styleId="Pogrubienie">
    <w:name w:val="Strong"/>
    <w:uiPriority w:val="22"/>
    <w:qFormat/>
    <w:rsid w:val="004D4147"/>
    <w:rPr>
      <w:b/>
      <w:bCs/>
    </w:rPr>
  </w:style>
  <w:style w:type="paragraph" w:styleId="Akapitzlist">
    <w:name w:val="List Paragraph"/>
    <w:basedOn w:val="Normalny"/>
    <w:uiPriority w:val="34"/>
    <w:qFormat/>
    <w:rsid w:val="004D4147"/>
    <w:pPr>
      <w:ind w:left="708"/>
    </w:pPr>
  </w:style>
  <w:style w:type="character" w:customStyle="1" w:styleId="ZnakZnak">
    <w:name w:val="Znak Znak"/>
    <w:rsid w:val="004D4147"/>
    <w:rPr>
      <w:rFonts w:ascii="Courier New" w:hAnsi="Courier New" w:cs="Courier New"/>
    </w:rPr>
  </w:style>
  <w:style w:type="paragraph" w:customStyle="1" w:styleId="balloontext10">
    <w:name w:val="balloontext1"/>
    <w:basedOn w:val="Normalny"/>
    <w:rsid w:val="004D4147"/>
    <w:pPr>
      <w:widowControl/>
      <w:autoSpaceDE/>
      <w:autoSpaceDN/>
      <w:spacing w:before="100" w:beforeAutospacing="1" w:after="100" w:afterAutospacing="1"/>
    </w:pPr>
    <w:rPr>
      <w:rFonts w:eastAsia="Calibri"/>
      <w:lang w:val="pl-PL" w:eastAsia="pl-PL"/>
    </w:rPr>
  </w:style>
  <w:style w:type="paragraph" w:styleId="Spistreci4">
    <w:name w:val="toc 4"/>
    <w:basedOn w:val="Normalny"/>
    <w:next w:val="Normalny"/>
    <w:autoRedefine/>
    <w:semiHidden/>
    <w:unhideWhenUsed/>
    <w:rsid w:val="004D4147"/>
    <w:pPr>
      <w:ind w:left="720"/>
    </w:pPr>
  </w:style>
  <w:style w:type="paragraph" w:styleId="Spistreci5">
    <w:name w:val="toc 5"/>
    <w:basedOn w:val="Normalny"/>
    <w:next w:val="Normalny"/>
    <w:autoRedefine/>
    <w:semiHidden/>
    <w:unhideWhenUsed/>
    <w:rsid w:val="004D4147"/>
    <w:pPr>
      <w:widowControl/>
      <w:autoSpaceDE/>
      <w:autoSpaceDN/>
      <w:spacing w:after="100" w:line="276" w:lineRule="auto"/>
      <w:ind w:left="880"/>
    </w:pPr>
    <w:rPr>
      <w:rFonts w:ascii="Calibri" w:hAnsi="Calibri"/>
      <w:sz w:val="22"/>
      <w:szCs w:val="22"/>
      <w:lang w:val="pl-PL" w:eastAsia="pl-PL"/>
    </w:rPr>
  </w:style>
  <w:style w:type="paragraph" w:styleId="Spistreci6">
    <w:name w:val="toc 6"/>
    <w:basedOn w:val="Normalny"/>
    <w:next w:val="Normalny"/>
    <w:autoRedefine/>
    <w:semiHidden/>
    <w:unhideWhenUsed/>
    <w:rsid w:val="004D4147"/>
    <w:pPr>
      <w:widowControl/>
      <w:autoSpaceDE/>
      <w:autoSpaceDN/>
      <w:spacing w:after="100" w:line="276" w:lineRule="auto"/>
      <w:ind w:left="1100"/>
    </w:pPr>
    <w:rPr>
      <w:rFonts w:ascii="Calibri" w:hAnsi="Calibri"/>
      <w:sz w:val="22"/>
      <w:szCs w:val="22"/>
      <w:lang w:val="pl-PL" w:eastAsia="pl-PL"/>
    </w:rPr>
  </w:style>
  <w:style w:type="paragraph" w:styleId="Spistreci7">
    <w:name w:val="toc 7"/>
    <w:basedOn w:val="Normalny"/>
    <w:next w:val="Normalny"/>
    <w:autoRedefine/>
    <w:semiHidden/>
    <w:unhideWhenUsed/>
    <w:rsid w:val="004D4147"/>
    <w:pPr>
      <w:widowControl/>
      <w:autoSpaceDE/>
      <w:autoSpaceDN/>
      <w:spacing w:after="100" w:line="276" w:lineRule="auto"/>
      <w:ind w:left="1320"/>
    </w:pPr>
    <w:rPr>
      <w:rFonts w:ascii="Calibri" w:hAnsi="Calibri"/>
      <w:sz w:val="22"/>
      <w:szCs w:val="22"/>
      <w:lang w:val="pl-PL" w:eastAsia="pl-PL"/>
    </w:rPr>
  </w:style>
  <w:style w:type="paragraph" w:styleId="Spistreci8">
    <w:name w:val="toc 8"/>
    <w:basedOn w:val="Normalny"/>
    <w:next w:val="Normalny"/>
    <w:autoRedefine/>
    <w:semiHidden/>
    <w:unhideWhenUsed/>
    <w:rsid w:val="004D4147"/>
    <w:pPr>
      <w:widowControl/>
      <w:autoSpaceDE/>
      <w:autoSpaceDN/>
      <w:spacing w:after="100" w:line="276" w:lineRule="auto"/>
      <w:ind w:left="1540"/>
    </w:pPr>
    <w:rPr>
      <w:rFonts w:ascii="Calibri" w:hAnsi="Calibri"/>
      <w:sz w:val="22"/>
      <w:szCs w:val="22"/>
      <w:lang w:val="pl-PL" w:eastAsia="pl-PL"/>
    </w:rPr>
  </w:style>
  <w:style w:type="paragraph" w:styleId="Spistreci9">
    <w:name w:val="toc 9"/>
    <w:basedOn w:val="Normalny"/>
    <w:next w:val="Normalny"/>
    <w:autoRedefine/>
    <w:semiHidden/>
    <w:unhideWhenUsed/>
    <w:rsid w:val="004D4147"/>
    <w:pPr>
      <w:widowControl/>
      <w:autoSpaceDE/>
      <w:autoSpaceDN/>
      <w:spacing w:after="100" w:line="276" w:lineRule="auto"/>
      <w:ind w:left="1760"/>
    </w:pPr>
    <w:rPr>
      <w:rFonts w:ascii="Calibri" w:hAnsi="Calibri"/>
      <w:sz w:val="22"/>
      <w:szCs w:val="22"/>
      <w:lang w:val="pl-PL" w:eastAsia="pl-PL"/>
    </w:rPr>
  </w:style>
  <w:style w:type="character" w:customStyle="1" w:styleId="ZnakZnak1">
    <w:name w:val="Znak Znak1"/>
    <w:aliases w:val="Nagłówek 3 Znak, Znak Znak1"/>
    <w:rsid w:val="004D4147"/>
    <w:rPr>
      <w:noProof w:val="0"/>
      <w:sz w:val="24"/>
      <w:szCs w:val="24"/>
      <w:lang w:val="en-US" w:eastAsia="en-US"/>
    </w:rPr>
  </w:style>
  <w:style w:type="paragraph" w:customStyle="1" w:styleId="Default">
    <w:name w:val="Default"/>
    <w:rsid w:val="004D4147"/>
    <w:pPr>
      <w:autoSpaceDE w:val="0"/>
      <w:autoSpaceDN w:val="0"/>
      <w:adjustRightInd w:val="0"/>
    </w:pPr>
    <w:rPr>
      <w:color w:val="000000"/>
      <w:sz w:val="24"/>
      <w:szCs w:val="24"/>
      <w:lang w:val="en-US" w:eastAsia="en-US"/>
    </w:rPr>
  </w:style>
  <w:style w:type="paragraph" w:customStyle="1" w:styleId="Bodycopy">
    <w:name w:val="Body copy"/>
    <w:rsid w:val="004D4147"/>
    <w:pPr>
      <w:spacing w:before="20" w:line="210" w:lineRule="exact"/>
    </w:pPr>
    <w:rPr>
      <w:rFonts w:ascii="Arial" w:eastAsia="PMingLiU" w:hAnsi="Arial" w:cs="Arial"/>
      <w:color w:val="000000"/>
      <w:sz w:val="17"/>
      <w:szCs w:val="17"/>
      <w:lang w:val="en-US" w:eastAsia="en-US"/>
    </w:rPr>
  </w:style>
  <w:style w:type="paragraph" w:customStyle="1" w:styleId="Bodycopyrightindent">
    <w:name w:val="Body copy right indent"/>
    <w:basedOn w:val="Bodycopy"/>
    <w:rsid w:val="004D4147"/>
    <w:pPr>
      <w:jc w:val="right"/>
    </w:pPr>
  </w:style>
  <w:style w:type="paragraph" w:customStyle="1" w:styleId="Dividerline">
    <w:name w:val="Divider line"/>
    <w:basedOn w:val="Normalny"/>
    <w:rsid w:val="004D4147"/>
    <w:pPr>
      <w:widowControl/>
      <w:autoSpaceDE/>
      <w:autoSpaceDN/>
    </w:pPr>
    <w:rPr>
      <w:rFonts w:ascii="Arial" w:eastAsia="PMingLiU" w:hAnsi="Arial" w:cs="Courier New"/>
      <w:sz w:val="15"/>
      <w:szCs w:val="15"/>
      <w:lang w:val="en-AU"/>
    </w:rPr>
  </w:style>
  <w:style w:type="paragraph" w:styleId="Legenda">
    <w:name w:val="caption"/>
    <w:basedOn w:val="Normalny"/>
    <w:next w:val="Normalny"/>
    <w:qFormat/>
    <w:rsid w:val="00F667C4"/>
    <w:pPr>
      <w:widowControl/>
      <w:numPr>
        <w:numId w:val="23"/>
      </w:numPr>
      <w:autoSpaceDE/>
      <w:autoSpaceDN/>
      <w:spacing w:before="480" w:after="240"/>
    </w:pPr>
    <w:rPr>
      <w:rFonts w:ascii="Arial" w:hAnsi="Arial" w:cs="Arial"/>
      <w:b/>
      <w:sz w:val="18"/>
      <w:szCs w:val="18"/>
      <w:lang w:val="pl-PL"/>
    </w:rPr>
  </w:style>
  <w:style w:type="paragraph" w:customStyle="1" w:styleId="Plandokumentu1">
    <w:name w:val="Plan dokumentu1"/>
    <w:basedOn w:val="Normalny"/>
    <w:link w:val="PlandokumentuZnak"/>
    <w:semiHidden/>
    <w:rsid w:val="00B51994"/>
    <w:pPr>
      <w:widowControl/>
      <w:shd w:val="clear" w:color="auto" w:fill="000080"/>
      <w:autoSpaceDE/>
      <w:autoSpaceDN/>
    </w:pPr>
    <w:rPr>
      <w:rFonts w:ascii="Tahoma" w:hAnsi="Tahoma" w:cs="Tahoma"/>
      <w:lang w:val="pl-PL" w:eastAsia="pl-PL"/>
    </w:rPr>
  </w:style>
  <w:style w:type="character" w:customStyle="1" w:styleId="PlandokumentuZnak">
    <w:name w:val="Plan dokumentu Znak"/>
    <w:link w:val="Plandokumentu1"/>
    <w:semiHidden/>
    <w:rsid w:val="00B51994"/>
    <w:rPr>
      <w:rFonts w:ascii="Tahoma" w:hAnsi="Tahoma" w:cs="Tahoma"/>
      <w:sz w:val="24"/>
      <w:szCs w:val="24"/>
      <w:shd w:val="clear" w:color="auto" w:fill="000080"/>
    </w:rPr>
  </w:style>
  <w:style w:type="character" w:customStyle="1" w:styleId="tabulatory">
    <w:name w:val="tabulatory"/>
    <w:basedOn w:val="Domylnaczcionkaakapitu"/>
    <w:rsid w:val="00D24515"/>
  </w:style>
  <w:style w:type="paragraph" w:customStyle="1" w:styleId="Znak1">
    <w:name w:val="Znak1"/>
    <w:basedOn w:val="Normalny"/>
    <w:semiHidden/>
    <w:rsid w:val="00C81AC8"/>
    <w:pPr>
      <w:widowControl/>
      <w:autoSpaceDE/>
      <w:autoSpaceDN/>
      <w:spacing w:after="120" w:line="360" w:lineRule="auto"/>
      <w:jc w:val="both"/>
    </w:pPr>
    <w:rPr>
      <w:rFonts w:ascii="Verdana" w:hAnsi="Verdana"/>
      <w:sz w:val="20"/>
      <w:szCs w:val="20"/>
      <w:lang w:val="pl-PL" w:eastAsia="pl-PL"/>
    </w:rPr>
  </w:style>
  <w:style w:type="character" w:customStyle="1" w:styleId="ZwykytekstZnak">
    <w:name w:val="Zwykły tekst Znak"/>
    <w:link w:val="Zwykytekst"/>
    <w:uiPriority w:val="99"/>
    <w:rsid w:val="003D2589"/>
    <w:rPr>
      <w:rFonts w:ascii="Courier New" w:hAnsi="Courier New" w:cs="Courier New"/>
    </w:rPr>
  </w:style>
  <w:style w:type="character" w:customStyle="1" w:styleId="Tekstpodstawowy2Znak">
    <w:name w:val="Tekst podstawowy 2 Znak"/>
    <w:link w:val="Tekstpodstawowy2"/>
    <w:rsid w:val="002432A1"/>
    <w:rPr>
      <w:sz w:val="24"/>
      <w:szCs w:val="24"/>
      <w:lang w:val="en-US" w:eastAsia="en-US"/>
    </w:rPr>
  </w:style>
  <w:style w:type="paragraph" w:styleId="Poprawka">
    <w:name w:val="Revision"/>
    <w:hidden/>
    <w:uiPriority w:val="99"/>
    <w:semiHidden/>
    <w:rsid w:val="002432A1"/>
    <w:rPr>
      <w:sz w:val="24"/>
      <w:szCs w:val="24"/>
      <w:lang w:val="en-US" w:eastAsia="en-US"/>
    </w:rPr>
  </w:style>
  <w:style w:type="character" w:customStyle="1" w:styleId="TekstkomentarzaZnak">
    <w:name w:val="Tekst komentarza Znak"/>
    <w:link w:val="Tekstkomentarza"/>
    <w:semiHidden/>
    <w:rsid w:val="00D03F63"/>
    <w:rPr>
      <w:lang w:val="en-US" w:eastAsia="en-US"/>
    </w:rPr>
  </w:style>
  <w:style w:type="character" w:customStyle="1" w:styleId="Nagwek5Znak">
    <w:name w:val="Nagłówek 5 Znak"/>
    <w:link w:val="Nagwek5"/>
    <w:rsid w:val="00151A83"/>
    <w:rPr>
      <w:b/>
      <w:bCs/>
      <w:i/>
      <w:iCs/>
      <w:sz w:val="26"/>
      <w:szCs w:val="26"/>
      <w:lang w:val="en-US" w:eastAsia="en-US"/>
    </w:rPr>
  </w:style>
  <w:style w:type="table" w:styleId="Tabela-Siatka">
    <w:name w:val="Table Grid"/>
    <w:basedOn w:val="Standardowy"/>
    <w:rsid w:val="00773331"/>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pPr>
    <w:rPr>
      <w:sz w:val="24"/>
      <w:szCs w:val="24"/>
      <w:lang w:val="en-US" w:eastAsia="en-US"/>
    </w:rPr>
  </w:style>
  <w:style w:type="paragraph" w:styleId="Nagwek1">
    <w:name w:val="heading 1"/>
    <w:basedOn w:val="Normalny"/>
    <w:next w:val="Normalny"/>
    <w:qFormat/>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line="288" w:lineRule="auto"/>
      <w:outlineLvl w:val="3"/>
    </w:pPr>
    <w:rPr>
      <w:b/>
      <w:bCs/>
      <w:sz w:val="16"/>
      <w:lang w:val="en-GB"/>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320"/>
        <w:tab w:val="right" w:pos="8640"/>
      </w:tabs>
    </w:pPr>
  </w:style>
  <w:style w:type="paragraph" w:customStyle="1" w:styleId="BalloonText1">
    <w:name w:val="Balloon Text1"/>
    <w:basedOn w:val="Normalny"/>
    <w:semiHidden/>
    <w:rPr>
      <w:rFonts w:ascii="Tahoma" w:hAnsi="Tahoma" w:cs="Tahoma"/>
      <w:sz w:val="16"/>
      <w:szCs w:val="16"/>
    </w:rPr>
  </w:style>
  <w:style w:type="paragraph" w:customStyle="1" w:styleId="Style1">
    <w:name w:val="Style 1"/>
    <w:basedOn w:val="Normalny"/>
    <w:pPr>
      <w:adjustRightInd w:val="0"/>
    </w:pPr>
    <w:rPr>
      <w:sz w:val="20"/>
    </w:rPr>
  </w:style>
  <w:style w:type="paragraph" w:customStyle="1" w:styleId="Style3">
    <w:name w:val="Style 3"/>
    <w:basedOn w:val="Normalny"/>
    <w:pPr>
      <w:spacing w:before="324"/>
    </w:pPr>
    <w:rPr>
      <w:sz w:val="20"/>
    </w:rPr>
  </w:style>
  <w:style w:type="paragraph" w:styleId="NormalnyWeb">
    <w:name w:val="Normal (Web)"/>
    <w:basedOn w:val="Normalny"/>
    <w:uiPriority w:val="99"/>
    <w:pPr>
      <w:widowControl/>
      <w:autoSpaceDE/>
      <w:autoSpaceDN/>
      <w:spacing w:before="100" w:beforeAutospacing="1" w:after="100" w:afterAutospacing="1"/>
    </w:pPr>
    <w:rPr>
      <w:lang w:val="pl-PL" w:eastAsia="pl-PL"/>
    </w:rPr>
  </w:style>
  <w:style w:type="paragraph" w:styleId="Tekstpodstawowy">
    <w:name w:val="Body Text"/>
    <w:aliases w:val="b,b1"/>
    <w:basedOn w:val="Normalny"/>
    <w:pPr>
      <w:keepNext/>
      <w:autoSpaceDE/>
      <w:autoSpaceDN/>
      <w:jc w:val="both"/>
    </w:pPr>
    <w:rPr>
      <w:rFonts w:ascii="Arial" w:hAnsi="Arial"/>
      <w:b/>
      <w:snapToGrid w:val="0"/>
      <w:color w:val="000000"/>
      <w:szCs w:val="20"/>
      <w:lang w:val="pl-PL" w:eastAsia="pl-PL"/>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HTML-wstpniesformatowany">
    <w:name w:val="HTML Preformatted"/>
    <w:basedOn w:val="Normaln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sz w:val="20"/>
      <w:szCs w:val="20"/>
      <w:lang w:val="pl-PL" w:eastAsia="pl-PL"/>
    </w:rPr>
  </w:style>
  <w:style w:type="paragraph" w:styleId="Tekstpodstawowywcity">
    <w:name w:val="Body Text Indent"/>
    <w:basedOn w:val="Normalny"/>
    <w:pPr>
      <w:spacing w:after="120"/>
      <w:ind w:left="283"/>
    </w:pPr>
  </w:style>
  <w:style w:type="paragraph" w:styleId="Spistreci2">
    <w:name w:val="toc 2"/>
    <w:basedOn w:val="Normalny"/>
    <w:next w:val="Normalny"/>
    <w:autoRedefine/>
    <w:uiPriority w:val="39"/>
    <w:pPr>
      <w:tabs>
        <w:tab w:val="left" w:pos="1260"/>
        <w:tab w:val="right" w:leader="dot" w:pos="8820"/>
      </w:tabs>
      <w:ind w:left="1260" w:right="23" w:hanging="1020"/>
    </w:pPr>
  </w:style>
  <w:style w:type="paragraph" w:styleId="Spistreci1">
    <w:name w:val="toc 1"/>
    <w:basedOn w:val="Normalny"/>
    <w:next w:val="Normalny"/>
    <w:autoRedefine/>
    <w:uiPriority w:val="39"/>
    <w:pPr>
      <w:tabs>
        <w:tab w:val="left" w:pos="540"/>
        <w:tab w:val="right" w:leader="dot" w:pos="8820"/>
      </w:tabs>
      <w:ind w:right="-157"/>
    </w:pPr>
  </w:style>
  <w:style w:type="character" w:styleId="Hipercze">
    <w:name w:val="Hyperlink"/>
    <w:uiPriority w:val="99"/>
    <w:rPr>
      <w:color w:val="0000FF"/>
      <w:u w:val="single"/>
    </w:rPr>
  </w:style>
  <w:style w:type="paragraph" w:styleId="Tekstpodstawowy2">
    <w:name w:val="Body Text 2"/>
    <w:basedOn w:val="Normalny"/>
    <w:link w:val="Tekstpodstawowy2Znak"/>
    <w:pPr>
      <w:spacing w:after="120" w:line="480" w:lineRule="auto"/>
    </w:p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semiHidden/>
    <w:rPr>
      <w:sz w:val="20"/>
      <w:szCs w:val="20"/>
    </w:rPr>
  </w:style>
  <w:style w:type="paragraph" w:customStyle="1" w:styleId="Tabela">
    <w:name w:val="Tabela"/>
    <w:basedOn w:val="Normalny"/>
    <w:next w:val="Normalny"/>
    <w:rsid w:val="00D33847"/>
    <w:pPr>
      <w:autoSpaceDE/>
      <w:autoSpaceDN/>
      <w:spacing w:before="60"/>
      <w:jc w:val="right"/>
    </w:pPr>
    <w:rPr>
      <w:rFonts w:ascii="Verdana" w:hAnsi="Verdana"/>
      <w:sz w:val="18"/>
      <w:szCs w:val="20"/>
      <w:lang w:val="pl-PL" w:eastAsia="pl-PL"/>
    </w:rPr>
  </w:style>
  <w:style w:type="paragraph" w:styleId="Tekstdymka">
    <w:name w:val="Balloon Text"/>
    <w:basedOn w:val="Normalny"/>
    <w:semiHidden/>
    <w:rPr>
      <w:rFonts w:ascii="Tahoma" w:hAnsi="Tahoma" w:cs="Tahoma"/>
      <w:sz w:val="16"/>
      <w:szCs w:val="16"/>
    </w:rPr>
  </w:style>
  <w:style w:type="paragraph" w:styleId="Tekstpodstawowywcity2">
    <w:name w:val="Body Text Indent 2"/>
    <w:basedOn w:val="Normalny"/>
    <w:pPr>
      <w:spacing w:after="120" w:line="480" w:lineRule="auto"/>
      <w:ind w:left="283"/>
    </w:pPr>
  </w:style>
  <w:style w:type="paragraph" w:styleId="Tekstblokowy">
    <w:name w:val="Block Text"/>
    <w:basedOn w:val="Normalny"/>
    <w:pPr>
      <w:ind w:left="180" w:right="201"/>
      <w:jc w:val="both"/>
    </w:pPr>
    <w:rPr>
      <w:sz w:val="16"/>
      <w:szCs w:val="16"/>
      <w:lang w:val="pl-PL"/>
    </w:rPr>
  </w:style>
  <w:style w:type="paragraph" w:styleId="Tekstpodstawowywcity3">
    <w:name w:val="Body Text Indent 3"/>
    <w:basedOn w:val="Normalny"/>
    <w:pPr>
      <w:spacing w:after="120"/>
      <w:ind w:left="283"/>
    </w:pPr>
    <w:rPr>
      <w:sz w:val="16"/>
      <w:szCs w:val="16"/>
    </w:rPr>
  </w:style>
  <w:style w:type="paragraph" w:styleId="Zwykytekst">
    <w:name w:val="Plain Text"/>
    <w:basedOn w:val="Normalny"/>
    <w:link w:val="ZwykytekstZnak"/>
    <w:uiPriority w:val="99"/>
    <w:pPr>
      <w:widowControl/>
      <w:autoSpaceDE/>
      <w:autoSpaceDN/>
    </w:pPr>
    <w:rPr>
      <w:rFonts w:ascii="Courier New" w:hAnsi="Courier New" w:cs="Courier New"/>
      <w:sz w:val="20"/>
      <w:szCs w:val="20"/>
      <w:lang w:val="pl-PL" w:eastAsia="pl-PL"/>
    </w:rPr>
  </w:style>
  <w:style w:type="paragraph" w:styleId="Spistreci3">
    <w:name w:val="toc 3"/>
    <w:basedOn w:val="Normalny"/>
    <w:next w:val="Normalny"/>
    <w:autoRedefine/>
    <w:uiPriority w:val="39"/>
    <w:pPr>
      <w:tabs>
        <w:tab w:val="left" w:pos="1200"/>
        <w:tab w:val="right" w:leader="dot" w:pos="8820"/>
      </w:tabs>
      <w:ind w:left="1260" w:right="-157" w:hanging="780"/>
    </w:pPr>
  </w:style>
  <w:style w:type="character" w:styleId="UyteHipercze">
    <w:name w:val="FollowedHyperlink"/>
    <w:rPr>
      <w:color w:val="800080"/>
      <w:u w:val="single"/>
    </w:rPr>
  </w:style>
  <w:style w:type="paragraph" w:styleId="Tematkomentarza">
    <w:name w:val="annotation subject"/>
    <w:basedOn w:val="Tekstkomentarza"/>
    <w:next w:val="Tekstkomentarza"/>
    <w:semiHidden/>
    <w:rPr>
      <w:b/>
      <w:bCs/>
    </w:rPr>
  </w:style>
  <w:style w:type="paragraph" w:customStyle="1" w:styleId="YESNO">
    <w:name w:val="YES/NO"/>
    <w:basedOn w:val="Normalny"/>
    <w:pPr>
      <w:widowControl/>
      <w:autoSpaceDE/>
      <w:autoSpaceDN/>
      <w:spacing w:before="120"/>
      <w:jc w:val="center"/>
    </w:pPr>
    <w:rPr>
      <w:rFonts w:ascii="Arial" w:hAnsi="Arial"/>
      <w:b/>
      <w:caps/>
      <w:sz w:val="20"/>
      <w:szCs w:val="20"/>
    </w:rPr>
  </w:style>
  <w:style w:type="paragraph" w:styleId="Lista-kontynuacja2">
    <w:name w:val="List Continue 2"/>
    <w:basedOn w:val="Normalny"/>
    <w:pPr>
      <w:widowControl/>
      <w:autoSpaceDE/>
      <w:autoSpaceDN/>
      <w:spacing w:before="100" w:beforeAutospacing="1" w:after="100" w:afterAutospacing="1"/>
    </w:pPr>
  </w:style>
  <w:style w:type="paragraph" w:styleId="Tekstpodstawowy3">
    <w:name w:val="Body Text 3"/>
    <w:basedOn w:val="Normalny"/>
    <w:pPr>
      <w:spacing w:after="120"/>
    </w:pPr>
    <w:rPr>
      <w:sz w:val="16"/>
      <w:szCs w:val="16"/>
    </w:rPr>
  </w:style>
  <w:style w:type="paragraph" w:customStyle="1" w:styleId="Bodycopyheader1">
    <w:name w:val="Body copy header 1"/>
    <w:basedOn w:val="Normalny"/>
    <w:pPr>
      <w:widowControl/>
      <w:autoSpaceDE/>
      <w:autoSpaceDN/>
      <w:spacing w:before="20" w:line="210" w:lineRule="exact"/>
    </w:pPr>
    <w:rPr>
      <w:rFonts w:ascii="Arial" w:eastAsia="PMingLiU" w:hAnsi="Arial" w:cs="Arial"/>
      <w:b/>
      <w:color w:val="000000"/>
      <w:sz w:val="17"/>
      <w:szCs w:val="17"/>
    </w:rPr>
  </w:style>
  <w:style w:type="character" w:styleId="Pogrubienie">
    <w:name w:val="Strong"/>
    <w:uiPriority w:val="22"/>
    <w:qFormat/>
    <w:rPr>
      <w:b/>
      <w:bCs/>
    </w:rPr>
  </w:style>
  <w:style w:type="paragraph" w:styleId="Akapitzlist">
    <w:name w:val="List Paragraph"/>
    <w:basedOn w:val="Normalny"/>
    <w:uiPriority w:val="34"/>
    <w:qFormat/>
    <w:pPr>
      <w:ind w:left="708"/>
    </w:pPr>
  </w:style>
  <w:style w:type="character" w:customStyle="1" w:styleId="ZnakZnak">
    <w:name w:val="Znak Znak"/>
    <w:rPr>
      <w:rFonts w:ascii="Courier New" w:hAnsi="Courier New" w:cs="Courier New"/>
    </w:rPr>
  </w:style>
  <w:style w:type="paragraph" w:customStyle="1" w:styleId="balloontext10">
    <w:name w:val="balloontext1"/>
    <w:basedOn w:val="Normalny"/>
    <w:pPr>
      <w:widowControl/>
      <w:autoSpaceDE/>
      <w:autoSpaceDN/>
      <w:spacing w:before="100" w:beforeAutospacing="1" w:after="100" w:afterAutospacing="1"/>
    </w:pPr>
    <w:rPr>
      <w:rFonts w:eastAsia="Calibri"/>
      <w:lang w:val="pl-PL" w:eastAsia="pl-PL"/>
    </w:rPr>
  </w:style>
  <w:style w:type="paragraph" w:styleId="Spistreci4">
    <w:name w:val="toc 4"/>
    <w:basedOn w:val="Normalny"/>
    <w:next w:val="Normalny"/>
    <w:autoRedefine/>
    <w:semiHidden/>
    <w:unhideWhenUsed/>
    <w:pPr>
      <w:ind w:left="720"/>
    </w:pPr>
  </w:style>
  <w:style w:type="paragraph" w:styleId="Spistreci5">
    <w:name w:val="toc 5"/>
    <w:basedOn w:val="Normalny"/>
    <w:next w:val="Normalny"/>
    <w:autoRedefine/>
    <w:semiHidden/>
    <w:unhideWhenUsed/>
    <w:pPr>
      <w:widowControl/>
      <w:autoSpaceDE/>
      <w:autoSpaceDN/>
      <w:spacing w:after="100" w:line="276" w:lineRule="auto"/>
      <w:ind w:left="880"/>
    </w:pPr>
    <w:rPr>
      <w:rFonts w:ascii="Calibri" w:hAnsi="Calibri"/>
      <w:sz w:val="22"/>
      <w:szCs w:val="22"/>
      <w:lang w:val="pl-PL" w:eastAsia="pl-PL"/>
    </w:rPr>
  </w:style>
  <w:style w:type="paragraph" w:styleId="Spistreci6">
    <w:name w:val="toc 6"/>
    <w:basedOn w:val="Normalny"/>
    <w:next w:val="Normalny"/>
    <w:autoRedefine/>
    <w:semiHidden/>
    <w:unhideWhenUsed/>
    <w:pPr>
      <w:widowControl/>
      <w:autoSpaceDE/>
      <w:autoSpaceDN/>
      <w:spacing w:after="100" w:line="276" w:lineRule="auto"/>
      <w:ind w:left="1100"/>
    </w:pPr>
    <w:rPr>
      <w:rFonts w:ascii="Calibri" w:hAnsi="Calibri"/>
      <w:sz w:val="22"/>
      <w:szCs w:val="22"/>
      <w:lang w:val="pl-PL" w:eastAsia="pl-PL"/>
    </w:rPr>
  </w:style>
  <w:style w:type="paragraph" w:styleId="Spistreci7">
    <w:name w:val="toc 7"/>
    <w:basedOn w:val="Normalny"/>
    <w:next w:val="Normalny"/>
    <w:autoRedefine/>
    <w:semiHidden/>
    <w:unhideWhenUsed/>
    <w:pPr>
      <w:widowControl/>
      <w:autoSpaceDE/>
      <w:autoSpaceDN/>
      <w:spacing w:after="100" w:line="276" w:lineRule="auto"/>
      <w:ind w:left="1320"/>
    </w:pPr>
    <w:rPr>
      <w:rFonts w:ascii="Calibri" w:hAnsi="Calibri"/>
      <w:sz w:val="22"/>
      <w:szCs w:val="22"/>
      <w:lang w:val="pl-PL" w:eastAsia="pl-PL"/>
    </w:rPr>
  </w:style>
  <w:style w:type="paragraph" w:styleId="Spistreci8">
    <w:name w:val="toc 8"/>
    <w:basedOn w:val="Normalny"/>
    <w:next w:val="Normalny"/>
    <w:autoRedefine/>
    <w:semiHidden/>
    <w:unhideWhenUsed/>
    <w:pPr>
      <w:widowControl/>
      <w:autoSpaceDE/>
      <w:autoSpaceDN/>
      <w:spacing w:after="100" w:line="276" w:lineRule="auto"/>
      <w:ind w:left="1540"/>
    </w:pPr>
    <w:rPr>
      <w:rFonts w:ascii="Calibri" w:hAnsi="Calibri"/>
      <w:sz w:val="22"/>
      <w:szCs w:val="22"/>
      <w:lang w:val="pl-PL" w:eastAsia="pl-PL"/>
    </w:rPr>
  </w:style>
  <w:style w:type="paragraph" w:styleId="Spistreci9">
    <w:name w:val="toc 9"/>
    <w:basedOn w:val="Normalny"/>
    <w:next w:val="Normalny"/>
    <w:autoRedefine/>
    <w:semiHidden/>
    <w:unhideWhenUsed/>
    <w:pPr>
      <w:widowControl/>
      <w:autoSpaceDE/>
      <w:autoSpaceDN/>
      <w:spacing w:after="100" w:line="276" w:lineRule="auto"/>
      <w:ind w:left="1760"/>
    </w:pPr>
    <w:rPr>
      <w:rFonts w:ascii="Calibri" w:hAnsi="Calibri"/>
      <w:sz w:val="22"/>
      <w:szCs w:val="22"/>
      <w:lang w:val="pl-PL" w:eastAsia="pl-PL"/>
    </w:rPr>
  </w:style>
  <w:style w:type="character" w:customStyle="1" w:styleId="ZnakZnak1">
    <w:name w:val="Znak Znak1"/>
    <w:aliases w:val="Nagłówek 3 Znak, Znak Znak1"/>
    <w:rPr>
      <w:noProof w:val="0"/>
      <w:sz w:val="24"/>
      <w:szCs w:val="24"/>
      <w:lang w:val="en-US" w:eastAsia="en-U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Bodycopy">
    <w:name w:val="Body copy"/>
    <w:pPr>
      <w:spacing w:before="20" w:line="210" w:lineRule="exact"/>
    </w:pPr>
    <w:rPr>
      <w:rFonts w:ascii="Arial" w:eastAsia="PMingLiU" w:hAnsi="Arial" w:cs="Arial"/>
      <w:color w:val="000000"/>
      <w:sz w:val="17"/>
      <w:szCs w:val="17"/>
      <w:lang w:val="en-US" w:eastAsia="en-US"/>
    </w:rPr>
  </w:style>
  <w:style w:type="paragraph" w:customStyle="1" w:styleId="Bodycopyrightindent">
    <w:name w:val="Body copy right indent"/>
    <w:basedOn w:val="Bodycopy"/>
    <w:pPr>
      <w:jc w:val="right"/>
    </w:pPr>
  </w:style>
  <w:style w:type="paragraph" w:customStyle="1" w:styleId="Dividerline">
    <w:name w:val="Divider line"/>
    <w:basedOn w:val="Normalny"/>
    <w:pPr>
      <w:widowControl/>
      <w:autoSpaceDE/>
      <w:autoSpaceDN/>
    </w:pPr>
    <w:rPr>
      <w:rFonts w:ascii="Arial" w:eastAsia="PMingLiU" w:hAnsi="Arial" w:cs="Courier New"/>
      <w:sz w:val="15"/>
      <w:szCs w:val="15"/>
      <w:lang w:val="en-AU"/>
    </w:rPr>
  </w:style>
  <w:style w:type="paragraph" w:styleId="Legenda">
    <w:name w:val="caption"/>
    <w:basedOn w:val="Normalny"/>
    <w:next w:val="Normalny"/>
    <w:qFormat/>
    <w:rsid w:val="00F667C4"/>
    <w:pPr>
      <w:widowControl/>
      <w:numPr>
        <w:numId w:val="23"/>
      </w:numPr>
      <w:autoSpaceDE/>
      <w:autoSpaceDN/>
      <w:spacing w:before="480" w:after="240"/>
    </w:pPr>
    <w:rPr>
      <w:rFonts w:ascii="Arial" w:hAnsi="Arial" w:cs="Arial"/>
      <w:b/>
      <w:sz w:val="18"/>
      <w:szCs w:val="18"/>
      <w:lang w:val="pl-PL"/>
    </w:rPr>
  </w:style>
  <w:style w:type="paragraph" w:customStyle="1" w:styleId="Plandokumentu">
    <w:name w:val="Plan dokumentu"/>
    <w:basedOn w:val="Normalny"/>
    <w:link w:val="PlandokumentuZnak"/>
    <w:semiHidden/>
    <w:rsid w:val="00B51994"/>
    <w:pPr>
      <w:widowControl/>
      <w:shd w:val="clear" w:color="auto" w:fill="000080"/>
      <w:autoSpaceDE/>
      <w:autoSpaceDN/>
    </w:pPr>
    <w:rPr>
      <w:rFonts w:ascii="Tahoma" w:hAnsi="Tahoma" w:cs="Tahoma"/>
      <w:lang w:val="pl-PL" w:eastAsia="pl-PL"/>
    </w:rPr>
  </w:style>
  <w:style w:type="character" w:customStyle="1" w:styleId="PlandokumentuZnak">
    <w:name w:val="Plan dokumentu Znak"/>
    <w:link w:val="Plandokumentu"/>
    <w:semiHidden/>
    <w:rsid w:val="00B51994"/>
    <w:rPr>
      <w:rFonts w:ascii="Tahoma" w:hAnsi="Tahoma" w:cs="Tahoma"/>
      <w:sz w:val="24"/>
      <w:szCs w:val="24"/>
      <w:shd w:val="clear" w:color="auto" w:fill="000080"/>
    </w:rPr>
  </w:style>
  <w:style w:type="character" w:customStyle="1" w:styleId="tabulatory">
    <w:name w:val="tabulatory"/>
    <w:basedOn w:val="Domylnaczcionkaakapitu"/>
    <w:rsid w:val="00D24515"/>
  </w:style>
  <w:style w:type="paragraph" w:customStyle="1" w:styleId="Znak1">
    <w:name w:val="Znak1"/>
    <w:basedOn w:val="Normalny"/>
    <w:semiHidden/>
    <w:rsid w:val="00C81AC8"/>
    <w:pPr>
      <w:widowControl/>
      <w:autoSpaceDE/>
      <w:autoSpaceDN/>
      <w:spacing w:after="120" w:line="360" w:lineRule="auto"/>
      <w:jc w:val="both"/>
    </w:pPr>
    <w:rPr>
      <w:rFonts w:ascii="Verdana" w:hAnsi="Verdana"/>
      <w:sz w:val="20"/>
      <w:szCs w:val="20"/>
      <w:lang w:val="pl-PL" w:eastAsia="pl-PL"/>
    </w:rPr>
  </w:style>
  <w:style w:type="character" w:customStyle="1" w:styleId="ZwykytekstZnak">
    <w:name w:val="Zwykły tekst Znak"/>
    <w:link w:val="Zwykytekst"/>
    <w:uiPriority w:val="99"/>
    <w:rsid w:val="003D2589"/>
    <w:rPr>
      <w:rFonts w:ascii="Courier New" w:hAnsi="Courier New" w:cs="Courier New"/>
    </w:rPr>
  </w:style>
  <w:style w:type="character" w:customStyle="1" w:styleId="Tekstpodstawowy2Znak">
    <w:name w:val="Tekst podstawowy 2 Znak"/>
    <w:link w:val="Tekstpodstawowy2"/>
    <w:rsid w:val="002432A1"/>
    <w:rPr>
      <w:sz w:val="24"/>
      <w:szCs w:val="24"/>
      <w:lang w:val="en-US" w:eastAsia="en-US"/>
    </w:rPr>
  </w:style>
  <w:style w:type="paragraph" w:styleId="Poprawka">
    <w:name w:val="Revision"/>
    <w:hidden/>
    <w:uiPriority w:val="99"/>
    <w:semiHidden/>
    <w:rsid w:val="002432A1"/>
    <w:rPr>
      <w:sz w:val="24"/>
      <w:szCs w:val="24"/>
      <w:lang w:val="en-US" w:eastAsia="en-US"/>
    </w:rPr>
  </w:style>
  <w:style w:type="character" w:customStyle="1" w:styleId="TekstkomentarzaZnak">
    <w:name w:val="Tekst komentarza Znak"/>
    <w:link w:val="Tekstkomentarza"/>
    <w:semiHidden/>
    <w:rsid w:val="00D03F63"/>
    <w:rPr>
      <w:lang w:val="en-US" w:eastAsia="en-US"/>
    </w:rPr>
  </w:style>
  <w:style w:type="character" w:customStyle="1" w:styleId="Nagwek5Znak">
    <w:name w:val="Nagłówek 5 Znak"/>
    <w:link w:val="Nagwek5"/>
    <w:rsid w:val="00151A83"/>
    <w:rPr>
      <w:b/>
      <w:bCs/>
      <w:i/>
      <w:iCs/>
      <w:sz w:val="26"/>
      <w:szCs w:val="26"/>
      <w:lang w:val="en-US" w:eastAsia="en-US"/>
    </w:rPr>
  </w:style>
  <w:style w:type="table" w:styleId="Tabela-Siatka">
    <w:name w:val="Table Grid"/>
    <w:basedOn w:val="Standardowy"/>
    <w:rsid w:val="00773331"/>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730555">
      <w:bodyDiv w:val="1"/>
      <w:marLeft w:val="0"/>
      <w:marRight w:val="0"/>
      <w:marTop w:val="0"/>
      <w:marBottom w:val="0"/>
      <w:divBdr>
        <w:top w:val="none" w:sz="0" w:space="0" w:color="auto"/>
        <w:left w:val="none" w:sz="0" w:space="0" w:color="auto"/>
        <w:bottom w:val="none" w:sz="0" w:space="0" w:color="auto"/>
        <w:right w:val="none" w:sz="0" w:space="0" w:color="auto"/>
      </w:divBdr>
    </w:div>
    <w:div w:id="209267496">
      <w:bodyDiv w:val="1"/>
      <w:marLeft w:val="0"/>
      <w:marRight w:val="0"/>
      <w:marTop w:val="0"/>
      <w:marBottom w:val="0"/>
      <w:divBdr>
        <w:top w:val="none" w:sz="0" w:space="0" w:color="auto"/>
        <w:left w:val="none" w:sz="0" w:space="0" w:color="auto"/>
        <w:bottom w:val="none" w:sz="0" w:space="0" w:color="auto"/>
        <w:right w:val="none" w:sz="0" w:space="0" w:color="auto"/>
      </w:divBdr>
    </w:div>
    <w:div w:id="253822319">
      <w:bodyDiv w:val="1"/>
      <w:marLeft w:val="0"/>
      <w:marRight w:val="0"/>
      <w:marTop w:val="0"/>
      <w:marBottom w:val="0"/>
      <w:divBdr>
        <w:top w:val="none" w:sz="0" w:space="0" w:color="auto"/>
        <w:left w:val="none" w:sz="0" w:space="0" w:color="auto"/>
        <w:bottom w:val="none" w:sz="0" w:space="0" w:color="auto"/>
        <w:right w:val="none" w:sz="0" w:space="0" w:color="auto"/>
      </w:divBdr>
    </w:div>
    <w:div w:id="293945745">
      <w:bodyDiv w:val="1"/>
      <w:marLeft w:val="0"/>
      <w:marRight w:val="0"/>
      <w:marTop w:val="0"/>
      <w:marBottom w:val="0"/>
      <w:divBdr>
        <w:top w:val="none" w:sz="0" w:space="0" w:color="auto"/>
        <w:left w:val="none" w:sz="0" w:space="0" w:color="auto"/>
        <w:bottom w:val="none" w:sz="0" w:space="0" w:color="auto"/>
        <w:right w:val="none" w:sz="0" w:space="0" w:color="auto"/>
      </w:divBdr>
    </w:div>
    <w:div w:id="301622227">
      <w:bodyDiv w:val="1"/>
      <w:marLeft w:val="0"/>
      <w:marRight w:val="0"/>
      <w:marTop w:val="0"/>
      <w:marBottom w:val="0"/>
      <w:divBdr>
        <w:top w:val="none" w:sz="0" w:space="0" w:color="auto"/>
        <w:left w:val="none" w:sz="0" w:space="0" w:color="auto"/>
        <w:bottom w:val="none" w:sz="0" w:space="0" w:color="auto"/>
        <w:right w:val="none" w:sz="0" w:space="0" w:color="auto"/>
      </w:divBdr>
    </w:div>
    <w:div w:id="451366554">
      <w:bodyDiv w:val="1"/>
      <w:marLeft w:val="0"/>
      <w:marRight w:val="0"/>
      <w:marTop w:val="0"/>
      <w:marBottom w:val="0"/>
      <w:divBdr>
        <w:top w:val="none" w:sz="0" w:space="0" w:color="auto"/>
        <w:left w:val="none" w:sz="0" w:space="0" w:color="auto"/>
        <w:bottom w:val="none" w:sz="0" w:space="0" w:color="auto"/>
        <w:right w:val="none" w:sz="0" w:space="0" w:color="auto"/>
      </w:divBdr>
    </w:div>
    <w:div w:id="453140547">
      <w:bodyDiv w:val="1"/>
      <w:marLeft w:val="0"/>
      <w:marRight w:val="0"/>
      <w:marTop w:val="0"/>
      <w:marBottom w:val="0"/>
      <w:divBdr>
        <w:top w:val="none" w:sz="0" w:space="0" w:color="auto"/>
        <w:left w:val="none" w:sz="0" w:space="0" w:color="auto"/>
        <w:bottom w:val="none" w:sz="0" w:space="0" w:color="auto"/>
        <w:right w:val="none" w:sz="0" w:space="0" w:color="auto"/>
      </w:divBdr>
    </w:div>
    <w:div w:id="557206676">
      <w:bodyDiv w:val="1"/>
      <w:marLeft w:val="0"/>
      <w:marRight w:val="0"/>
      <w:marTop w:val="0"/>
      <w:marBottom w:val="0"/>
      <w:divBdr>
        <w:top w:val="none" w:sz="0" w:space="0" w:color="auto"/>
        <w:left w:val="none" w:sz="0" w:space="0" w:color="auto"/>
        <w:bottom w:val="none" w:sz="0" w:space="0" w:color="auto"/>
        <w:right w:val="none" w:sz="0" w:space="0" w:color="auto"/>
      </w:divBdr>
    </w:div>
    <w:div w:id="565185148">
      <w:bodyDiv w:val="1"/>
      <w:marLeft w:val="0"/>
      <w:marRight w:val="0"/>
      <w:marTop w:val="0"/>
      <w:marBottom w:val="0"/>
      <w:divBdr>
        <w:top w:val="none" w:sz="0" w:space="0" w:color="auto"/>
        <w:left w:val="none" w:sz="0" w:space="0" w:color="auto"/>
        <w:bottom w:val="none" w:sz="0" w:space="0" w:color="auto"/>
        <w:right w:val="none" w:sz="0" w:space="0" w:color="auto"/>
      </w:divBdr>
    </w:div>
    <w:div w:id="568345618">
      <w:bodyDiv w:val="1"/>
      <w:marLeft w:val="0"/>
      <w:marRight w:val="0"/>
      <w:marTop w:val="0"/>
      <w:marBottom w:val="0"/>
      <w:divBdr>
        <w:top w:val="none" w:sz="0" w:space="0" w:color="auto"/>
        <w:left w:val="none" w:sz="0" w:space="0" w:color="auto"/>
        <w:bottom w:val="none" w:sz="0" w:space="0" w:color="auto"/>
        <w:right w:val="none" w:sz="0" w:space="0" w:color="auto"/>
      </w:divBdr>
    </w:div>
    <w:div w:id="578292757">
      <w:bodyDiv w:val="1"/>
      <w:marLeft w:val="0"/>
      <w:marRight w:val="0"/>
      <w:marTop w:val="0"/>
      <w:marBottom w:val="0"/>
      <w:divBdr>
        <w:top w:val="none" w:sz="0" w:space="0" w:color="auto"/>
        <w:left w:val="none" w:sz="0" w:space="0" w:color="auto"/>
        <w:bottom w:val="none" w:sz="0" w:space="0" w:color="auto"/>
        <w:right w:val="none" w:sz="0" w:space="0" w:color="auto"/>
      </w:divBdr>
    </w:div>
    <w:div w:id="689528095">
      <w:bodyDiv w:val="1"/>
      <w:marLeft w:val="0"/>
      <w:marRight w:val="0"/>
      <w:marTop w:val="0"/>
      <w:marBottom w:val="0"/>
      <w:divBdr>
        <w:top w:val="none" w:sz="0" w:space="0" w:color="auto"/>
        <w:left w:val="none" w:sz="0" w:space="0" w:color="auto"/>
        <w:bottom w:val="none" w:sz="0" w:space="0" w:color="auto"/>
        <w:right w:val="none" w:sz="0" w:space="0" w:color="auto"/>
      </w:divBdr>
    </w:div>
    <w:div w:id="732629108">
      <w:bodyDiv w:val="1"/>
      <w:marLeft w:val="0"/>
      <w:marRight w:val="0"/>
      <w:marTop w:val="0"/>
      <w:marBottom w:val="0"/>
      <w:divBdr>
        <w:top w:val="none" w:sz="0" w:space="0" w:color="auto"/>
        <w:left w:val="none" w:sz="0" w:space="0" w:color="auto"/>
        <w:bottom w:val="none" w:sz="0" w:space="0" w:color="auto"/>
        <w:right w:val="none" w:sz="0" w:space="0" w:color="auto"/>
      </w:divBdr>
    </w:div>
    <w:div w:id="773480011">
      <w:bodyDiv w:val="1"/>
      <w:marLeft w:val="0"/>
      <w:marRight w:val="0"/>
      <w:marTop w:val="0"/>
      <w:marBottom w:val="0"/>
      <w:divBdr>
        <w:top w:val="none" w:sz="0" w:space="0" w:color="auto"/>
        <w:left w:val="none" w:sz="0" w:space="0" w:color="auto"/>
        <w:bottom w:val="none" w:sz="0" w:space="0" w:color="auto"/>
        <w:right w:val="none" w:sz="0" w:space="0" w:color="auto"/>
      </w:divBdr>
    </w:div>
    <w:div w:id="899293873">
      <w:bodyDiv w:val="1"/>
      <w:marLeft w:val="0"/>
      <w:marRight w:val="0"/>
      <w:marTop w:val="0"/>
      <w:marBottom w:val="0"/>
      <w:divBdr>
        <w:top w:val="none" w:sz="0" w:space="0" w:color="auto"/>
        <w:left w:val="none" w:sz="0" w:space="0" w:color="auto"/>
        <w:bottom w:val="none" w:sz="0" w:space="0" w:color="auto"/>
        <w:right w:val="none" w:sz="0" w:space="0" w:color="auto"/>
      </w:divBdr>
    </w:div>
    <w:div w:id="1100679802">
      <w:bodyDiv w:val="1"/>
      <w:marLeft w:val="0"/>
      <w:marRight w:val="0"/>
      <w:marTop w:val="0"/>
      <w:marBottom w:val="0"/>
      <w:divBdr>
        <w:top w:val="none" w:sz="0" w:space="0" w:color="auto"/>
        <w:left w:val="none" w:sz="0" w:space="0" w:color="auto"/>
        <w:bottom w:val="none" w:sz="0" w:space="0" w:color="auto"/>
        <w:right w:val="none" w:sz="0" w:space="0" w:color="auto"/>
      </w:divBdr>
    </w:div>
    <w:div w:id="1106849864">
      <w:bodyDiv w:val="1"/>
      <w:marLeft w:val="0"/>
      <w:marRight w:val="0"/>
      <w:marTop w:val="0"/>
      <w:marBottom w:val="0"/>
      <w:divBdr>
        <w:top w:val="none" w:sz="0" w:space="0" w:color="auto"/>
        <w:left w:val="none" w:sz="0" w:space="0" w:color="auto"/>
        <w:bottom w:val="none" w:sz="0" w:space="0" w:color="auto"/>
        <w:right w:val="none" w:sz="0" w:space="0" w:color="auto"/>
      </w:divBdr>
    </w:div>
    <w:div w:id="1170752282">
      <w:bodyDiv w:val="1"/>
      <w:marLeft w:val="0"/>
      <w:marRight w:val="0"/>
      <w:marTop w:val="0"/>
      <w:marBottom w:val="0"/>
      <w:divBdr>
        <w:top w:val="none" w:sz="0" w:space="0" w:color="auto"/>
        <w:left w:val="none" w:sz="0" w:space="0" w:color="auto"/>
        <w:bottom w:val="none" w:sz="0" w:space="0" w:color="auto"/>
        <w:right w:val="none" w:sz="0" w:space="0" w:color="auto"/>
      </w:divBdr>
    </w:div>
    <w:div w:id="1373728792">
      <w:bodyDiv w:val="1"/>
      <w:marLeft w:val="0"/>
      <w:marRight w:val="0"/>
      <w:marTop w:val="0"/>
      <w:marBottom w:val="0"/>
      <w:divBdr>
        <w:top w:val="none" w:sz="0" w:space="0" w:color="auto"/>
        <w:left w:val="none" w:sz="0" w:space="0" w:color="auto"/>
        <w:bottom w:val="none" w:sz="0" w:space="0" w:color="auto"/>
        <w:right w:val="none" w:sz="0" w:space="0" w:color="auto"/>
      </w:divBdr>
    </w:div>
    <w:div w:id="1412238721">
      <w:bodyDiv w:val="1"/>
      <w:marLeft w:val="0"/>
      <w:marRight w:val="0"/>
      <w:marTop w:val="0"/>
      <w:marBottom w:val="0"/>
      <w:divBdr>
        <w:top w:val="none" w:sz="0" w:space="0" w:color="auto"/>
        <w:left w:val="none" w:sz="0" w:space="0" w:color="auto"/>
        <w:bottom w:val="none" w:sz="0" w:space="0" w:color="auto"/>
        <w:right w:val="none" w:sz="0" w:space="0" w:color="auto"/>
      </w:divBdr>
    </w:div>
    <w:div w:id="1416777741">
      <w:bodyDiv w:val="1"/>
      <w:marLeft w:val="0"/>
      <w:marRight w:val="0"/>
      <w:marTop w:val="0"/>
      <w:marBottom w:val="0"/>
      <w:divBdr>
        <w:top w:val="none" w:sz="0" w:space="0" w:color="auto"/>
        <w:left w:val="none" w:sz="0" w:space="0" w:color="auto"/>
        <w:bottom w:val="none" w:sz="0" w:space="0" w:color="auto"/>
        <w:right w:val="none" w:sz="0" w:space="0" w:color="auto"/>
      </w:divBdr>
    </w:div>
    <w:div w:id="1453551161">
      <w:bodyDiv w:val="1"/>
      <w:marLeft w:val="0"/>
      <w:marRight w:val="0"/>
      <w:marTop w:val="0"/>
      <w:marBottom w:val="0"/>
      <w:divBdr>
        <w:top w:val="none" w:sz="0" w:space="0" w:color="auto"/>
        <w:left w:val="none" w:sz="0" w:space="0" w:color="auto"/>
        <w:bottom w:val="none" w:sz="0" w:space="0" w:color="auto"/>
        <w:right w:val="none" w:sz="0" w:space="0" w:color="auto"/>
      </w:divBdr>
    </w:div>
    <w:div w:id="1480343338">
      <w:bodyDiv w:val="1"/>
      <w:marLeft w:val="0"/>
      <w:marRight w:val="0"/>
      <w:marTop w:val="0"/>
      <w:marBottom w:val="0"/>
      <w:divBdr>
        <w:top w:val="none" w:sz="0" w:space="0" w:color="auto"/>
        <w:left w:val="none" w:sz="0" w:space="0" w:color="auto"/>
        <w:bottom w:val="none" w:sz="0" w:space="0" w:color="auto"/>
        <w:right w:val="none" w:sz="0" w:space="0" w:color="auto"/>
      </w:divBdr>
    </w:div>
    <w:div w:id="1558131745">
      <w:bodyDiv w:val="1"/>
      <w:marLeft w:val="0"/>
      <w:marRight w:val="0"/>
      <w:marTop w:val="0"/>
      <w:marBottom w:val="0"/>
      <w:divBdr>
        <w:top w:val="none" w:sz="0" w:space="0" w:color="auto"/>
        <w:left w:val="none" w:sz="0" w:space="0" w:color="auto"/>
        <w:bottom w:val="none" w:sz="0" w:space="0" w:color="auto"/>
        <w:right w:val="none" w:sz="0" w:space="0" w:color="auto"/>
      </w:divBdr>
    </w:div>
    <w:div w:id="1578859192">
      <w:bodyDiv w:val="1"/>
      <w:marLeft w:val="0"/>
      <w:marRight w:val="0"/>
      <w:marTop w:val="0"/>
      <w:marBottom w:val="0"/>
      <w:divBdr>
        <w:top w:val="none" w:sz="0" w:space="0" w:color="auto"/>
        <w:left w:val="none" w:sz="0" w:space="0" w:color="auto"/>
        <w:bottom w:val="none" w:sz="0" w:space="0" w:color="auto"/>
        <w:right w:val="none" w:sz="0" w:space="0" w:color="auto"/>
      </w:divBdr>
    </w:div>
    <w:div w:id="1581871938">
      <w:bodyDiv w:val="1"/>
      <w:marLeft w:val="0"/>
      <w:marRight w:val="0"/>
      <w:marTop w:val="0"/>
      <w:marBottom w:val="0"/>
      <w:divBdr>
        <w:top w:val="none" w:sz="0" w:space="0" w:color="auto"/>
        <w:left w:val="none" w:sz="0" w:space="0" w:color="auto"/>
        <w:bottom w:val="none" w:sz="0" w:space="0" w:color="auto"/>
        <w:right w:val="none" w:sz="0" w:space="0" w:color="auto"/>
      </w:divBdr>
    </w:div>
    <w:div w:id="1700010484">
      <w:bodyDiv w:val="1"/>
      <w:marLeft w:val="0"/>
      <w:marRight w:val="0"/>
      <w:marTop w:val="0"/>
      <w:marBottom w:val="0"/>
      <w:divBdr>
        <w:top w:val="none" w:sz="0" w:space="0" w:color="auto"/>
        <w:left w:val="none" w:sz="0" w:space="0" w:color="auto"/>
        <w:bottom w:val="none" w:sz="0" w:space="0" w:color="auto"/>
        <w:right w:val="none" w:sz="0" w:space="0" w:color="auto"/>
      </w:divBdr>
    </w:div>
    <w:div w:id="1776514867">
      <w:bodyDiv w:val="1"/>
      <w:marLeft w:val="0"/>
      <w:marRight w:val="0"/>
      <w:marTop w:val="0"/>
      <w:marBottom w:val="0"/>
      <w:divBdr>
        <w:top w:val="none" w:sz="0" w:space="0" w:color="auto"/>
        <w:left w:val="none" w:sz="0" w:space="0" w:color="auto"/>
        <w:bottom w:val="none" w:sz="0" w:space="0" w:color="auto"/>
        <w:right w:val="none" w:sz="0" w:space="0" w:color="auto"/>
      </w:divBdr>
    </w:div>
    <w:div w:id="1786189779">
      <w:bodyDiv w:val="1"/>
      <w:marLeft w:val="0"/>
      <w:marRight w:val="0"/>
      <w:marTop w:val="0"/>
      <w:marBottom w:val="0"/>
      <w:divBdr>
        <w:top w:val="none" w:sz="0" w:space="0" w:color="auto"/>
        <w:left w:val="none" w:sz="0" w:space="0" w:color="auto"/>
        <w:bottom w:val="none" w:sz="0" w:space="0" w:color="auto"/>
        <w:right w:val="none" w:sz="0" w:space="0" w:color="auto"/>
      </w:divBdr>
    </w:div>
    <w:div w:id="1826049969">
      <w:bodyDiv w:val="1"/>
      <w:marLeft w:val="0"/>
      <w:marRight w:val="0"/>
      <w:marTop w:val="0"/>
      <w:marBottom w:val="0"/>
      <w:divBdr>
        <w:top w:val="none" w:sz="0" w:space="0" w:color="auto"/>
        <w:left w:val="none" w:sz="0" w:space="0" w:color="auto"/>
        <w:bottom w:val="none" w:sz="0" w:space="0" w:color="auto"/>
        <w:right w:val="none" w:sz="0" w:space="0" w:color="auto"/>
      </w:divBdr>
    </w:div>
    <w:div w:id="1976449546">
      <w:bodyDiv w:val="1"/>
      <w:marLeft w:val="0"/>
      <w:marRight w:val="0"/>
      <w:marTop w:val="0"/>
      <w:marBottom w:val="0"/>
      <w:divBdr>
        <w:top w:val="none" w:sz="0" w:space="0" w:color="auto"/>
        <w:left w:val="none" w:sz="0" w:space="0" w:color="auto"/>
        <w:bottom w:val="none" w:sz="0" w:space="0" w:color="auto"/>
        <w:right w:val="none" w:sz="0" w:space="0" w:color="auto"/>
      </w:divBdr>
    </w:div>
    <w:div w:id="1999768212">
      <w:bodyDiv w:val="1"/>
      <w:marLeft w:val="0"/>
      <w:marRight w:val="0"/>
      <w:marTop w:val="0"/>
      <w:marBottom w:val="0"/>
      <w:divBdr>
        <w:top w:val="none" w:sz="0" w:space="0" w:color="auto"/>
        <w:left w:val="none" w:sz="0" w:space="0" w:color="auto"/>
        <w:bottom w:val="none" w:sz="0" w:space="0" w:color="auto"/>
        <w:right w:val="none" w:sz="0" w:space="0" w:color="auto"/>
      </w:divBdr>
    </w:div>
    <w:div w:id="2020500853">
      <w:bodyDiv w:val="1"/>
      <w:marLeft w:val="0"/>
      <w:marRight w:val="0"/>
      <w:marTop w:val="0"/>
      <w:marBottom w:val="0"/>
      <w:divBdr>
        <w:top w:val="none" w:sz="0" w:space="0" w:color="auto"/>
        <w:left w:val="none" w:sz="0" w:space="0" w:color="auto"/>
        <w:bottom w:val="none" w:sz="0" w:space="0" w:color="auto"/>
        <w:right w:val="none" w:sz="0" w:space="0" w:color="auto"/>
      </w:divBdr>
    </w:div>
    <w:div w:id="2029208946">
      <w:bodyDiv w:val="1"/>
      <w:marLeft w:val="0"/>
      <w:marRight w:val="0"/>
      <w:marTop w:val="0"/>
      <w:marBottom w:val="0"/>
      <w:divBdr>
        <w:top w:val="none" w:sz="0" w:space="0" w:color="auto"/>
        <w:left w:val="none" w:sz="0" w:space="0" w:color="auto"/>
        <w:bottom w:val="none" w:sz="0" w:space="0" w:color="auto"/>
        <w:right w:val="none" w:sz="0" w:space="0" w:color="auto"/>
      </w:divBdr>
    </w:div>
    <w:div w:id="20440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iers.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D9AE-6906-4315-9946-CC1BE6A5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29047</Words>
  <Characters>174285</Characters>
  <Application>Microsoft Office Word</Application>
  <DocSecurity>0</DocSecurity>
  <Lines>1452</Lines>
  <Paragraphs>405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Skonsolidowany bilans</vt:lpstr>
      <vt:lpstr>Skonsolidowany bilans</vt:lpstr>
    </vt:vector>
  </TitlesOfParts>
  <Company>COMARCH</Company>
  <LinksUpToDate>false</LinksUpToDate>
  <CharactersWithSpaces>202927</CharactersWithSpaces>
  <SharedDoc>false</SharedDoc>
  <HLinks>
    <vt:vector size="330" baseType="variant">
      <vt:variant>
        <vt:i4>1966089</vt:i4>
      </vt:variant>
      <vt:variant>
        <vt:i4>324</vt:i4>
      </vt:variant>
      <vt:variant>
        <vt:i4>0</vt:i4>
      </vt:variant>
      <vt:variant>
        <vt:i4>5</vt:i4>
      </vt:variant>
      <vt:variant>
        <vt:lpwstr>http://www.bip.krakow.pl/</vt:lpwstr>
      </vt:variant>
      <vt:variant>
        <vt:lpwstr/>
      </vt:variant>
      <vt:variant>
        <vt:i4>7078005</vt:i4>
      </vt:variant>
      <vt:variant>
        <vt:i4>321</vt:i4>
      </vt:variant>
      <vt:variant>
        <vt:i4>0</vt:i4>
      </vt:variant>
      <vt:variant>
        <vt:i4>5</vt:i4>
      </vt:variant>
      <vt:variant>
        <vt:lpwstr>http://www.bgz.pl/</vt:lpwstr>
      </vt:variant>
      <vt:variant>
        <vt:lpwstr/>
      </vt:variant>
      <vt:variant>
        <vt:i4>1441841</vt:i4>
      </vt:variant>
      <vt:variant>
        <vt:i4>314</vt:i4>
      </vt:variant>
      <vt:variant>
        <vt:i4>0</vt:i4>
      </vt:variant>
      <vt:variant>
        <vt:i4>5</vt:i4>
      </vt:variant>
      <vt:variant>
        <vt:lpwstr/>
      </vt:variant>
      <vt:variant>
        <vt:lpwstr>_Toc323286975</vt:lpwstr>
      </vt:variant>
      <vt:variant>
        <vt:i4>1441841</vt:i4>
      </vt:variant>
      <vt:variant>
        <vt:i4>308</vt:i4>
      </vt:variant>
      <vt:variant>
        <vt:i4>0</vt:i4>
      </vt:variant>
      <vt:variant>
        <vt:i4>5</vt:i4>
      </vt:variant>
      <vt:variant>
        <vt:lpwstr/>
      </vt:variant>
      <vt:variant>
        <vt:lpwstr>_Toc323286974</vt:lpwstr>
      </vt:variant>
      <vt:variant>
        <vt:i4>1441841</vt:i4>
      </vt:variant>
      <vt:variant>
        <vt:i4>302</vt:i4>
      </vt:variant>
      <vt:variant>
        <vt:i4>0</vt:i4>
      </vt:variant>
      <vt:variant>
        <vt:i4>5</vt:i4>
      </vt:variant>
      <vt:variant>
        <vt:lpwstr/>
      </vt:variant>
      <vt:variant>
        <vt:lpwstr>_Toc323286973</vt:lpwstr>
      </vt:variant>
      <vt:variant>
        <vt:i4>1441841</vt:i4>
      </vt:variant>
      <vt:variant>
        <vt:i4>296</vt:i4>
      </vt:variant>
      <vt:variant>
        <vt:i4>0</vt:i4>
      </vt:variant>
      <vt:variant>
        <vt:i4>5</vt:i4>
      </vt:variant>
      <vt:variant>
        <vt:lpwstr/>
      </vt:variant>
      <vt:variant>
        <vt:lpwstr>_Toc323286972</vt:lpwstr>
      </vt:variant>
      <vt:variant>
        <vt:i4>1441841</vt:i4>
      </vt:variant>
      <vt:variant>
        <vt:i4>290</vt:i4>
      </vt:variant>
      <vt:variant>
        <vt:i4>0</vt:i4>
      </vt:variant>
      <vt:variant>
        <vt:i4>5</vt:i4>
      </vt:variant>
      <vt:variant>
        <vt:lpwstr/>
      </vt:variant>
      <vt:variant>
        <vt:lpwstr>_Toc323286971</vt:lpwstr>
      </vt:variant>
      <vt:variant>
        <vt:i4>1441841</vt:i4>
      </vt:variant>
      <vt:variant>
        <vt:i4>284</vt:i4>
      </vt:variant>
      <vt:variant>
        <vt:i4>0</vt:i4>
      </vt:variant>
      <vt:variant>
        <vt:i4>5</vt:i4>
      </vt:variant>
      <vt:variant>
        <vt:lpwstr/>
      </vt:variant>
      <vt:variant>
        <vt:lpwstr>_Toc323286970</vt:lpwstr>
      </vt:variant>
      <vt:variant>
        <vt:i4>1507377</vt:i4>
      </vt:variant>
      <vt:variant>
        <vt:i4>278</vt:i4>
      </vt:variant>
      <vt:variant>
        <vt:i4>0</vt:i4>
      </vt:variant>
      <vt:variant>
        <vt:i4>5</vt:i4>
      </vt:variant>
      <vt:variant>
        <vt:lpwstr/>
      </vt:variant>
      <vt:variant>
        <vt:lpwstr>_Toc323286969</vt:lpwstr>
      </vt:variant>
      <vt:variant>
        <vt:i4>1507377</vt:i4>
      </vt:variant>
      <vt:variant>
        <vt:i4>272</vt:i4>
      </vt:variant>
      <vt:variant>
        <vt:i4>0</vt:i4>
      </vt:variant>
      <vt:variant>
        <vt:i4>5</vt:i4>
      </vt:variant>
      <vt:variant>
        <vt:lpwstr/>
      </vt:variant>
      <vt:variant>
        <vt:lpwstr>_Toc323286968</vt:lpwstr>
      </vt:variant>
      <vt:variant>
        <vt:i4>1507377</vt:i4>
      </vt:variant>
      <vt:variant>
        <vt:i4>266</vt:i4>
      </vt:variant>
      <vt:variant>
        <vt:i4>0</vt:i4>
      </vt:variant>
      <vt:variant>
        <vt:i4>5</vt:i4>
      </vt:variant>
      <vt:variant>
        <vt:lpwstr/>
      </vt:variant>
      <vt:variant>
        <vt:lpwstr>_Toc323286967</vt:lpwstr>
      </vt:variant>
      <vt:variant>
        <vt:i4>1507377</vt:i4>
      </vt:variant>
      <vt:variant>
        <vt:i4>260</vt:i4>
      </vt:variant>
      <vt:variant>
        <vt:i4>0</vt:i4>
      </vt:variant>
      <vt:variant>
        <vt:i4>5</vt:i4>
      </vt:variant>
      <vt:variant>
        <vt:lpwstr/>
      </vt:variant>
      <vt:variant>
        <vt:lpwstr>_Toc323286966</vt:lpwstr>
      </vt:variant>
      <vt:variant>
        <vt:i4>1507377</vt:i4>
      </vt:variant>
      <vt:variant>
        <vt:i4>254</vt:i4>
      </vt:variant>
      <vt:variant>
        <vt:i4>0</vt:i4>
      </vt:variant>
      <vt:variant>
        <vt:i4>5</vt:i4>
      </vt:variant>
      <vt:variant>
        <vt:lpwstr/>
      </vt:variant>
      <vt:variant>
        <vt:lpwstr>_Toc323286965</vt:lpwstr>
      </vt:variant>
      <vt:variant>
        <vt:i4>1507377</vt:i4>
      </vt:variant>
      <vt:variant>
        <vt:i4>248</vt:i4>
      </vt:variant>
      <vt:variant>
        <vt:i4>0</vt:i4>
      </vt:variant>
      <vt:variant>
        <vt:i4>5</vt:i4>
      </vt:variant>
      <vt:variant>
        <vt:lpwstr/>
      </vt:variant>
      <vt:variant>
        <vt:lpwstr>_Toc323286964</vt:lpwstr>
      </vt:variant>
      <vt:variant>
        <vt:i4>1507377</vt:i4>
      </vt:variant>
      <vt:variant>
        <vt:i4>242</vt:i4>
      </vt:variant>
      <vt:variant>
        <vt:i4>0</vt:i4>
      </vt:variant>
      <vt:variant>
        <vt:i4>5</vt:i4>
      </vt:variant>
      <vt:variant>
        <vt:lpwstr/>
      </vt:variant>
      <vt:variant>
        <vt:lpwstr>_Toc323286963</vt:lpwstr>
      </vt:variant>
      <vt:variant>
        <vt:i4>1507377</vt:i4>
      </vt:variant>
      <vt:variant>
        <vt:i4>236</vt:i4>
      </vt:variant>
      <vt:variant>
        <vt:i4>0</vt:i4>
      </vt:variant>
      <vt:variant>
        <vt:i4>5</vt:i4>
      </vt:variant>
      <vt:variant>
        <vt:lpwstr/>
      </vt:variant>
      <vt:variant>
        <vt:lpwstr>_Toc323286962</vt:lpwstr>
      </vt:variant>
      <vt:variant>
        <vt:i4>1507377</vt:i4>
      </vt:variant>
      <vt:variant>
        <vt:i4>230</vt:i4>
      </vt:variant>
      <vt:variant>
        <vt:i4>0</vt:i4>
      </vt:variant>
      <vt:variant>
        <vt:i4>5</vt:i4>
      </vt:variant>
      <vt:variant>
        <vt:lpwstr/>
      </vt:variant>
      <vt:variant>
        <vt:lpwstr>_Toc323286961</vt:lpwstr>
      </vt:variant>
      <vt:variant>
        <vt:i4>1507377</vt:i4>
      </vt:variant>
      <vt:variant>
        <vt:i4>224</vt:i4>
      </vt:variant>
      <vt:variant>
        <vt:i4>0</vt:i4>
      </vt:variant>
      <vt:variant>
        <vt:i4>5</vt:i4>
      </vt:variant>
      <vt:variant>
        <vt:lpwstr/>
      </vt:variant>
      <vt:variant>
        <vt:lpwstr>_Toc323286960</vt:lpwstr>
      </vt:variant>
      <vt:variant>
        <vt:i4>1310769</vt:i4>
      </vt:variant>
      <vt:variant>
        <vt:i4>218</vt:i4>
      </vt:variant>
      <vt:variant>
        <vt:i4>0</vt:i4>
      </vt:variant>
      <vt:variant>
        <vt:i4>5</vt:i4>
      </vt:variant>
      <vt:variant>
        <vt:lpwstr/>
      </vt:variant>
      <vt:variant>
        <vt:lpwstr>_Toc323286959</vt:lpwstr>
      </vt:variant>
      <vt:variant>
        <vt:i4>1310769</vt:i4>
      </vt:variant>
      <vt:variant>
        <vt:i4>212</vt:i4>
      </vt:variant>
      <vt:variant>
        <vt:i4>0</vt:i4>
      </vt:variant>
      <vt:variant>
        <vt:i4>5</vt:i4>
      </vt:variant>
      <vt:variant>
        <vt:lpwstr/>
      </vt:variant>
      <vt:variant>
        <vt:lpwstr>_Toc323286958</vt:lpwstr>
      </vt:variant>
      <vt:variant>
        <vt:i4>1310769</vt:i4>
      </vt:variant>
      <vt:variant>
        <vt:i4>206</vt:i4>
      </vt:variant>
      <vt:variant>
        <vt:i4>0</vt:i4>
      </vt:variant>
      <vt:variant>
        <vt:i4>5</vt:i4>
      </vt:variant>
      <vt:variant>
        <vt:lpwstr/>
      </vt:variant>
      <vt:variant>
        <vt:lpwstr>_Toc323286957</vt:lpwstr>
      </vt:variant>
      <vt:variant>
        <vt:i4>1310769</vt:i4>
      </vt:variant>
      <vt:variant>
        <vt:i4>200</vt:i4>
      </vt:variant>
      <vt:variant>
        <vt:i4>0</vt:i4>
      </vt:variant>
      <vt:variant>
        <vt:i4>5</vt:i4>
      </vt:variant>
      <vt:variant>
        <vt:lpwstr/>
      </vt:variant>
      <vt:variant>
        <vt:lpwstr>_Toc323286956</vt:lpwstr>
      </vt:variant>
      <vt:variant>
        <vt:i4>1310769</vt:i4>
      </vt:variant>
      <vt:variant>
        <vt:i4>194</vt:i4>
      </vt:variant>
      <vt:variant>
        <vt:i4>0</vt:i4>
      </vt:variant>
      <vt:variant>
        <vt:i4>5</vt:i4>
      </vt:variant>
      <vt:variant>
        <vt:lpwstr/>
      </vt:variant>
      <vt:variant>
        <vt:lpwstr>_Toc323286955</vt:lpwstr>
      </vt:variant>
      <vt:variant>
        <vt:i4>1310769</vt:i4>
      </vt:variant>
      <vt:variant>
        <vt:i4>188</vt:i4>
      </vt:variant>
      <vt:variant>
        <vt:i4>0</vt:i4>
      </vt:variant>
      <vt:variant>
        <vt:i4>5</vt:i4>
      </vt:variant>
      <vt:variant>
        <vt:lpwstr/>
      </vt:variant>
      <vt:variant>
        <vt:lpwstr>_Toc323286954</vt:lpwstr>
      </vt:variant>
      <vt:variant>
        <vt:i4>1310769</vt:i4>
      </vt:variant>
      <vt:variant>
        <vt:i4>182</vt:i4>
      </vt:variant>
      <vt:variant>
        <vt:i4>0</vt:i4>
      </vt:variant>
      <vt:variant>
        <vt:i4>5</vt:i4>
      </vt:variant>
      <vt:variant>
        <vt:lpwstr/>
      </vt:variant>
      <vt:variant>
        <vt:lpwstr>_Toc323286953</vt:lpwstr>
      </vt:variant>
      <vt:variant>
        <vt:i4>1310769</vt:i4>
      </vt:variant>
      <vt:variant>
        <vt:i4>176</vt:i4>
      </vt:variant>
      <vt:variant>
        <vt:i4>0</vt:i4>
      </vt:variant>
      <vt:variant>
        <vt:i4>5</vt:i4>
      </vt:variant>
      <vt:variant>
        <vt:lpwstr/>
      </vt:variant>
      <vt:variant>
        <vt:lpwstr>_Toc323286952</vt:lpwstr>
      </vt:variant>
      <vt:variant>
        <vt:i4>1310769</vt:i4>
      </vt:variant>
      <vt:variant>
        <vt:i4>170</vt:i4>
      </vt:variant>
      <vt:variant>
        <vt:i4>0</vt:i4>
      </vt:variant>
      <vt:variant>
        <vt:i4>5</vt:i4>
      </vt:variant>
      <vt:variant>
        <vt:lpwstr/>
      </vt:variant>
      <vt:variant>
        <vt:lpwstr>_Toc323286951</vt:lpwstr>
      </vt:variant>
      <vt:variant>
        <vt:i4>1310769</vt:i4>
      </vt:variant>
      <vt:variant>
        <vt:i4>164</vt:i4>
      </vt:variant>
      <vt:variant>
        <vt:i4>0</vt:i4>
      </vt:variant>
      <vt:variant>
        <vt:i4>5</vt:i4>
      </vt:variant>
      <vt:variant>
        <vt:lpwstr/>
      </vt:variant>
      <vt:variant>
        <vt:lpwstr>_Toc323286950</vt:lpwstr>
      </vt:variant>
      <vt:variant>
        <vt:i4>1376305</vt:i4>
      </vt:variant>
      <vt:variant>
        <vt:i4>158</vt:i4>
      </vt:variant>
      <vt:variant>
        <vt:i4>0</vt:i4>
      </vt:variant>
      <vt:variant>
        <vt:i4>5</vt:i4>
      </vt:variant>
      <vt:variant>
        <vt:lpwstr/>
      </vt:variant>
      <vt:variant>
        <vt:lpwstr>_Toc323286949</vt:lpwstr>
      </vt:variant>
      <vt:variant>
        <vt:i4>1376305</vt:i4>
      </vt:variant>
      <vt:variant>
        <vt:i4>152</vt:i4>
      </vt:variant>
      <vt:variant>
        <vt:i4>0</vt:i4>
      </vt:variant>
      <vt:variant>
        <vt:i4>5</vt:i4>
      </vt:variant>
      <vt:variant>
        <vt:lpwstr/>
      </vt:variant>
      <vt:variant>
        <vt:lpwstr>_Toc323286948</vt:lpwstr>
      </vt:variant>
      <vt:variant>
        <vt:i4>1376305</vt:i4>
      </vt:variant>
      <vt:variant>
        <vt:i4>146</vt:i4>
      </vt:variant>
      <vt:variant>
        <vt:i4>0</vt:i4>
      </vt:variant>
      <vt:variant>
        <vt:i4>5</vt:i4>
      </vt:variant>
      <vt:variant>
        <vt:lpwstr/>
      </vt:variant>
      <vt:variant>
        <vt:lpwstr>_Toc323286947</vt:lpwstr>
      </vt:variant>
      <vt:variant>
        <vt:i4>1376305</vt:i4>
      </vt:variant>
      <vt:variant>
        <vt:i4>140</vt:i4>
      </vt:variant>
      <vt:variant>
        <vt:i4>0</vt:i4>
      </vt:variant>
      <vt:variant>
        <vt:i4>5</vt:i4>
      </vt:variant>
      <vt:variant>
        <vt:lpwstr/>
      </vt:variant>
      <vt:variant>
        <vt:lpwstr>_Toc323286946</vt:lpwstr>
      </vt:variant>
      <vt:variant>
        <vt:i4>1376305</vt:i4>
      </vt:variant>
      <vt:variant>
        <vt:i4>134</vt:i4>
      </vt:variant>
      <vt:variant>
        <vt:i4>0</vt:i4>
      </vt:variant>
      <vt:variant>
        <vt:i4>5</vt:i4>
      </vt:variant>
      <vt:variant>
        <vt:lpwstr/>
      </vt:variant>
      <vt:variant>
        <vt:lpwstr>_Toc323286945</vt:lpwstr>
      </vt:variant>
      <vt:variant>
        <vt:i4>1376305</vt:i4>
      </vt:variant>
      <vt:variant>
        <vt:i4>128</vt:i4>
      </vt:variant>
      <vt:variant>
        <vt:i4>0</vt:i4>
      </vt:variant>
      <vt:variant>
        <vt:i4>5</vt:i4>
      </vt:variant>
      <vt:variant>
        <vt:lpwstr/>
      </vt:variant>
      <vt:variant>
        <vt:lpwstr>_Toc323286944</vt:lpwstr>
      </vt:variant>
      <vt:variant>
        <vt:i4>1376305</vt:i4>
      </vt:variant>
      <vt:variant>
        <vt:i4>122</vt:i4>
      </vt:variant>
      <vt:variant>
        <vt:i4>0</vt:i4>
      </vt:variant>
      <vt:variant>
        <vt:i4>5</vt:i4>
      </vt:variant>
      <vt:variant>
        <vt:lpwstr/>
      </vt:variant>
      <vt:variant>
        <vt:lpwstr>_Toc323286943</vt:lpwstr>
      </vt:variant>
      <vt:variant>
        <vt:i4>1376305</vt:i4>
      </vt:variant>
      <vt:variant>
        <vt:i4>116</vt:i4>
      </vt:variant>
      <vt:variant>
        <vt:i4>0</vt:i4>
      </vt:variant>
      <vt:variant>
        <vt:i4>5</vt:i4>
      </vt:variant>
      <vt:variant>
        <vt:lpwstr/>
      </vt:variant>
      <vt:variant>
        <vt:lpwstr>_Toc323286942</vt:lpwstr>
      </vt:variant>
      <vt:variant>
        <vt:i4>1376305</vt:i4>
      </vt:variant>
      <vt:variant>
        <vt:i4>110</vt:i4>
      </vt:variant>
      <vt:variant>
        <vt:i4>0</vt:i4>
      </vt:variant>
      <vt:variant>
        <vt:i4>5</vt:i4>
      </vt:variant>
      <vt:variant>
        <vt:lpwstr/>
      </vt:variant>
      <vt:variant>
        <vt:lpwstr>_Toc323286941</vt:lpwstr>
      </vt:variant>
      <vt:variant>
        <vt:i4>1376305</vt:i4>
      </vt:variant>
      <vt:variant>
        <vt:i4>104</vt:i4>
      </vt:variant>
      <vt:variant>
        <vt:i4>0</vt:i4>
      </vt:variant>
      <vt:variant>
        <vt:i4>5</vt:i4>
      </vt:variant>
      <vt:variant>
        <vt:lpwstr/>
      </vt:variant>
      <vt:variant>
        <vt:lpwstr>_Toc323286940</vt:lpwstr>
      </vt:variant>
      <vt:variant>
        <vt:i4>1179697</vt:i4>
      </vt:variant>
      <vt:variant>
        <vt:i4>98</vt:i4>
      </vt:variant>
      <vt:variant>
        <vt:i4>0</vt:i4>
      </vt:variant>
      <vt:variant>
        <vt:i4>5</vt:i4>
      </vt:variant>
      <vt:variant>
        <vt:lpwstr/>
      </vt:variant>
      <vt:variant>
        <vt:lpwstr>_Toc323286939</vt:lpwstr>
      </vt:variant>
      <vt:variant>
        <vt:i4>1179697</vt:i4>
      </vt:variant>
      <vt:variant>
        <vt:i4>92</vt:i4>
      </vt:variant>
      <vt:variant>
        <vt:i4>0</vt:i4>
      </vt:variant>
      <vt:variant>
        <vt:i4>5</vt:i4>
      </vt:variant>
      <vt:variant>
        <vt:lpwstr/>
      </vt:variant>
      <vt:variant>
        <vt:lpwstr>_Toc323286938</vt:lpwstr>
      </vt:variant>
      <vt:variant>
        <vt:i4>1179697</vt:i4>
      </vt:variant>
      <vt:variant>
        <vt:i4>86</vt:i4>
      </vt:variant>
      <vt:variant>
        <vt:i4>0</vt:i4>
      </vt:variant>
      <vt:variant>
        <vt:i4>5</vt:i4>
      </vt:variant>
      <vt:variant>
        <vt:lpwstr/>
      </vt:variant>
      <vt:variant>
        <vt:lpwstr>_Toc323286937</vt:lpwstr>
      </vt:variant>
      <vt:variant>
        <vt:i4>1179697</vt:i4>
      </vt:variant>
      <vt:variant>
        <vt:i4>80</vt:i4>
      </vt:variant>
      <vt:variant>
        <vt:i4>0</vt:i4>
      </vt:variant>
      <vt:variant>
        <vt:i4>5</vt:i4>
      </vt:variant>
      <vt:variant>
        <vt:lpwstr/>
      </vt:variant>
      <vt:variant>
        <vt:lpwstr>_Toc323286936</vt:lpwstr>
      </vt:variant>
      <vt:variant>
        <vt:i4>1179697</vt:i4>
      </vt:variant>
      <vt:variant>
        <vt:i4>74</vt:i4>
      </vt:variant>
      <vt:variant>
        <vt:i4>0</vt:i4>
      </vt:variant>
      <vt:variant>
        <vt:i4>5</vt:i4>
      </vt:variant>
      <vt:variant>
        <vt:lpwstr/>
      </vt:variant>
      <vt:variant>
        <vt:lpwstr>_Toc323286935</vt:lpwstr>
      </vt:variant>
      <vt:variant>
        <vt:i4>1179697</vt:i4>
      </vt:variant>
      <vt:variant>
        <vt:i4>68</vt:i4>
      </vt:variant>
      <vt:variant>
        <vt:i4>0</vt:i4>
      </vt:variant>
      <vt:variant>
        <vt:i4>5</vt:i4>
      </vt:variant>
      <vt:variant>
        <vt:lpwstr/>
      </vt:variant>
      <vt:variant>
        <vt:lpwstr>_Toc323286934</vt:lpwstr>
      </vt:variant>
      <vt:variant>
        <vt:i4>1179697</vt:i4>
      </vt:variant>
      <vt:variant>
        <vt:i4>62</vt:i4>
      </vt:variant>
      <vt:variant>
        <vt:i4>0</vt:i4>
      </vt:variant>
      <vt:variant>
        <vt:i4>5</vt:i4>
      </vt:variant>
      <vt:variant>
        <vt:lpwstr/>
      </vt:variant>
      <vt:variant>
        <vt:lpwstr>_Toc323286933</vt:lpwstr>
      </vt:variant>
      <vt:variant>
        <vt:i4>1179697</vt:i4>
      </vt:variant>
      <vt:variant>
        <vt:i4>56</vt:i4>
      </vt:variant>
      <vt:variant>
        <vt:i4>0</vt:i4>
      </vt:variant>
      <vt:variant>
        <vt:i4>5</vt:i4>
      </vt:variant>
      <vt:variant>
        <vt:lpwstr/>
      </vt:variant>
      <vt:variant>
        <vt:lpwstr>_Toc323286932</vt:lpwstr>
      </vt:variant>
      <vt:variant>
        <vt:i4>1179697</vt:i4>
      </vt:variant>
      <vt:variant>
        <vt:i4>50</vt:i4>
      </vt:variant>
      <vt:variant>
        <vt:i4>0</vt:i4>
      </vt:variant>
      <vt:variant>
        <vt:i4>5</vt:i4>
      </vt:variant>
      <vt:variant>
        <vt:lpwstr/>
      </vt:variant>
      <vt:variant>
        <vt:lpwstr>_Toc323286931</vt:lpwstr>
      </vt:variant>
      <vt:variant>
        <vt:i4>1179697</vt:i4>
      </vt:variant>
      <vt:variant>
        <vt:i4>44</vt:i4>
      </vt:variant>
      <vt:variant>
        <vt:i4>0</vt:i4>
      </vt:variant>
      <vt:variant>
        <vt:i4>5</vt:i4>
      </vt:variant>
      <vt:variant>
        <vt:lpwstr/>
      </vt:variant>
      <vt:variant>
        <vt:lpwstr>_Toc323286930</vt:lpwstr>
      </vt:variant>
      <vt:variant>
        <vt:i4>1245233</vt:i4>
      </vt:variant>
      <vt:variant>
        <vt:i4>38</vt:i4>
      </vt:variant>
      <vt:variant>
        <vt:i4>0</vt:i4>
      </vt:variant>
      <vt:variant>
        <vt:i4>5</vt:i4>
      </vt:variant>
      <vt:variant>
        <vt:lpwstr/>
      </vt:variant>
      <vt:variant>
        <vt:lpwstr>_Toc323286929</vt:lpwstr>
      </vt:variant>
      <vt:variant>
        <vt:i4>1245233</vt:i4>
      </vt:variant>
      <vt:variant>
        <vt:i4>32</vt:i4>
      </vt:variant>
      <vt:variant>
        <vt:i4>0</vt:i4>
      </vt:variant>
      <vt:variant>
        <vt:i4>5</vt:i4>
      </vt:variant>
      <vt:variant>
        <vt:lpwstr/>
      </vt:variant>
      <vt:variant>
        <vt:lpwstr>_Toc323286928</vt:lpwstr>
      </vt:variant>
      <vt:variant>
        <vt:i4>1245233</vt:i4>
      </vt:variant>
      <vt:variant>
        <vt:i4>26</vt:i4>
      </vt:variant>
      <vt:variant>
        <vt:i4>0</vt:i4>
      </vt:variant>
      <vt:variant>
        <vt:i4>5</vt:i4>
      </vt:variant>
      <vt:variant>
        <vt:lpwstr/>
      </vt:variant>
      <vt:variant>
        <vt:lpwstr>_Toc323286927</vt:lpwstr>
      </vt:variant>
      <vt:variant>
        <vt:i4>1245233</vt:i4>
      </vt:variant>
      <vt:variant>
        <vt:i4>20</vt:i4>
      </vt:variant>
      <vt:variant>
        <vt:i4>0</vt:i4>
      </vt:variant>
      <vt:variant>
        <vt:i4>5</vt:i4>
      </vt:variant>
      <vt:variant>
        <vt:lpwstr/>
      </vt:variant>
      <vt:variant>
        <vt:lpwstr>_Toc323286926</vt:lpwstr>
      </vt:variant>
      <vt:variant>
        <vt:i4>1245233</vt:i4>
      </vt:variant>
      <vt:variant>
        <vt:i4>14</vt:i4>
      </vt:variant>
      <vt:variant>
        <vt:i4>0</vt:i4>
      </vt:variant>
      <vt:variant>
        <vt:i4>5</vt:i4>
      </vt:variant>
      <vt:variant>
        <vt:lpwstr/>
      </vt:variant>
      <vt:variant>
        <vt:lpwstr>_Toc323286925</vt:lpwstr>
      </vt:variant>
      <vt:variant>
        <vt:i4>1245233</vt:i4>
      </vt:variant>
      <vt:variant>
        <vt:i4>8</vt:i4>
      </vt:variant>
      <vt:variant>
        <vt:i4>0</vt:i4>
      </vt:variant>
      <vt:variant>
        <vt:i4>5</vt:i4>
      </vt:variant>
      <vt:variant>
        <vt:lpwstr/>
      </vt:variant>
      <vt:variant>
        <vt:lpwstr>_Toc323286924</vt:lpwstr>
      </vt:variant>
      <vt:variant>
        <vt:i4>1245233</vt:i4>
      </vt:variant>
      <vt:variant>
        <vt:i4>2</vt:i4>
      </vt:variant>
      <vt:variant>
        <vt:i4>0</vt:i4>
      </vt:variant>
      <vt:variant>
        <vt:i4>5</vt:i4>
      </vt:variant>
      <vt:variant>
        <vt:lpwstr/>
      </vt:variant>
      <vt:variant>
        <vt:lpwstr>_Toc323286923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Skonsolidowany bilans</dc:title>
  <dc:creator>COMARCH</dc:creator>
  <cp:lastModifiedBy>Lenovo User</cp:lastModifiedBy>
  <cp:revision>2</cp:revision>
  <cp:lastPrinted>2013-04-30T17:21:00Z</cp:lastPrinted>
  <dcterms:created xsi:type="dcterms:W3CDTF">2013-08-07T10:09:00Z</dcterms:created>
  <dcterms:modified xsi:type="dcterms:W3CDTF">2013-08-07T10:09:00Z</dcterms:modified>
</cp:coreProperties>
</file>